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926ABC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926ABC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926ABC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926ABC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27 grudnia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926ABC" w:rsidP="00422E40">
      <w:pPr>
        <w:pStyle w:val="Nagwek2"/>
      </w:pPr>
      <w:r w:rsidRPr="00422E40">
        <w:t xml:space="preserve">zmieniające </w:t>
      </w:r>
      <w:r w:rsidRPr="00CF5398">
        <w:t>zarządzenie w sprawie ustalenia regulaminu organizacyjnego Wydziału Polityki Społecznej</w:t>
      </w:r>
    </w:p>
    <w:p w:rsidR="00E53A80" w:rsidRPr="00E53A80" w:rsidRDefault="00926ABC" w:rsidP="00E53A80">
      <w:pPr>
        <w:spacing w:after="360"/>
      </w:pPr>
      <w:r w:rsidRPr="00E53A80">
        <w:t xml:space="preserve">Na podstawie </w:t>
      </w:r>
      <w:r w:rsidRPr="00CF5398">
        <w:t xml:space="preserve">art. 25 ust. 4 pkt 1 lit. d ustawy z </w:t>
      </w:r>
      <w:r w:rsidRPr="00CF5398">
        <w:t>dnia 21 listopada 2008 r. o</w:t>
      </w:r>
      <w:r w:rsidR="007350BE">
        <w:t> </w:t>
      </w:r>
      <w:r w:rsidRPr="00CF5398">
        <w:t>służbie cywilnej (Dz. U. z 2024 r. poz. 409) oraz § 12 ust. 3 i 5 regulaminu Pomorskiego Urzędu Wojewódzkiego w Gdańsku, stanowiącego załącznik do</w:t>
      </w:r>
      <w:r w:rsidR="007350BE">
        <w:t> </w:t>
      </w:r>
      <w:bookmarkStart w:id="1" w:name="_GoBack"/>
      <w:bookmarkEnd w:id="1"/>
      <w:r w:rsidRPr="00CF5398">
        <w:t>zarządzenia Wojewody Pomorskiego z dnia 30 września 2021 r. w sprawie ustalenia r</w:t>
      </w:r>
      <w:r w:rsidRPr="00CF5398">
        <w:t>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 w:rsidRPr="00E53A80">
        <w:t xml:space="preserve"> zarządza się, co następuje:</w:t>
      </w:r>
    </w:p>
    <w:p w:rsidR="00E53A80" w:rsidRDefault="00926ABC" w:rsidP="00AD5CEA">
      <w:pPr>
        <w:tabs>
          <w:tab w:val="left" w:pos="851"/>
        </w:tabs>
      </w:pPr>
      <w:bookmarkStart w:id="2" w:name="_Hlk71116339"/>
      <w:r>
        <w:rPr>
          <w:i/>
          <w:iCs/>
          <w:color w:val="808080" w:themeColor="background1" w:themeShade="80"/>
        </w:rPr>
        <w:tab/>
      </w:r>
      <w:r w:rsidRPr="00F4159C">
        <w:rPr>
          <w:b/>
          <w:bCs/>
        </w:rPr>
        <w:t>§</w:t>
      </w:r>
      <w:r w:rsidR="00377B7C">
        <w:rPr>
          <w:b/>
          <w:bCs/>
        </w:rPr>
        <w:t> </w:t>
      </w:r>
      <w:r w:rsidRPr="00F4159C">
        <w:rPr>
          <w:b/>
          <w:bCs/>
        </w:rPr>
        <w:t>1.</w:t>
      </w:r>
      <w:r>
        <w:t xml:space="preserve"> </w:t>
      </w:r>
      <w:r w:rsidRPr="004C026A">
        <w:t>W regulaminie organizacyjnym Wydziału Polityki Społecznej, stanowiącym załącznik do zarządzenia Dyrektora Generalnego Pomorskiego Urzędu Wojewódzkiego w Gdańsku z dnia</w:t>
      </w:r>
      <w:r w:rsidRPr="004C026A">
        <w:t xml:space="preserve"> 31 stycznia 2019 r. w sprawie ustalenia regulaminu organizacyjnego Wydziału Polityki Społecznej, zmieniony zarządzeniami z dnia 27 marca 2019 r., 31 maja 2019 r.</w:t>
      </w:r>
      <w:r>
        <w:t>,</w:t>
      </w:r>
      <w:r w:rsidRPr="004C026A">
        <w:t xml:space="preserve"> 18 stycznia 2023 r. </w:t>
      </w:r>
      <w:r>
        <w:t xml:space="preserve">i 3 czerwca 2024 r. </w:t>
      </w:r>
      <w:r w:rsidRPr="004C026A">
        <w:t>wprowadza się następujące zmiany:</w:t>
      </w:r>
    </w:p>
    <w:p w:rsidR="00830501" w:rsidRDefault="00926ABC" w:rsidP="00466863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</w:pPr>
      <w:r>
        <w:t>schemat organizacy</w:t>
      </w:r>
      <w:r>
        <w:t xml:space="preserve">jny wydziału, o którym mowa w </w:t>
      </w:r>
      <w:r w:rsidRPr="00E53A80">
        <w:t>§</w:t>
      </w:r>
      <w:r>
        <w:t xml:space="preserve"> 3 ust. 2 otrzymuje brzmienie jak załącznik do niniejszego zarządzenia;</w:t>
      </w:r>
    </w:p>
    <w:p w:rsidR="004C026A" w:rsidRDefault="00926ABC" w:rsidP="00466863">
      <w:pPr>
        <w:pStyle w:val="Akapitzlist"/>
        <w:numPr>
          <w:ilvl w:val="0"/>
          <w:numId w:val="1"/>
        </w:numPr>
        <w:spacing w:after="120"/>
        <w:contextualSpacing w:val="0"/>
      </w:pPr>
      <w:r>
        <w:t xml:space="preserve">w </w:t>
      </w:r>
      <w:r w:rsidRPr="00E53A80">
        <w:t>§</w:t>
      </w:r>
      <w:r>
        <w:t xml:space="preserve"> 4:</w:t>
      </w:r>
    </w:p>
    <w:p w:rsidR="004504DE" w:rsidRDefault="00926ABC" w:rsidP="00466863">
      <w:pPr>
        <w:pStyle w:val="Akapitzlist"/>
        <w:numPr>
          <w:ilvl w:val="1"/>
          <w:numId w:val="1"/>
        </w:numPr>
        <w:spacing w:after="120"/>
        <w:contextualSpacing w:val="0"/>
      </w:pPr>
      <w:r>
        <w:t xml:space="preserve">ust. 1 otrzymuje brzmienie: </w:t>
      </w:r>
    </w:p>
    <w:p w:rsidR="004C026A" w:rsidRDefault="00926ABC" w:rsidP="00AD5CEA">
      <w:pPr>
        <w:pStyle w:val="Akapitzlist"/>
        <w:spacing w:after="120" w:line="240" w:lineRule="auto"/>
        <w:ind w:firstLine="696"/>
        <w:contextualSpacing w:val="0"/>
      </w:pPr>
      <w:r>
        <w:t>„</w:t>
      </w:r>
      <w:r>
        <w:t xml:space="preserve">1. </w:t>
      </w:r>
      <w:r>
        <w:t>Wydziałem kieruje dyrektor wydziału przy pomocy zastępcy dyrektora.”</w:t>
      </w:r>
      <w:r>
        <w:t>,</w:t>
      </w:r>
    </w:p>
    <w:p w:rsidR="004504DE" w:rsidRDefault="00926ABC" w:rsidP="00466863">
      <w:pPr>
        <w:pStyle w:val="Akapitzlist"/>
        <w:numPr>
          <w:ilvl w:val="1"/>
          <w:numId w:val="1"/>
        </w:numPr>
        <w:spacing w:after="120"/>
        <w:contextualSpacing w:val="0"/>
      </w:pPr>
      <w:r>
        <w:t>ust. 3</w:t>
      </w:r>
      <w:r>
        <w:t xml:space="preserve"> otrzymuje brzmienie</w:t>
      </w:r>
      <w:r>
        <w:t>:</w:t>
      </w:r>
    </w:p>
    <w:p w:rsidR="00BB63E0" w:rsidRDefault="00926ABC" w:rsidP="00AD5CEA">
      <w:pPr>
        <w:pStyle w:val="Akapitzlist"/>
        <w:spacing w:after="120" w:line="240" w:lineRule="auto"/>
        <w:ind w:firstLine="696"/>
        <w:contextualSpacing w:val="0"/>
      </w:pPr>
      <w:r>
        <w:t>„3. Dyrektorowi</w:t>
      </w:r>
      <w:r>
        <w:t xml:space="preserve"> wydziału podlegają bezpośrednio:</w:t>
      </w:r>
    </w:p>
    <w:p w:rsidR="004504DE" w:rsidRDefault="00926ABC" w:rsidP="00377B7C">
      <w:pPr>
        <w:pStyle w:val="Akapitzlist"/>
        <w:numPr>
          <w:ilvl w:val="0"/>
          <w:numId w:val="5"/>
        </w:numPr>
        <w:spacing w:after="120" w:line="240" w:lineRule="auto"/>
        <w:contextualSpacing w:val="0"/>
      </w:pPr>
      <w:r>
        <w:t>Oddział Planowania i Budżetu</w:t>
      </w:r>
      <w:r>
        <w:t>;</w:t>
      </w:r>
    </w:p>
    <w:p w:rsidR="004504DE" w:rsidRDefault="00926ABC" w:rsidP="00377B7C">
      <w:pPr>
        <w:pStyle w:val="Akapitzlist"/>
        <w:numPr>
          <w:ilvl w:val="0"/>
          <w:numId w:val="5"/>
        </w:numPr>
        <w:spacing w:after="120" w:line="240" w:lineRule="auto"/>
        <w:contextualSpacing w:val="0"/>
      </w:pPr>
      <w:r>
        <w:t>Oddział Nadzoru i Kontroli</w:t>
      </w:r>
      <w:r>
        <w:t>;</w:t>
      </w:r>
    </w:p>
    <w:p w:rsidR="004504DE" w:rsidRDefault="00926ABC" w:rsidP="00377B7C">
      <w:pPr>
        <w:pStyle w:val="Akapitzlist"/>
        <w:numPr>
          <w:ilvl w:val="0"/>
          <w:numId w:val="5"/>
        </w:numPr>
        <w:spacing w:after="120" w:line="240" w:lineRule="auto"/>
        <w:contextualSpacing w:val="0"/>
      </w:pPr>
      <w:r>
        <w:t xml:space="preserve">samodzielne stanowiska do spraw: </w:t>
      </w:r>
    </w:p>
    <w:p w:rsidR="004504DE" w:rsidRDefault="00926ABC" w:rsidP="00377B7C">
      <w:pPr>
        <w:pStyle w:val="Akapitzlist"/>
        <w:numPr>
          <w:ilvl w:val="1"/>
          <w:numId w:val="7"/>
        </w:numPr>
        <w:spacing w:after="120" w:line="240" w:lineRule="auto"/>
        <w:ind w:left="993" w:firstLine="142"/>
        <w:contextualSpacing w:val="0"/>
      </w:pPr>
      <w:r>
        <w:t xml:space="preserve">systemów teleinformatycznych, </w:t>
      </w:r>
    </w:p>
    <w:p w:rsidR="004504DE" w:rsidRDefault="00926ABC" w:rsidP="00377B7C">
      <w:pPr>
        <w:pStyle w:val="Akapitzlist"/>
        <w:numPr>
          <w:ilvl w:val="1"/>
          <w:numId w:val="7"/>
        </w:numPr>
        <w:spacing w:after="120" w:line="240" w:lineRule="auto"/>
        <w:ind w:left="993" w:firstLine="142"/>
        <w:contextualSpacing w:val="0"/>
      </w:pPr>
      <w:r>
        <w:t>organizacyjno-administracyjnych</w:t>
      </w:r>
      <w:r>
        <w:t>.</w:t>
      </w:r>
      <w:r>
        <w:t>”</w:t>
      </w:r>
      <w:r>
        <w:t>,</w:t>
      </w:r>
    </w:p>
    <w:p w:rsidR="004504DE" w:rsidRDefault="00926ABC" w:rsidP="00466863">
      <w:pPr>
        <w:pStyle w:val="Akapitzlist"/>
        <w:numPr>
          <w:ilvl w:val="1"/>
          <w:numId w:val="1"/>
        </w:numPr>
        <w:spacing w:after="120"/>
        <w:contextualSpacing w:val="0"/>
      </w:pPr>
      <w:r>
        <w:lastRenderedPageBreak/>
        <w:t xml:space="preserve">dodaje się ust. 4 w brzmieniu: </w:t>
      </w:r>
    </w:p>
    <w:p w:rsidR="004504DE" w:rsidRDefault="00926ABC" w:rsidP="00AD5CEA">
      <w:pPr>
        <w:pStyle w:val="Akapitzlist"/>
        <w:spacing w:after="120" w:line="240" w:lineRule="auto"/>
        <w:ind w:firstLine="696"/>
        <w:contextualSpacing w:val="0"/>
      </w:pPr>
      <w:r>
        <w:t xml:space="preserve">„4. </w:t>
      </w:r>
      <w:r>
        <w:t xml:space="preserve">Zastępcy dyrektora </w:t>
      </w:r>
      <w:r>
        <w:t xml:space="preserve">wydziału </w:t>
      </w:r>
      <w:r>
        <w:t xml:space="preserve">podlegają bezpośrednio: </w:t>
      </w:r>
    </w:p>
    <w:p w:rsidR="004504DE" w:rsidRDefault="00926ABC" w:rsidP="00AD5CEA">
      <w:pPr>
        <w:pStyle w:val="Akapitzlist"/>
        <w:spacing w:after="120" w:line="240" w:lineRule="auto"/>
        <w:ind w:left="567" w:firstLine="284"/>
        <w:contextualSpacing w:val="0"/>
      </w:pPr>
      <w:r>
        <w:t xml:space="preserve">1) </w:t>
      </w:r>
      <w:r>
        <w:t xml:space="preserve">Oddział Służb Zatrudnienia; </w:t>
      </w:r>
    </w:p>
    <w:p w:rsidR="00935C37" w:rsidRDefault="00926ABC" w:rsidP="00AD5CEA">
      <w:pPr>
        <w:pStyle w:val="Akapitzlist"/>
        <w:spacing w:after="120" w:line="240" w:lineRule="auto"/>
        <w:ind w:left="567" w:firstLine="284"/>
        <w:contextualSpacing w:val="0"/>
      </w:pPr>
      <w:r>
        <w:t xml:space="preserve">2) </w:t>
      </w:r>
      <w:r>
        <w:t>Oddział Wspierania Rodziny i Systemu Pieczy Zastępczej</w:t>
      </w:r>
      <w:r>
        <w:t>.”;</w:t>
      </w:r>
    </w:p>
    <w:p w:rsidR="004504DE" w:rsidRDefault="00926ABC" w:rsidP="00466863">
      <w:pPr>
        <w:pStyle w:val="Akapitzlist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</w:pPr>
      <w:r>
        <w:t xml:space="preserve">w </w:t>
      </w:r>
      <w:r w:rsidRPr="00E53A80">
        <w:t>§</w:t>
      </w:r>
      <w:r>
        <w:t xml:space="preserve"> 5</w:t>
      </w:r>
      <w:r>
        <w:t xml:space="preserve"> </w:t>
      </w:r>
      <w:r>
        <w:t>ust. 1</w:t>
      </w:r>
      <w:r>
        <w:t xml:space="preserve">- 2 </w:t>
      </w:r>
      <w:r>
        <w:t>otrzymuj</w:t>
      </w:r>
      <w:r>
        <w:t>ą</w:t>
      </w:r>
      <w:r>
        <w:t xml:space="preserve"> brzmienie: </w:t>
      </w:r>
    </w:p>
    <w:p w:rsidR="004504DE" w:rsidRDefault="00926ABC" w:rsidP="00AD5CEA">
      <w:pPr>
        <w:pStyle w:val="Akapitzlist"/>
        <w:spacing w:after="120" w:line="240" w:lineRule="auto"/>
        <w:ind w:left="284" w:firstLine="567"/>
        <w:contextualSpacing w:val="0"/>
      </w:pPr>
      <w:r>
        <w:t>„1. Dyrektora wydziału zastępuje, w czasie jego nieobecności, zastępca d</w:t>
      </w:r>
      <w:r>
        <w:t>yrektora</w:t>
      </w:r>
      <w:r>
        <w:t xml:space="preserve"> wydziału</w:t>
      </w:r>
      <w:r>
        <w:t xml:space="preserve">. </w:t>
      </w:r>
    </w:p>
    <w:p w:rsidR="00E42388" w:rsidRDefault="00926ABC" w:rsidP="00AD5CEA">
      <w:pPr>
        <w:pStyle w:val="Akapitzlist"/>
        <w:spacing w:after="120" w:line="240" w:lineRule="auto"/>
        <w:ind w:left="284" w:firstLine="567"/>
        <w:contextualSpacing w:val="0"/>
      </w:pPr>
      <w:r>
        <w:t>2. Podczas nieobecności dyrektora wydziału oraz jego zastępcy, funkcje związane z kierowaniem wydziałem sprawuje kierownik oddziału wyznaczony przez dyrektora wydziału</w:t>
      </w:r>
      <w:r>
        <w:t>.”</w:t>
      </w:r>
      <w:r>
        <w:t>;</w:t>
      </w:r>
    </w:p>
    <w:p w:rsidR="004504DE" w:rsidRDefault="00926ABC" w:rsidP="00466863">
      <w:pPr>
        <w:pStyle w:val="Akapitzlist"/>
        <w:numPr>
          <w:ilvl w:val="0"/>
          <w:numId w:val="1"/>
        </w:numPr>
        <w:spacing w:after="120"/>
        <w:contextualSpacing w:val="0"/>
      </w:pPr>
      <w:r>
        <w:t xml:space="preserve">w </w:t>
      </w:r>
      <w:r w:rsidRPr="00E53A80">
        <w:t>§</w:t>
      </w:r>
      <w:r>
        <w:t xml:space="preserve"> 6 ust. 1 otrzymuje brzmienie: </w:t>
      </w:r>
    </w:p>
    <w:p w:rsidR="00E42388" w:rsidRDefault="00926ABC" w:rsidP="00466863">
      <w:pPr>
        <w:pStyle w:val="Akapitzlist"/>
        <w:spacing w:after="120"/>
        <w:ind w:left="357" w:firstLine="346"/>
        <w:contextualSpacing w:val="0"/>
      </w:pPr>
      <w:r>
        <w:t>„</w:t>
      </w:r>
      <w:r>
        <w:t xml:space="preserve">1. </w:t>
      </w:r>
      <w:r>
        <w:t>Dyrektor wydziału, zastępc</w:t>
      </w:r>
      <w:r>
        <w:t xml:space="preserve">a dyrektora </w:t>
      </w:r>
      <w:r>
        <w:t xml:space="preserve">wydziału </w:t>
      </w:r>
      <w:r>
        <w:t>oraz kierownicy oddziałów podpisują dokumentację wychodzącą z wydziału zgodnie z nadanymi upoważnieniami wojewody</w:t>
      </w:r>
      <w:r>
        <w:t>.”</w:t>
      </w:r>
      <w:r>
        <w:t>;</w:t>
      </w:r>
    </w:p>
    <w:p w:rsidR="00466863" w:rsidRDefault="00926ABC" w:rsidP="00466863">
      <w:pPr>
        <w:pStyle w:val="Akapitzlist"/>
        <w:numPr>
          <w:ilvl w:val="0"/>
          <w:numId w:val="1"/>
        </w:numPr>
        <w:spacing w:after="120"/>
        <w:contextualSpacing w:val="0"/>
      </w:pPr>
      <w:r>
        <w:t xml:space="preserve">w </w:t>
      </w:r>
      <w:r w:rsidRPr="00E53A80">
        <w:t>§</w:t>
      </w:r>
      <w:r>
        <w:t xml:space="preserve"> 9:</w:t>
      </w:r>
    </w:p>
    <w:p w:rsidR="00E14895" w:rsidRDefault="00926ABC" w:rsidP="00466863">
      <w:pPr>
        <w:pStyle w:val="Akapitzlist"/>
        <w:spacing w:after="120"/>
        <w:ind w:left="360" w:firstLine="0"/>
        <w:contextualSpacing w:val="0"/>
      </w:pPr>
      <w:r>
        <w:t xml:space="preserve">a) pkt </w:t>
      </w:r>
      <w:r>
        <w:t>10</w:t>
      </w:r>
      <w:r>
        <w:t xml:space="preserve"> otrzymuje brzmienie: </w:t>
      </w:r>
    </w:p>
    <w:p w:rsidR="00E14895" w:rsidRDefault="00926ABC" w:rsidP="00AD5CEA">
      <w:pPr>
        <w:pStyle w:val="Akapitzlist"/>
        <w:spacing w:after="120" w:line="240" w:lineRule="auto"/>
        <w:ind w:left="1134" w:hanging="425"/>
        <w:contextualSpacing w:val="0"/>
      </w:pPr>
      <w:r>
        <w:t>„</w:t>
      </w:r>
      <w:r>
        <w:t>10</w:t>
      </w:r>
      <w:r>
        <w:t xml:space="preserve">) </w:t>
      </w:r>
      <w:r w:rsidRPr="00697EFC">
        <w:rPr>
          <w:rFonts w:cs="Arial"/>
          <w:szCs w:val="24"/>
        </w:rPr>
        <w:t xml:space="preserve">realizacja lub zlecanie jednostkom samorządu terytorialnego zadań </w:t>
      </w:r>
      <w:r w:rsidRPr="00697EFC">
        <w:rPr>
          <w:rFonts w:cs="Arial"/>
          <w:szCs w:val="24"/>
        </w:rPr>
        <w:t>wynikających z programów rządowych z zakresu wspierania rodziny i</w:t>
      </w:r>
      <w:r w:rsidR="007350BE">
        <w:rPr>
          <w:rFonts w:cs="Arial"/>
          <w:szCs w:val="24"/>
        </w:rPr>
        <w:t> </w:t>
      </w:r>
      <w:r w:rsidRPr="00697EFC">
        <w:rPr>
          <w:rFonts w:cs="Arial"/>
          <w:szCs w:val="24"/>
        </w:rPr>
        <w:t>systemu pieczy zastępczej</w:t>
      </w:r>
      <w:r>
        <w:rPr>
          <w:rFonts w:cs="Arial"/>
          <w:szCs w:val="24"/>
        </w:rPr>
        <w:t>;</w:t>
      </w:r>
      <w:r>
        <w:t>”</w:t>
      </w:r>
      <w:r>
        <w:t>,</w:t>
      </w:r>
    </w:p>
    <w:p w:rsidR="00E14895" w:rsidRDefault="00926ABC" w:rsidP="00466863">
      <w:pPr>
        <w:pStyle w:val="Akapitzlist"/>
        <w:numPr>
          <w:ilvl w:val="0"/>
          <w:numId w:val="3"/>
        </w:numPr>
        <w:spacing w:after="120"/>
        <w:contextualSpacing w:val="0"/>
      </w:pPr>
      <w:r>
        <w:t>w pkt 1</w:t>
      </w:r>
      <w:r>
        <w:t>3</w:t>
      </w:r>
      <w:r>
        <w:t xml:space="preserve"> kropkę zastępuje się średnikiem i dodaje pkt 1</w:t>
      </w:r>
      <w:r>
        <w:t xml:space="preserve">4 </w:t>
      </w:r>
      <w:r>
        <w:t>-</w:t>
      </w:r>
      <w:r>
        <w:t xml:space="preserve"> </w:t>
      </w:r>
      <w:r>
        <w:t>1</w:t>
      </w:r>
      <w:r>
        <w:t>6</w:t>
      </w:r>
      <w:r>
        <w:t xml:space="preserve"> w brzmieniu: </w:t>
      </w:r>
    </w:p>
    <w:p w:rsidR="00E14895" w:rsidRDefault="00926ABC" w:rsidP="00AD5CEA">
      <w:pPr>
        <w:pStyle w:val="Akapitzlist"/>
        <w:spacing w:after="120" w:line="240" w:lineRule="auto"/>
        <w:ind w:left="1276" w:hanging="425"/>
        <w:contextualSpacing w:val="0"/>
        <w:rPr>
          <w:rFonts w:cs="Arial"/>
          <w:szCs w:val="24"/>
        </w:rPr>
      </w:pPr>
      <w:r>
        <w:t>„1</w:t>
      </w:r>
      <w:r>
        <w:t>4</w:t>
      </w:r>
      <w:r>
        <w:t xml:space="preserve">) </w:t>
      </w:r>
      <w:r w:rsidRPr="00F22BC2">
        <w:rPr>
          <w:rFonts w:cs="Arial"/>
          <w:szCs w:val="24"/>
        </w:rPr>
        <w:t>wydawanie i cofanie zezwoleń na przyjęcie kolejnego dziecka do</w:t>
      </w:r>
      <w:r w:rsidR="007350BE">
        <w:rPr>
          <w:rFonts w:cs="Arial"/>
          <w:szCs w:val="24"/>
        </w:rPr>
        <w:t> </w:t>
      </w:r>
      <w:r w:rsidRPr="00F22BC2">
        <w:rPr>
          <w:rFonts w:cs="Arial"/>
          <w:szCs w:val="24"/>
        </w:rPr>
        <w:t>placówki</w:t>
      </w:r>
      <w:r>
        <w:rPr>
          <w:rFonts w:cs="Arial"/>
          <w:szCs w:val="24"/>
        </w:rPr>
        <w:t>;</w:t>
      </w:r>
    </w:p>
    <w:p w:rsidR="00E14895" w:rsidRDefault="00926ABC" w:rsidP="00AD5CEA">
      <w:pPr>
        <w:pStyle w:val="Akapitzlist"/>
        <w:spacing w:after="120" w:line="240" w:lineRule="auto"/>
        <w:ind w:left="1276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1</w:t>
      </w:r>
      <w:r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) </w:t>
      </w:r>
      <w:r w:rsidRPr="00697EFC">
        <w:rPr>
          <w:rFonts w:cs="Arial"/>
          <w:szCs w:val="24"/>
        </w:rPr>
        <w:t>gromadzenie informacji o liczbie miejsc w rodzinnej pieczy zastępczej na terenie danego powiatu</w:t>
      </w:r>
      <w:r>
        <w:rPr>
          <w:rFonts w:cs="Arial"/>
          <w:szCs w:val="24"/>
        </w:rPr>
        <w:t>;</w:t>
      </w:r>
    </w:p>
    <w:p w:rsidR="00E14895" w:rsidRPr="00E53A80" w:rsidRDefault="00926ABC" w:rsidP="00AD5CEA">
      <w:pPr>
        <w:pStyle w:val="Akapitzlist"/>
        <w:spacing w:after="360" w:line="240" w:lineRule="auto"/>
        <w:ind w:left="1276" w:hanging="425"/>
        <w:contextualSpacing w:val="0"/>
      </w:pPr>
      <w:r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</w:t>
      </w:r>
      <w:r w:rsidRPr="00697EFC">
        <w:rPr>
          <w:rFonts w:cs="Arial"/>
          <w:szCs w:val="24"/>
        </w:rPr>
        <w:t>udział, w roli obserwatora, w posiedzeniach ośrodka adopcyjnego dotyczących kwalifikowania dziecka do przysposobienia, dokonywania wstępnej oceny kandydata</w:t>
      </w:r>
      <w:r w:rsidRPr="00697EFC">
        <w:rPr>
          <w:rFonts w:cs="Arial"/>
          <w:szCs w:val="24"/>
        </w:rPr>
        <w:t xml:space="preserve"> do przysposobienia dziecka oraz wydawania opinii kwalifikacyjnej kandydata do przysposobienia dziecka w celu kontroli zapewnienia odpowiedniej jakości prowadzonych procedur przysposobienia</w:t>
      </w:r>
      <w:r>
        <w:rPr>
          <w:rFonts w:cs="Arial"/>
          <w:szCs w:val="24"/>
        </w:rPr>
        <w:t>.”</w:t>
      </w:r>
      <w:r>
        <w:rPr>
          <w:rFonts w:cs="Arial"/>
          <w:szCs w:val="24"/>
        </w:rPr>
        <w:t>.</w:t>
      </w:r>
    </w:p>
    <w:bookmarkEnd w:id="2"/>
    <w:p w:rsidR="00377B7C" w:rsidRDefault="00926ABC" w:rsidP="00377B7C">
      <w:pPr>
        <w:spacing w:after="720"/>
      </w:pPr>
      <w:r w:rsidRPr="00F4159C">
        <w:rPr>
          <w:b/>
          <w:bCs/>
        </w:rPr>
        <w:t xml:space="preserve">§ </w:t>
      </w:r>
      <w:r w:rsidRPr="00F4159C">
        <w:rPr>
          <w:b/>
          <w:bCs/>
        </w:rPr>
        <w:t>2.</w:t>
      </w:r>
      <w:r>
        <w:t xml:space="preserve"> Zarządzenie wchodzi w życie z dniem podpisania.</w:t>
      </w:r>
    </w:p>
    <w:p w:rsidR="00377B7C" w:rsidRPr="00F2167F" w:rsidRDefault="00377B7C" w:rsidP="007350BE">
      <w:pPr>
        <w:ind w:firstLine="6096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377B7C" w:rsidRPr="00F2167F" w:rsidRDefault="00377B7C" w:rsidP="007350BE">
      <w:pPr>
        <w:ind w:firstLine="6096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377B7C" w:rsidRPr="00F2167F" w:rsidSect="00377B7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BC" w:rsidRDefault="00926ABC">
      <w:pPr>
        <w:spacing w:after="0" w:line="240" w:lineRule="auto"/>
      </w:pPr>
      <w:r>
        <w:separator/>
      </w:r>
    </w:p>
  </w:endnote>
  <w:endnote w:type="continuationSeparator" w:id="0">
    <w:p w:rsidR="00926ABC" w:rsidRDefault="0092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B7C" w:rsidRPr="00377B7C" w:rsidRDefault="00377B7C" w:rsidP="00377B7C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BC" w:rsidRDefault="00926ABC" w:rsidP="00AF0158">
      <w:pPr>
        <w:spacing w:after="0" w:line="240" w:lineRule="auto"/>
      </w:pPr>
      <w:r>
        <w:separator/>
      </w:r>
    </w:p>
  </w:footnote>
  <w:footnote w:type="continuationSeparator" w:id="0">
    <w:p w:rsidR="00926ABC" w:rsidRDefault="00926ABC" w:rsidP="00AF0158">
      <w:pPr>
        <w:spacing w:after="0" w:line="240" w:lineRule="auto"/>
      </w:pPr>
      <w:r>
        <w:continuationSeparator/>
      </w:r>
    </w:p>
  </w:footnote>
  <w:footnote w:id="1">
    <w:p w:rsidR="00AF0158" w:rsidRDefault="00926ABC" w:rsidP="00466863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AF0158">
        <w:t>zmieniony zarządzeniami Wojewody Pomorskiego z dnia 23 grudnia 2021 r., 23 grudnia 2022</w:t>
      </w:r>
      <w:r>
        <w:t> </w:t>
      </w:r>
      <w:r w:rsidRPr="00AF0158">
        <w:t>r., 29 czerwca 2023 r., 13 października 2023 r., 6 grudnia 2023 r., 14 stycznia 2024 r., 22</w:t>
      </w:r>
      <w:r w:rsidRPr="00AF0158">
        <w:t xml:space="preserve"> lutego 2024 r., 26 marca 2024 r.</w:t>
      </w:r>
      <w:r>
        <w:t>,</w:t>
      </w:r>
      <w:r w:rsidRPr="00AF0158">
        <w:t xml:space="preserve"> 29 kwietnia 2024 r.</w:t>
      </w:r>
      <w:r>
        <w:t xml:space="preserve"> i z 28 sierpnia 2024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B7C" w:rsidRDefault="00377B7C" w:rsidP="00377B7C">
    <w:pPr>
      <w:pStyle w:val="Nagwek"/>
      <w:tabs>
        <w:tab w:val="clear" w:pos="4536"/>
        <w:tab w:val="clear" w:pos="9072"/>
        <w:tab w:val="left" w:pos="2915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B271B"/>
    <w:multiLevelType w:val="hybridMultilevel"/>
    <w:tmpl w:val="2DD011B8"/>
    <w:lvl w:ilvl="0" w:tplc="2014187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B831C2" w:tentative="1">
      <w:start w:val="1"/>
      <w:numFmt w:val="lowerLetter"/>
      <w:lvlText w:val="%2."/>
      <w:lvlJc w:val="left"/>
      <w:pPr>
        <w:ind w:left="1440" w:hanging="360"/>
      </w:pPr>
    </w:lvl>
    <w:lvl w:ilvl="2" w:tplc="5E5C554E" w:tentative="1">
      <w:start w:val="1"/>
      <w:numFmt w:val="lowerRoman"/>
      <w:lvlText w:val="%3."/>
      <w:lvlJc w:val="right"/>
      <w:pPr>
        <w:ind w:left="2160" w:hanging="180"/>
      </w:pPr>
    </w:lvl>
    <w:lvl w:ilvl="3" w:tplc="E75097A2" w:tentative="1">
      <w:start w:val="1"/>
      <w:numFmt w:val="decimal"/>
      <w:lvlText w:val="%4."/>
      <w:lvlJc w:val="left"/>
      <w:pPr>
        <w:ind w:left="2880" w:hanging="360"/>
      </w:pPr>
    </w:lvl>
    <w:lvl w:ilvl="4" w:tplc="96D03026" w:tentative="1">
      <w:start w:val="1"/>
      <w:numFmt w:val="lowerLetter"/>
      <w:lvlText w:val="%5."/>
      <w:lvlJc w:val="left"/>
      <w:pPr>
        <w:ind w:left="3600" w:hanging="360"/>
      </w:pPr>
    </w:lvl>
    <w:lvl w:ilvl="5" w:tplc="A052E552" w:tentative="1">
      <w:start w:val="1"/>
      <w:numFmt w:val="lowerRoman"/>
      <w:lvlText w:val="%6."/>
      <w:lvlJc w:val="right"/>
      <w:pPr>
        <w:ind w:left="4320" w:hanging="180"/>
      </w:pPr>
    </w:lvl>
    <w:lvl w:ilvl="6" w:tplc="0178C898" w:tentative="1">
      <w:start w:val="1"/>
      <w:numFmt w:val="decimal"/>
      <w:lvlText w:val="%7."/>
      <w:lvlJc w:val="left"/>
      <w:pPr>
        <w:ind w:left="5040" w:hanging="360"/>
      </w:pPr>
    </w:lvl>
    <w:lvl w:ilvl="7" w:tplc="10560484" w:tentative="1">
      <w:start w:val="1"/>
      <w:numFmt w:val="lowerLetter"/>
      <w:lvlText w:val="%8."/>
      <w:lvlJc w:val="left"/>
      <w:pPr>
        <w:ind w:left="5760" w:hanging="360"/>
      </w:pPr>
    </w:lvl>
    <w:lvl w:ilvl="8" w:tplc="9774B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688B"/>
    <w:multiLevelType w:val="hybridMultilevel"/>
    <w:tmpl w:val="DAA6AA76"/>
    <w:lvl w:ilvl="0" w:tplc="0F80E2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F90671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F25D1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D004ED"/>
    <w:multiLevelType w:val="hybridMultilevel"/>
    <w:tmpl w:val="322E5E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B9733F"/>
    <w:multiLevelType w:val="hybridMultilevel"/>
    <w:tmpl w:val="0D749EC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D175FB4"/>
    <w:multiLevelType w:val="hybridMultilevel"/>
    <w:tmpl w:val="841EEFB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7D765D63"/>
    <w:multiLevelType w:val="hybridMultilevel"/>
    <w:tmpl w:val="47A05334"/>
    <w:lvl w:ilvl="0" w:tplc="931E7F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FC486E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3CC95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FC2624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6D08D9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14C9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C0B9E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94CE4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A42BC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7C"/>
    <w:rsid w:val="00377B7C"/>
    <w:rsid w:val="007350BE"/>
    <w:rsid w:val="0092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CD7C"/>
  <w15:docId w15:val="{14520960-0369-4327-8DB0-2870FB8B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01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0158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01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C02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B7C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77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B7C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27 grudnia 2024 r.  zmieniające zarządzenie w sprawie ustalenia regulaminu organizacyjnego Wydziału Polityki Społecznej</dc:title>
  <dc:creator>Maria Leszczyńska</dc:creator>
  <cp:lastModifiedBy>Monika Giedrojć</cp:lastModifiedBy>
  <cp:revision>17</cp:revision>
  <cp:lastPrinted>2017-01-05T08:08:00Z</cp:lastPrinted>
  <dcterms:created xsi:type="dcterms:W3CDTF">2024-08-20T11:52:00Z</dcterms:created>
  <dcterms:modified xsi:type="dcterms:W3CDTF">2025-01-02T11:14:00Z</dcterms:modified>
</cp:coreProperties>
</file>