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2CF87" w14:textId="1545512E" w:rsidR="008B46D9" w:rsidRPr="00291CC8" w:rsidRDefault="008B46D9" w:rsidP="008B46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8"/>
          <w:lang w:val="pl-PL" w:eastAsia="pl-PL"/>
        </w:rPr>
      </w:pPr>
      <w:r w:rsidRPr="00291CC8">
        <w:rPr>
          <w:rFonts w:ascii="Times New Roman" w:eastAsia="Times New Roman" w:hAnsi="Times New Roman"/>
          <w:szCs w:val="28"/>
          <w:lang w:val="pl-PL" w:eastAsia="pl-PL"/>
        </w:rPr>
        <w:t>Załącznik</w:t>
      </w:r>
      <w:r w:rsidR="00C0484C" w:rsidRPr="00291CC8">
        <w:rPr>
          <w:rFonts w:ascii="Times New Roman" w:eastAsia="Times New Roman" w:hAnsi="Times New Roman"/>
          <w:szCs w:val="28"/>
          <w:lang w:val="pl-PL" w:eastAsia="pl-PL"/>
        </w:rPr>
        <w:t xml:space="preserve"> </w:t>
      </w:r>
      <w:r w:rsidRPr="00291CC8">
        <w:rPr>
          <w:rFonts w:ascii="Times New Roman" w:eastAsia="Times New Roman" w:hAnsi="Times New Roman"/>
          <w:szCs w:val="28"/>
          <w:lang w:val="pl-PL" w:eastAsia="pl-PL"/>
        </w:rPr>
        <w:t>B.12.</w:t>
      </w:r>
    </w:p>
    <w:p w14:paraId="57F3E8E0" w14:textId="77777777" w:rsidR="008B46D9" w:rsidRPr="00291CC8" w:rsidRDefault="008B46D9" w:rsidP="008B46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8"/>
          <w:lang w:val="pl-PL" w:eastAsia="pl-PL"/>
        </w:rPr>
      </w:pPr>
    </w:p>
    <w:p w14:paraId="1CB1523F" w14:textId="484FCCE6" w:rsidR="00225033" w:rsidRPr="00291CC8" w:rsidRDefault="002B739D" w:rsidP="008B46D9">
      <w:p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/>
          <w:b/>
          <w:sz w:val="28"/>
          <w:szCs w:val="28"/>
          <w:lang w:val="pl-PL" w:eastAsia="pl-PL"/>
        </w:rPr>
      </w:pPr>
      <w:r w:rsidRPr="00291CC8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LECZENIE</w:t>
      </w:r>
      <w:r w:rsidR="00C0484C" w:rsidRPr="00291CC8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</w:t>
      </w:r>
      <w:r w:rsidRPr="00291CC8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CHORYCH</w:t>
      </w:r>
      <w:r w:rsidR="00C0484C" w:rsidRPr="00291CC8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</w:t>
      </w:r>
      <w:r w:rsidRPr="00291CC8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NA</w:t>
      </w:r>
      <w:r w:rsidR="00C0484C" w:rsidRPr="00291CC8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</w:t>
      </w:r>
      <w:r w:rsidRPr="00291CC8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CHŁONIAKI</w:t>
      </w:r>
      <w:r w:rsidR="00C0484C" w:rsidRPr="00291CC8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</w:t>
      </w:r>
      <w:r w:rsidRPr="00291CC8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ZŁOŚLIWE</w:t>
      </w:r>
      <w:r w:rsidR="00C0484C" w:rsidRPr="00291CC8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</w:t>
      </w:r>
      <w:r w:rsidR="0049607E" w:rsidRPr="00291CC8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(ICD</w:t>
      </w:r>
      <w:r w:rsidR="00C0484C" w:rsidRPr="00291CC8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</w:t>
      </w:r>
      <w:r w:rsidR="0049607E" w:rsidRPr="00291CC8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-</w:t>
      </w:r>
      <w:r w:rsidR="00C0484C" w:rsidRPr="00291CC8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</w:t>
      </w:r>
      <w:r w:rsidRPr="00291CC8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10</w:t>
      </w:r>
      <w:r w:rsidR="00C0484C" w:rsidRPr="00291CC8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</w:t>
      </w:r>
      <w:r w:rsidR="006E4AE5" w:rsidRPr="00291CC8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C82</w:t>
      </w:r>
      <w:r w:rsidR="00D37755" w:rsidRPr="00291CC8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.0;</w:t>
      </w:r>
      <w:r w:rsidR="00C0484C" w:rsidRPr="00291CC8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</w:t>
      </w:r>
      <w:r w:rsidR="00D37755" w:rsidRPr="00291CC8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C82.1;</w:t>
      </w:r>
      <w:r w:rsidR="00C0484C" w:rsidRPr="00291CC8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</w:t>
      </w:r>
      <w:r w:rsidR="00D37755" w:rsidRPr="00291CC8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C82.7)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4"/>
        <w:gridCol w:w="4747"/>
        <w:gridCol w:w="5891"/>
      </w:tblGrid>
      <w:tr w:rsidR="00225033" w:rsidRPr="00291CC8" w14:paraId="5C46A02D" w14:textId="77777777" w:rsidTr="00291CC8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CFBD9" w14:textId="30ED95A0" w:rsidR="00225033" w:rsidRPr="00291CC8" w:rsidRDefault="00225033" w:rsidP="008B4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ZAKRES</w:t>
            </w:r>
            <w:r w:rsidR="00C0484C"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ŚWIADCZENIA</w:t>
            </w:r>
            <w:r w:rsidR="00C0484C"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GWARANTOWANEGO</w:t>
            </w:r>
          </w:p>
        </w:tc>
      </w:tr>
      <w:tr w:rsidR="00291CC8" w:rsidRPr="00291CC8" w14:paraId="699DF842" w14:textId="77777777" w:rsidTr="00291CC8">
        <w:trPr>
          <w:trHeight w:val="567"/>
        </w:trPr>
        <w:tc>
          <w:tcPr>
            <w:tcW w:w="1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7BD137" w14:textId="77777777" w:rsidR="00225033" w:rsidRPr="00291CC8" w:rsidRDefault="00225033" w:rsidP="008B4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ŚWIADCZENIOBIORCY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5EFEA" w14:textId="654517E4" w:rsidR="00225033" w:rsidRPr="00291CC8" w:rsidRDefault="00225033" w:rsidP="008B4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SCHEMAT</w:t>
            </w:r>
            <w:r w:rsidR="00C0484C"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DAWKOWANIA</w:t>
            </w:r>
            <w:r w:rsidR="00C0484C"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LEKÓW</w:t>
            </w:r>
            <w:r w:rsidR="00C0484C"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br/>
              <w:t>W</w:t>
            </w:r>
            <w:r w:rsidR="00C0484C"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PROGRAMIE</w:t>
            </w:r>
          </w:p>
        </w:tc>
        <w:tc>
          <w:tcPr>
            <w:tcW w:w="1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1C20B" w14:textId="37699B15" w:rsidR="00225033" w:rsidRPr="00291CC8" w:rsidRDefault="00225033" w:rsidP="008B4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BADANIA</w:t>
            </w:r>
            <w:r w:rsidR="00C0484C"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DIAGNOSTYCZNE</w:t>
            </w:r>
            <w:r w:rsidR="00C0484C"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WYKONYWANE</w:t>
            </w:r>
            <w:r w:rsidR="00C0484C"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br/>
              <w:t>W</w:t>
            </w:r>
            <w:r w:rsidR="00C0484C"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RAMACH</w:t>
            </w:r>
            <w:r w:rsidR="00C0484C"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PROGRAMU</w:t>
            </w:r>
          </w:p>
        </w:tc>
      </w:tr>
      <w:tr w:rsidR="00726C05" w:rsidRPr="00291CC8" w14:paraId="4FFFB361" w14:textId="77777777" w:rsidTr="00291CC8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C9C94" w14:textId="72F2C966" w:rsidR="00726C05" w:rsidRPr="00291CC8" w:rsidRDefault="00726C05" w:rsidP="008B4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Część</w:t>
            </w:r>
            <w:r w:rsidR="00C0484C"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I:</w:t>
            </w:r>
            <w:r w:rsidR="00C0484C"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Leczenie</w:t>
            </w:r>
            <w:r w:rsidR="00C0484C"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chorych</w:t>
            </w:r>
            <w:r w:rsidR="00C0484C"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na</w:t>
            </w:r>
            <w:r w:rsidR="00C0484C"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chłoniaka</w:t>
            </w:r>
            <w:proofErr w:type="spellEnd"/>
            <w:r w:rsidR="00C0484C"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grudkowego</w:t>
            </w:r>
            <w:r w:rsidR="00C0484C"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="00E24F42"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obinutuzumabem</w:t>
            </w:r>
            <w:proofErr w:type="spellEnd"/>
            <w:r w:rsidR="00C0484C"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(ICD</w:t>
            </w:r>
            <w:r w:rsidR="00C0484C"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–</w:t>
            </w:r>
            <w:r w:rsidR="00C0484C"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10</w:t>
            </w:r>
            <w:r w:rsidR="00C0484C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="00467AD3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C.82.0;</w:t>
            </w:r>
            <w:r w:rsidR="00C0484C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="00467AD3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C.82.1;</w:t>
            </w:r>
            <w:r w:rsidR="00C0484C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="00467AD3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C.82.7</w:t>
            </w: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)</w:t>
            </w:r>
            <w:r w:rsidR="00C0484C"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–</w:t>
            </w:r>
            <w:r w:rsidR="00C0484C"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pierwsza</w:t>
            </w:r>
            <w:r w:rsidR="00C0484C"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linia.</w:t>
            </w:r>
          </w:p>
        </w:tc>
      </w:tr>
      <w:tr w:rsidR="00291CC8" w:rsidRPr="00291CC8" w14:paraId="4DC12E09" w14:textId="77777777" w:rsidTr="00291CC8">
        <w:trPr>
          <w:trHeight w:val="20"/>
        </w:trPr>
        <w:tc>
          <w:tcPr>
            <w:tcW w:w="1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FB21" w14:textId="1AB7087E" w:rsidR="00225033" w:rsidRPr="00291CC8" w:rsidRDefault="000C5779" w:rsidP="00291CC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60" w:line="276" w:lineRule="auto"/>
              <w:ind w:right="23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b/>
                <w:bCs/>
                <w:sz w:val="20"/>
                <w:szCs w:val="20"/>
              </w:rPr>
              <w:t>Kryteria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k</w:t>
            </w:r>
            <w:r w:rsidR="00225033" w:rsidRPr="00291CC8">
              <w:rPr>
                <w:b/>
                <w:bCs/>
                <w:sz w:val="20"/>
                <w:szCs w:val="20"/>
              </w:rPr>
              <w:t>walifikacji</w:t>
            </w:r>
          </w:p>
          <w:p w14:paraId="6D340431" w14:textId="4F275100" w:rsidR="00225033" w:rsidRPr="00291CC8" w:rsidRDefault="00225033" w:rsidP="002C5861">
            <w:pPr>
              <w:autoSpaceDE w:val="0"/>
              <w:autoSpaceDN w:val="0"/>
              <w:adjustRightInd w:val="0"/>
              <w:spacing w:after="60"/>
              <w:ind w:right="21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Do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leczenia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kwalifikowani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są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E90630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wcześniej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E90630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nieleczeni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E90630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pacjenci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chłoniakiem</w:t>
            </w:r>
            <w:proofErr w:type="spellEnd"/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grudkowym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spełniający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łącznie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wszystkie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poniższe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kryteria:</w:t>
            </w:r>
          </w:p>
          <w:p w14:paraId="7F91B885" w14:textId="0530407C" w:rsidR="00225033" w:rsidRPr="00291CC8" w:rsidRDefault="00225033" w:rsidP="00291CC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/>
              <w:ind w:right="21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wiek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≥18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roku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życia;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</w:p>
          <w:p w14:paraId="5D28CB08" w14:textId="36E0DF13" w:rsidR="001F2F31" w:rsidRPr="00291CC8" w:rsidRDefault="001F2F31" w:rsidP="00291CC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/>
              <w:ind w:right="21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291C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>potwierdzony</w:t>
            </w:r>
            <w:r w:rsidR="00C0484C" w:rsidRPr="00291C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>histologicznie</w:t>
            </w:r>
            <w:r w:rsidR="00C0484C" w:rsidRPr="00291C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>zaawansowany</w:t>
            </w:r>
            <w:r w:rsidR="00C0484C" w:rsidRPr="00291C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291C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>chłoniak</w:t>
            </w:r>
            <w:proofErr w:type="spellEnd"/>
            <w:r w:rsidR="00C0484C" w:rsidRPr="00291C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>grudkowy</w:t>
            </w:r>
            <w:r w:rsidR="00C0484C" w:rsidRPr="00291C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>(stadium</w:t>
            </w:r>
            <w:r w:rsidR="00C0484C" w:rsidRPr="00291C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>II</w:t>
            </w:r>
            <w:r w:rsidR="00C0484C" w:rsidRPr="00291C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291C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>bulky</w:t>
            </w:r>
            <w:proofErr w:type="spellEnd"/>
            <w:r w:rsidRPr="00291C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>,</w:t>
            </w:r>
            <w:r w:rsidR="00C0484C" w:rsidRPr="00291C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>III</w:t>
            </w:r>
            <w:r w:rsidR="004651AD" w:rsidRPr="00291C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>,</w:t>
            </w:r>
            <w:r w:rsidR="00C0484C" w:rsidRPr="00291C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>IV</w:t>
            </w:r>
            <w:r w:rsidR="00C0484C" w:rsidRPr="00291C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>wg</w:t>
            </w:r>
            <w:r w:rsidR="00C0484C" w:rsidRPr="00291C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>Ann</w:t>
            </w:r>
            <w:r w:rsidR="00C0484C" w:rsidRPr="00291C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291C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>Arbor</w:t>
            </w:r>
            <w:proofErr w:type="spellEnd"/>
            <w:r w:rsidRPr="00291C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>)</w:t>
            </w:r>
            <w:r w:rsidR="0049607E" w:rsidRPr="00291C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>;</w:t>
            </w:r>
          </w:p>
          <w:p w14:paraId="74E5C1D3" w14:textId="455D67C9" w:rsidR="00225033" w:rsidRPr="00291CC8" w:rsidRDefault="00225033" w:rsidP="00291CC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/>
              <w:ind w:right="21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stan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ogólny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według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WHO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0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–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2.</w:t>
            </w:r>
          </w:p>
          <w:p w14:paraId="6683B1C7" w14:textId="77777777" w:rsidR="008B46D9" w:rsidRPr="00291CC8" w:rsidRDefault="008B46D9" w:rsidP="002C5861">
            <w:pPr>
              <w:autoSpaceDE w:val="0"/>
              <w:autoSpaceDN w:val="0"/>
              <w:adjustRightInd w:val="0"/>
              <w:spacing w:after="60"/>
              <w:ind w:left="498" w:right="21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14:paraId="2D49C1ED" w14:textId="7FBE7814" w:rsidR="00225033" w:rsidRPr="00291CC8" w:rsidRDefault="00225033" w:rsidP="00291CC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ind w:right="21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b/>
                <w:sz w:val="20"/>
                <w:szCs w:val="20"/>
              </w:rPr>
              <w:t>Kryteria</w:t>
            </w:r>
            <w:r w:rsidR="00C0484C" w:rsidRPr="00291CC8">
              <w:rPr>
                <w:b/>
                <w:sz w:val="20"/>
                <w:szCs w:val="20"/>
              </w:rPr>
              <w:t xml:space="preserve"> </w:t>
            </w:r>
            <w:r w:rsidRPr="00291CC8">
              <w:rPr>
                <w:b/>
                <w:sz w:val="20"/>
                <w:szCs w:val="20"/>
              </w:rPr>
              <w:t>uniemożliwiające</w:t>
            </w:r>
            <w:r w:rsidR="00C0484C" w:rsidRPr="00291CC8">
              <w:rPr>
                <w:b/>
                <w:sz w:val="20"/>
                <w:szCs w:val="20"/>
              </w:rPr>
              <w:t xml:space="preserve"> </w:t>
            </w:r>
            <w:r w:rsidRPr="00291CC8">
              <w:rPr>
                <w:b/>
                <w:sz w:val="20"/>
                <w:szCs w:val="20"/>
              </w:rPr>
              <w:t>włączenie</w:t>
            </w:r>
            <w:r w:rsidR="00C0484C" w:rsidRPr="00291CC8">
              <w:rPr>
                <w:b/>
                <w:sz w:val="20"/>
                <w:szCs w:val="20"/>
              </w:rPr>
              <w:t xml:space="preserve"> </w:t>
            </w:r>
            <w:r w:rsidRPr="00291CC8">
              <w:rPr>
                <w:b/>
                <w:sz w:val="20"/>
                <w:szCs w:val="20"/>
              </w:rPr>
              <w:t>do</w:t>
            </w:r>
            <w:r w:rsidR="00C0484C" w:rsidRPr="00291CC8">
              <w:rPr>
                <w:b/>
                <w:sz w:val="20"/>
                <w:szCs w:val="20"/>
              </w:rPr>
              <w:t xml:space="preserve"> </w:t>
            </w:r>
            <w:r w:rsidRPr="00291CC8">
              <w:rPr>
                <w:b/>
                <w:sz w:val="20"/>
                <w:szCs w:val="20"/>
              </w:rPr>
              <w:t>programu</w:t>
            </w:r>
          </w:p>
          <w:p w14:paraId="01A167C2" w14:textId="4778CA41" w:rsidR="00225033" w:rsidRPr="00291CC8" w:rsidRDefault="0049607E" w:rsidP="00291CC8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ind w:right="21"/>
              <w:contextualSpacing w:val="0"/>
              <w:jc w:val="both"/>
              <w:rPr>
                <w:bCs/>
                <w:sz w:val="20"/>
                <w:szCs w:val="20"/>
              </w:rPr>
            </w:pPr>
            <w:r w:rsidRPr="00291CC8">
              <w:rPr>
                <w:bCs/>
                <w:sz w:val="20"/>
                <w:szCs w:val="20"/>
              </w:rPr>
              <w:t>czynne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zakażenie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HBV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lub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HCV;</w:t>
            </w:r>
          </w:p>
          <w:p w14:paraId="28163BF8" w14:textId="422ED1DE" w:rsidR="00225033" w:rsidRPr="00291CC8" w:rsidRDefault="00225033" w:rsidP="00291CC8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ind w:right="21"/>
              <w:contextualSpacing w:val="0"/>
              <w:jc w:val="both"/>
              <w:rPr>
                <w:bCs/>
                <w:sz w:val="20"/>
                <w:szCs w:val="20"/>
              </w:rPr>
            </w:pPr>
            <w:r w:rsidRPr="00291CC8">
              <w:rPr>
                <w:bCs/>
                <w:sz w:val="20"/>
                <w:szCs w:val="20"/>
              </w:rPr>
              <w:t>aktywność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AST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lub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ALT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przekraczająca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ponad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5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razy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wartość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górnej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granicy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normy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dla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danego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laboratorium;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</w:p>
          <w:p w14:paraId="78075F4D" w14:textId="66D3EFD7" w:rsidR="00225033" w:rsidRPr="00291CC8" w:rsidRDefault="00225033" w:rsidP="00291CC8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ind w:right="21"/>
              <w:contextualSpacing w:val="0"/>
              <w:jc w:val="both"/>
              <w:rPr>
                <w:bCs/>
                <w:sz w:val="20"/>
                <w:szCs w:val="20"/>
              </w:rPr>
            </w:pPr>
            <w:r w:rsidRPr="00291CC8">
              <w:rPr>
                <w:bCs/>
                <w:sz w:val="20"/>
                <w:szCs w:val="20"/>
              </w:rPr>
              <w:t>stężenie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bilirubiny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przekraczające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3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razy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wartość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górnej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granicy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normy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dla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danego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laboratorium;</w:t>
            </w:r>
          </w:p>
          <w:p w14:paraId="4DDFF9E1" w14:textId="0C64CB0B" w:rsidR="00225033" w:rsidRPr="00291CC8" w:rsidRDefault="002A13BB" w:rsidP="00291CC8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ind w:right="21"/>
              <w:contextualSpacing w:val="0"/>
              <w:jc w:val="both"/>
              <w:rPr>
                <w:bCs/>
                <w:sz w:val="20"/>
                <w:szCs w:val="20"/>
              </w:rPr>
            </w:pPr>
            <w:r w:rsidRPr="00291CC8">
              <w:rPr>
                <w:bCs/>
                <w:sz w:val="20"/>
                <w:szCs w:val="20"/>
              </w:rPr>
              <w:t>niewydoln</w:t>
            </w:r>
            <w:r w:rsidR="0049607E" w:rsidRPr="00291CC8">
              <w:rPr>
                <w:bCs/>
                <w:sz w:val="20"/>
                <w:szCs w:val="20"/>
              </w:rPr>
              <w:t>ość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="0049607E" w:rsidRPr="00291CC8">
              <w:rPr>
                <w:bCs/>
                <w:sz w:val="20"/>
                <w:szCs w:val="20"/>
              </w:rPr>
              <w:t>krążenia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="0049607E" w:rsidRPr="00291CC8">
              <w:rPr>
                <w:bCs/>
                <w:sz w:val="20"/>
                <w:szCs w:val="20"/>
              </w:rPr>
              <w:t>wg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="0049607E" w:rsidRPr="00291CC8">
              <w:rPr>
                <w:bCs/>
                <w:sz w:val="20"/>
                <w:szCs w:val="20"/>
              </w:rPr>
              <w:t>skali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="0049607E" w:rsidRPr="00291CC8">
              <w:rPr>
                <w:bCs/>
                <w:sz w:val="20"/>
                <w:szCs w:val="20"/>
              </w:rPr>
              <w:t>NYHA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="0049607E" w:rsidRPr="00291CC8">
              <w:rPr>
                <w:bCs/>
                <w:sz w:val="20"/>
                <w:szCs w:val="20"/>
              </w:rPr>
              <w:t>&gt;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="0049607E" w:rsidRPr="00291CC8">
              <w:rPr>
                <w:bCs/>
                <w:sz w:val="20"/>
                <w:szCs w:val="20"/>
              </w:rPr>
              <w:t>II;</w:t>
            </w:r>
          </w:p>
          <w:p w14:paraId="24821A5C" w14:textId="509A8BBD" w:rsidR="00225033" w:rsidRPr="00291CC8" w:rsidRDefault="00EB52F7" w:rsidP="00291CC8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ind w:right="21"/>
              <w:contextualSpacing w:val="0"/>
              <w:jc w:val="both"/>
              <w:rPr>
                <w:bCs/>
                <w:sz w:val="20"/>
                <w:szCs w:val="20"/>
              </w:rPr>
            </w:pPr>
            <w:r w:rsidRPr="00291CC8">
              <w:rPr>
                <w:bCs/>
                <w:sz w:val="20"/>
                <w:szCs w:val="20"/>
              </w:rPr>
              <w:t>niewydolność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wieńcowa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w</w:t>
            </w:r>
            <w:r w:rsidR="002A13BB" w:rsidRPr="00291CC8">
              <w:rPr>
                <w:bCs/>
                <w:sz w:val="20"/>
                <w:szCs w:val="20"/>
              </w:rPr>
              <w:t>g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="002A13BB" w:rsidRPr="00291CC8">
              <w:rPr>
                <w:bCs/>
                <w:sz w:val="20"/>
                <w:szCs w:val="20"/>
              </w:rPr>
              <w:t>skali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="002A13BB" w:rsidRPr="00291CC8">
              <w:rPr>
                <w:bCs/>
                <w:sz w:val="20"/>
                <w:szCs w:val="20"/>
              </w:rPr>
              <w:t>CSS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="0049607E" w:rsidRPr="00291CC8">
              <w:rPr>
                <w:bCs/>
                <w:sz w:val="20"/>
                <w:szCs w:val="20"/>
              </w:rPr>
              <w:t>&gt;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="0049607E" w:rsidRPr="00291CC8">
              <w:rPr>
                <w:bCs/>
                <w:sz w:val="20"/>
                <w:szCs w:val="20"/>
              </w:rPr>
              <w:t>II;</w:t>
            </w:r>
          </w:p>
          <w:p w14:paraId="2E3A0B4C" w14:textId="55A96682" w:rsidR="00225033" w:rsidRPr="00291CC8" w:rsidRDefault="00225033" w:rsidP="00291CC8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ind w:right="21"/>
              <w:contextualSpacing w:val="0"/>
              <w:jc w:val="both"/>
              <w:rPr>
                <w:bCs/>
                <w:sz w:val="20"/>
                <w:szCs w:val="20"/>
              </w:rPr>
            </w:pPr>
            <w:r w:rsidRPr="00291CC8">
              <w:rPr>
                <w:bCs/>
                <w:sz w:val="20"/>
                <w:szCs w:val="20"/>
              </w:rPr>
              <w:t>inne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czynne,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ciężkie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zakażenia;</w:t>
            </w:r>
          </w:p>
          <w:p w14:paraId="6489B205" w14:textId="05FCB62D" w:rsidR="00225033" w:rsidRPr="00291CC8" w:rsidRDefault="00225033" w:rsidP="00291CC8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ind w:right="21"/>
              <w:contextualSpacing w:val="0"/>
              <w:jc w:val="both"/>
              <w:rPr>
                <w:bCs/>
                <w:sz w:val="20"/>
                <w:szCs w:val="20"/>
              </w:rPr>
            </w:pPr>
            <w:r w:rsidRPr="00291CC8">
              <w:rPr>
                <w:bCs/>
                <w:sz w:val="20"/>
                <w:szCs w:val="20"/>
              </w:rPr>
              <w:t>ciąża.</w:t>
            </w:r>
          </w:p>
          <w:p w14:paraId="66BE7FC1" w14:textId="77777777" w:rsidR="008B46D9" w:rsidRPr="00291CC8" w:rsidRDefault="008B46D9" w:rsidP="002C5861">
            <w:pPr>
              <w:autoSpaceDE w:val="0"/>
              <w:autoSpaceDN w:val="0"/>
              <w:adjustRightInd w:val="0"/>
              <w:spacing w:after="60"/>
              <w:ind w:right="21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</w:pPr>
          </w:p>
          <w:p w14:paraId="117F52F2" w14:textId="57BE9F39" w:rsidR="00225033" w:rsidRPr="00291CC8" w:rsidRDefault="00C0484C" w:rsidP="00291CC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ind w:right="21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b/>
                <w:bCs/>
                <w:sz w:val="20"/>
                <w:szCs w:val="20"/>
              </w:rPr>
              <w:t xml:space="preserve"> </w:t>
            </w:r>
            <w:r w:rsidR="00225033" w:rsidRPr="00291CC8">
              <w:rPr>
                <w:b/>
                <w:bCs/>
                <w:sz w:val="20"/>
                <w:szCs w:val="20"/>
              </w:rPr>
              <w:t>Określenie</w:t>
            </w:r>
            <w:r w:rsidRPr="00291CC8">
              <w:rPr>
                <w:b/>
                <w:bCs/>
                <w:sz w:val="20"/>
                <w:szCs w:val="20"/>
              </w:rPr>
              <w:t xml:space="preserve"> </w:t>
            </w:r>
            <w:r w:rsidR="00225033" w:rsidRPr="00291CC8">
              <w:rPr>
                <w:b/>
                <w:bCs/>
                <w:sz w:val="20"/>
                <w:szCs w:val="20"/>
              </w:rPr>
              <w:t>czasu</w:t>
            </w:r>
            <w:r w:rsidRPr="00291CC8">
              <w:rPr>
                <w:b/>
                <w:bCs/>
                <w:sz w:val="20"/>
                <w:szCs w:val="20"/>
              </w:rPr>
              <w:t xml:space="preserve"> </w:t>
            </w:r>
            <w:r w:rsidR="00225033" w:rsidRPr="00291CC8">
              <w:rPr>
                <w:b/>
                <w:bCs/>
                <w:sz w:val="20"/>
                <w:szCs w:val="20"/>
              </w:rPr>
              <w:t>leczenia</w:t>
            </w:r>
            <w:r w:rsidRPr="00291CC8">
              <w:rPr>
                <w:b/>
                <w:bCs/>
                <w:sz w:val="20"/>
                <w:szCs w:val="20"/>
              </w:rPr>
              <w:t xml:space="preserve"> </w:t>
            </w:r>
            <w:r w:rsidR="00225033" w:rsidRPr="00291CC8">
              <w:rPr>
                <w:b/>
                <w:bCs/>
                <w:sz w:val="20"/>
                <w:szCs w:val="20"/>
              </w:rPr>
              <w:t>w</w:t>
            </w:r>
            <w:r w:rsidRPr="00291CC8">
              <w:rPr>
                <w:b/>
                <w:bCs/>
                <w:sz w:val="20"/>
                <w:szCs w:val="20"/>
              </w:rPr>
              <w:t xml:space="preserve"> </w:t>
            </w:r>
            <w:r w:rsidR="00225033" w:rsidRPr="00291CC8">
              <w:rPr>
                <w:b/>
                <w:bCs/>
                <w:sz w:val="20"/>
                <w:szCs w:val="20"/>
              </w:rPr>
              <w:t>programie</w:t>
            </w:r>
          </w:p>
          <w:p w14:paraId="5C9DBB52" w14:textId="5D461567" w:rsidR="00225033" w:rsidRPr="00291CC8" w:rsidRDefault="00225033" w:rsidP="002C5861">
            <w:pPr>
              <w:autoSpaceDE w:val="0"/>
              <w:autoSpaceDN w:val="0"/>
              <w:adjustRightInd w:val="0"/>
              <w:spacing w:after="60"/>
              <w:ind w:right="21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Czas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leczenia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programie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określa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lekarz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na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podstawie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kryteriów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włączenia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i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kryteriów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wyłączenia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programu.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Maksymalny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czas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leczenia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indukcyjnego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wynosi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6-8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cykli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zależności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od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zastosowanej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chemioterapii,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zaś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maksymalny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czas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leczenia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podtrzymującego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wynosi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2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lata.</w:t>
            </w:r>
          </w:p>
          <w:p w14:paraId="53545E9D" w14:textId="77777777" w:rsidR="008B46D9" w:rsidRPr="00291CC8" w:rsidRDefault="008B46D9" w:rsidP="002C5861">
            <w:pPr>
              <w:autoSpaceDE w:val="0"/>
              <w:autoSpaceDN w:val="0"/>
              <w:adjustRightInd w:val="0"/>
              <w:spacing w:after="60"/>
              <w:ind w:right="21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14:paraId="5ECCB73F" w14:textId="6492E257" w:rsidR="00225033" w:rsidRPr="00291CC8" w:rsidRDefault="00225033" w:rsidP="00291CC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ind w:right="21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b/>
                <w:bCs/>
                <w:sz w:val="20"/>
                <w:szCs w:val="20"/>
              </w:rPr>
              <w:t>Kryteria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wyłączenia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z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programu</w:t>
            </w:r>
          </w:p>
          <w:p w14:paraId="6E9EC220" w14:textId="0EC92D4F" w:rsidR="00225033" w:rsidRPr="00291CC8" w:rsidRDefault="00225033" w:rsidP="00291CC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/>
              <w:ind w:right="21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wystąpienie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objawów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nadwrażliwości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na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obinutuzumab</w:t>
            </w:r>
            <w:proofErr w:type="spellEnd"/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,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którykolwiek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ze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składników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preparatu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lub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na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białka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mysie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(reakcje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związane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z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wlewem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4.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stopnia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wg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CTCAE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oraz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powtórne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wystąpienie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reakcji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związanych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z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wlewem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stopnia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3.);</w:t>
            </w:r>
          </w:p>
          <w:p w14:paraId="5B8A4873" w14:textId="77E0781D" w:rsidR="00225033" w:rsidRPr="00291CC8" w:rsidRDefault="00225033" w:rsidP="00291CC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/>
              <w:ind w:right="21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wystąpienie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po</w:t>
            </w:r>
            <w:r w:rsidR="0049607E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wikłań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49607E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narządowych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49607E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4.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49607E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stopnia,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związanych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z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leczeniem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obinutuzumabem</w:t>
            </w:r>
            <w:proofErr w:type="spellEnd"/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;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</w:p>
          <w:p w14:paraId="630A434F" w14:textId="09959629" w:rsidR="00225033" w:rsidRPr="00291CC8" w:rsidRDefault="00225033" w:rsidP="00291CC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/>
              <w:ind w:right="21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progresja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choroby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trakcie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leczenia,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oceniana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po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podaniu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co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najmniej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2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cykli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leczenia;</w:t>
            </w:r>
          </w:p>
          <w:p w14:paraId="1BC51E3E" w14:textId="06A8925C" w:rsidR="00225033" w:rsidRPr="00291CC8" w:rsidRDefault="00225033" w:rsidP="00291CC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/>
              <w:ind w:right="21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rozpoznanie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postępującej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wieloogniskowej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leukoencefalopatii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(PML);</w:t>
            </w:r>
          </w:p>
          <w:p w14:paraId="7426039E" w14:textId="47AD781F" w:rsidR="00225033" w:rsidRPr="00291CC8" w:rsidRDefault="00225033" w:rsidP="00291CC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/>
              <w:ind w:right="21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czynne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zakażenie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HBV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lub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HCV;</w:t>
            </w:r>
          </w:p>
          <w:p w14:paraId="1A0F8367" w14:textId="77777777" w:rsidR="00225033" w:rsidRPr="00291CC8" w:rsidRDefault="00225033" w:rsidP="00291CC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/>
              <w:ind w:right="21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ciąża.</w:t>
            </w:r>
          </w:p>
          <w:p w14:paraId="76B8BD69" w14:textId="70236CBD" w:rsidR="002C5861" w:rsidRPr="00291CC8" w:rsidRDefault="002C5861" w:rsidP="002C5861">
            <w:pPr>
              <w:autoSpaceDE w:val="0"/>
              <w:autoSpaceDN w:val="0"/>
              <w:adjustRightInd w:val="0"/>
              <w:spacing w:after="60"/>
              <w:ind w:left="454" w:right="21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5DA2" w14:textId="248932A6" w:rsidR="00225033" w:rsidRPr="00291CC8" w:rsidRDefault="00225033" w:rsidP="00291CC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60" w:line="276" w:lineRule="auto"/>
              <w:ind w:right="74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291CC8">
              <w:rPr>
                <w:b/>
                <w:bCs/>
                <w:sz w:val="20"/>
                <w:szCs w:val="20"/>
              </w:rPr>
              <w:t>Dawkowanie</w:t>
            </w:r>
          </w:p>
          <w:p w14:paraId="54DFC653" w14:textId="60D51AA9" w:rsidR="00225033" w:rsidRPr="00291CC8" w:rsidRDefault="00225033" w:rsidP="00291CC8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ind w:right="73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291CC8">
              <w:rPr>
                <w:b/>
                <w:bCs/>
                <w:sz w:val="20"/>
                <w:szCs w:val="20"/>
              </w:rPr>
              <w:t>Chłoniak</w:t>
            </w:r>
            <w:proofErr w:type="spellEnd"/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złośliwy</w:t>
            </w:r>
            <w:r w:rsidR="00C0484C" w:rsidRPr="00291CC8">
              <w:rPr>
                <w:b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typu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grudkowego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wymagający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leczenia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–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leczenie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indukcyjne</w:t>
            </w:r>
          </w:p>
          <w:p w14:paraId="27C83A04" w14:textId="01D860BF" w:rsidR="00225033" w:rsidRPr="00291CC8" w:rsidRDefault="00225033" w:rsidP="002C5861">
            <w:pPr>
              <w:spacing w:after="60"/>
              <w:ind w:left="227" w:right="73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>Leczenie</w:t>
            </w:r>
            <w:r w:rsidR="00C0484C"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>indukcyjne</w:t>
            </w:r>
            <w:r w:rsidR="00C0484C"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>(w</w:t>
            </w:r>
            <w:r w:rsidR="00C0484C"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>skojarzeniu</w:t>
            </w:r>
            <w:r w:rsidR="00C0484C"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>z</w:t>
            </w:r>
            <w:r w:rsidR="00C0484C"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>chemioterapią</w:t>
            </w:r>
            <w:r w:rsidR="00C0484C"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5D7ED1"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>-</w:t>
            </w:r>
            <w:r w:rsidR="00C0484C"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5D7ED1"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>CHOP,</w:t>
            </w:r>
            <w:r w:rsidR="00C0484C"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5D7ED1"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>CVP</w:t>
            </w:r>
            <w:r w:rsidR="00C0484C"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5D7ED1"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>lub</w:t>
            </w:r>
            <w:r w:rsidR="00C0484C"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5D7ED1"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>Benda</w:t>
            </w:r>
            <w:r w:rsidR="002A13BB"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>mustyna</w:t>
            </w:r>
            <w:proofErr w:type="spellEnd"/>
            <w:r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>)</w:t>
            </w:r>
            <w:r w:rsidR="00C0484C"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</w:p>
          <w:p w14:paraId="47667974" w14:textId="7F06BC4B" w:rsidR="00225033" w:rsidRPr="00291CC8" w:rsidRDefault="00225033" w:rsidP="002C5861">
            <w:pPr>
              <w:pStyle w:val="Akapitzlist"/>
              <w:spacing w:after="60" w:line="276" w:lineRule="auto"/>
              <w:ind w:left="454" w:right="73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i/>
                <w:iCs/>
                <w:sz w:val="20"/>
                <w:szCs w:val="20"/>
              </w:rPr>
              <w:t>Cykl</w:t>
            </w:r>
            <w:r w:rsidR="00C0484C" w:rsidRPr="00291CC8">
              <w:rPr>
                <w:i/>
                <w:iCs/>
                <w:sz w:val="20"/>
                <w:szCs w:val="20"/>
              </w:rPr>
              <w:t xml:space="preserve"> </w:t>
            </w:r>
            <w:r w:rsidRPr="00291CC8">
              <w:rPr>
                <w:i/>
                <w:iCs/>
                <w:sz w:val="20"/>
                <w:szCs w:val="20"/>
              </w:rPr>
              <w:t>1</w:t>
            </w:r>
            <w:r w:rsidR="00C0484C" w:rsidRPr="00291CC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414E345A" w14:textId="615664A0" w:rsidR="005D7ED1" w:rsidRPr="00291CC8" w:rsidRDefault="00225033" w:rsidP="002C5861">
            <w:pPr>
              <w:spacing w:after="60"/>
              <w:ind w:left="227" w:right="73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proofErr w:type="spellStart"/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Obinutuzumab</w:t>
            </w:r>
            <w:proofErr w:type="spellEnd"/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dawce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1000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mg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skojarzeniu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chemioterapią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podaje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się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1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A467CD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dniu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A467CD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((dopuszcza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A467CD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się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A467CD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rozdzielenie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A467CD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dawki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A467CD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-100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A467CD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mg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A467CD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A467CD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1.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A467CD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dniu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A467CD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i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A467CD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900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A467CD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mg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A467CD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A467CD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2.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A467CD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dniu)</w:t>
            </w:r>
            <w:r w:rsidR="0049607E" w:rsidRPr="00291CC8">
              <w:rPr>
                <w:rFonts w:ascii="Times New Roman" w:hAnsi="Times New Roman"/>
                <w:lang w:val="pl-PL"/>
              </w:rPr>
              <w:t>,</w:t>
            </w:r>
            <w:r w:rsidR="00C0484C" w:rsidRPr="00291CC8">
              <w:rPr>
                <w:rFonts w:ascii="Times New Roman" w:hAnsi="Times New Roman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8.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8D011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d</w:t>
            </w:r>
            <w:r w:rsidR="00A467CD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niu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i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15.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dniu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pierwszego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cyklu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leczenia.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  <w:p w14:paraId="703B3908" w14:textId="13786502" w:rsidR="002041EB" w:rsidRPr="00291CC8" w:rsidRDefault="00225033" w:rsidP="002C5861">
            <w:pPr>
              <w:pStyle w:val="Akapitzlist"/>
              <w:spacing w:after="60" w:line="276" w:lineRule="auto"/>
              <w:ind w:left="454" w:right="73"/>
              <w:contextualSpacing w:val="0"/>
              <w:jc w:val="both"/>
              <w:rPr>
                <w:i/>
                <w:iCs/>
                <w:sz w:val="20"/>
                <w:szCs w:val="20"/>
              </w:rPr>
            </w:pPr>
            <w:r w:rsidRPr="00291CC8">
              <w:rPr>
                <w:i/>
                <w:iCs/>
                <w:sz w:val="20"/>
                <w:szCs w:val="20"/>
              </w:rPr>
              <w:t>Cykle</w:t>
            </w:r>
            <w:r w:rsidR="00C0484C" w:rsidRPr="00291CC8">
              <w:rPr>
                <w:i/>
                <w:iCs/>
                <w:sz w:val="20"/>
                <w:szCs w:val="20"/>
              </w:rPr>
              <w:t xml:space="preserve"> </w:t>
            </w:r>
            <w:r w:rsidRPr="00291CC8">
              <w:rPr>
                <w:i/>
                <w:iCs/>
                <w:sz w:val="20"/>
                <w:szCs w:val="20"/>
              </w:rPr>
              <w:t>2-6</w:t>
            </w:r>
            <w:r w:rsidR="00C0484C" w:rsidRPr="00291CC8">
              <w:rPr>
                <w:i/>
                <w:iCs/>
                <w:sz w:val="20"/>
                <w:szCs w:val="20"/>
              </w:rPr>
              <w:t xml:space="preserve"> </w:t>
            </w:r>
            <w:r w:rsidRPr="00291CC8">
              <w:rPr>
                <w:i/>
                <w:iCs/>
                <w:sz w:val="20"/>
                <w:szCs w:val="20"/>
              </w:rPr>
              <w:t>lub</w:t>
            </w:r>
            <w:r w:rsidR="00C0484C" w:rsidRPr="00291CC8">
              <w:rPr>
                <w:i/>
                <w:iCs/>
                <w:sz w:val="20"/>
                <w:szCs w:val="20"/>
              </w:rPr>
              <w:t xml:space="preserve"> </w:t>
            </w:r>
            <w:r w:rsidRPr="00291CC8">
              <w:rPr>
                <w:i/>
                <w:iCs/>
                <w:sz w:val="20"/>
                <w:szCs w:val="20"/>
              </w:rPr>
              <w:t>2-8</w:t>
            </w:r>
            <w:r w:rsidR="00C0484C" w:rsidRPr="00291CC8">
              <w:rPr>
                <w:i/>
                <w:iCs/>
                <w:sz w:val="20"/>
                <w:szCs w:val="20"/>
              </w:rPr>
              <w:t xml:space="preserve"> </w:t>
            </w:r>
            <w:r w:rsidRPr="00291CC8">
              <w:rPr>
                <w:i/>
                <w:iCs/>
                <w:sz w:val="20"/>
                <w:szCs w:val="20"/>
              </w:rPr>
              <w:t>(</w:t>
            </w:r>
            <w:r w:rsidR="00D05A1E" w:rsidRPr="00291CC8">
              <w:rPr>
                <w:i/>
                <w:iCs/>
                <w:sz w:val="20"/>
                <w:szCs w:val="20"/>
              </w:rPr>
              <w:t>liczba</w:t>
            </w:r>
            <w:r w:rsidR="00C0484C" w:rsidRPr="00291CC8">
              <w:rPr>
                <w:i/>
                <w:iCs/>
                <w:sz w:val="20"/>
                <w:szCs w:val="20"/>
              </w:rPr>
              <w:t xml:space="preserve"> </w:t>
            </w:r>
            <w:r w:rsidR="00EB52F7" w:rsidRPr="00291CC8">
              <w:rPr>
                <w:i/>
                <w:iCs/>
                <w:sz w:val="20"/>
                <w:szCs w:val="20"/>
              </w:rPr>
              <w:t>cykli</w:t>
            </w:r>
            <w:r w:rsidR="00C0484C" w:rsidRPr="00291CC8">
              <w:rPr>
                <w:i/>
                <w:iCs/>
                <w:sz w:val="20"/>
                <w:szCs w:val="20"/>
              </w:rPr>
              <w:t xml:space="preserve"> </w:t>
            </w:r>
            <w:r w:rsidR="00EB52F7" w:rsidRPr="00291CC8">
              <w:rPr>
                <w:i/>
                <w:iCs/>
                <w:sz w:val="20"/>
                <w:szCs w:val="20"/>
              </w:rPr>
              <w:t>oraz</w:t>
            </w:r>
            <w:r w:rsidR="00C0484C" w:rsidRPr="00291CC8">
              <w:rPr>
                <w:i/>
                <w:iCs/>
                <w:sz w:val="20"/>
                <w:szCs w:val="20"/>
              </w:rPr>
              <w:t xml:space="preserve"> </w:t>
            </w:r>
            <w:r w:rsidR="00EB52F7" w:rsidRPr="00291CC8">
              <w:rPr>
                <w:i/>
                <w:iCs/>
                <w:sz w:val="20"/>
                <w:szCs w:val="20"/>
              </w:rPr>
              <w:t>ich</w:t>
            </w:r>
            <w:r w:rsidR="00C0484C" w:rsidRPr="00291CC8">
              <w:rPr>
                <w:i/>
                <w:iCs/>
                <w:sz w:val="20"/>
                <w:szCs w:val="20"/>
              </w:rPr>
              <w:t xml:space="preserve"> </w:t>
            </w:r>
            <w:r w:rsidR="00EB52F7" w:rsidRPr="00291CC8">
              <w:rPr>
                <w:i/>
                <w:iCs/>
                <w:sz w:val="20"/>
                <w:szCs w:val="20"/>
              </w:rPr>
              <w:t>długość</w:t>
            </w:r>
            <w:r w:rsidR="00C0484C" w:rsidRPr="00291CC8">
              <w:rPr>
                <w:i/>
                <w:iCs/>
                <w:sz w:val="20"/>
                <w:szCs w:val="20"/>
              </w:rPr>
              <w:t xml:space="preserve"> </w:t>
            </w:r>
            <w:r w:rsidR="00EB52F7" w:rsidRPr="00291CC8">
              <w:rPr>
                <w:i/>
                <w:iCs/>
                <w:sz w:val="20"/>
                <w:szCs w:val="20"/>
              </w:rPr>
              <w:t>zależna</w:t>
            </w:r>
            <w:r w:rsidR="00C0484C" w:rsidRPr="00291CC8">
              <w:rPr>
                <w:i/>
                <w:iCs/>
                <w:sz w:val="20"/>
                <w:szCs w:val="20"/>
              </w:rPr>
              <w:t xml:space="preserve"> </w:t>
            </w:r>
            <w:r w:rsidR="00EB52F7" w:rsidRPr="00291CC8">
              <w:rPr>
                <w:i/>
                <w:iCs/>
                <w:sz w:val="20"/>
                <w:szCs w:val="20"/>
              </w:rPr>
              <w:t>od</w:t>
            </w:r>
            <w:r w:rsidR="00C0484C" w:rsidRPr="00291CC8">
              <w:rPr>
                <w:i/>
                <w:iCs/>
                <w:sz w:val="20"/>
                <w:szCs w:val="20"/>
              </w:rPr>
              <w:t xml:space="preserve"> </w:t>
            </w:r>
            <w:r w:rsidR="00EB52F7" w:rsidRPr="00291CC8">
              <w:rPr>
                <w:i/>
                <w:iCs/>
                <w:sz w:val="20"/>
                <w:szCs w:val="20"/>
              </w:rPr>
              <w:t>zastosowanego</w:t>
            </w:r>
            <w:r w:rsidR="00C0484C" w:rsidRPr="00291CC8">
              <w:rPr>
                <w:i/>
                <w:iCs/>
                <w:sz w:val="20"/>
                <w:szCs w:val="20"/>
              </w:rPr>
              <w:t xml:space="preserve"> </w:t>
            </w:r>
            <w:r w:rsidR="00EB52F7" w:rsidRPr="00291CC8">
              <w:rPr>
                <w:i/>
                <w:iCs/>
                <w:sz w:val="20"/>
                <w:szCs w:val="20"/>
              </w:rPr>
              <w:t>schematu</w:t>
            </w:r>
            <w:r w:rsidR="00C0484C" w:rsidRPr="00291CC8">
              <w:rPr>
                <w:i/>
                <w:iCs/>
                <w:sz w:val="20"/>
                <w:szCs w:val="20"/>
              </w:rPr>
              <w:t xml:space="preserve"> </w:t>
            </w:r>
            <w:r w:rsidR="00EB52F7" w:rsidRPr="00291CC8">
              <w:rPr>
                <w:i/>
                <w:iCs/>
                <w:sz w:val="20"/>
                <w:szCs w:val="20"/>
              </w:rPr>
              <w:t>chemioterapii</w:t>
            </w:r>
            <w:r w:rsidR="00C0484C" w:rsidRPr="00291CC8">
              <w:rPr>
                <w:i/>
                <w:iCs/>
                <w:sz w:val="20"/>
                <w:szCs w:val="20"/>
              </w:rPr>
              <w:t xml:space="preserve"> </w:t>
            </w:r>
            <w:r w:rsidR="005D7ED1" w:rsidRPr="00291CC8">
              <w:rPr>
                <w:i/>
                <w:iCs/>
                <w:sz w:val="20"/>
                <w:szCs w:val="20"/>
              </w:rPr>
              <w:t>zgodnie</w:t>
            </w:r>
            <w:r w:rsidR="00C0484C" w:rsidRPr="00291CC8">
              <w:rPr>
                <w:i/>
                <w:iCs/>
                <w:sz w:val="20"/>
                <w:szCs w:val="20"/>
              </w:rPr>
              <w:t xml:space="preserve"> </w:t>
            </w:r>
            <w:r w:rsidR="005D7ED1" w:rsidRPr="00291CC8">
              <w:rPr>
                <w:i/>
                <w:iCs/>
                <w:sz w:val="20"/>
                <w:szCs w:val="20"/>
              </w:rPr>
              <w:t>z</w:t>
            </w:r>
            <w:r w:rsidR="00C0484C" w:rsidRPr="00291CC8">
              <w:rPr>
                <w:i/>
                <w:iCs/>
                <w:sz w:val="20"/>
                <w:szCs w:val="20"/>
              </w:rPr>
              <w:t xml:space="preserve"> </w:t>
            </w:r>
            <w:r w:rsidR="00EB52F7" w:rsidRPr="00291CC8">
              <w:rPr>
                <w:i/>
                <w:iCs/>
                <w:sz w:val="20"/>
                <w:szCs w:val="20"/>
              </w:rPr>
              <w:t>aktualną</w:t>
            </w:r>
            <w:r w:rsidR="00C0484C" w:rsidRPr="00291CC8">
              <w:rPr>
                <w:i/>
                <w:iCs/>
                <w:sz w:val="20"/>
                <w:szCs w:val="20"/>
              </w:rPr>
              <w:t xml:space="preserve"> </w:t>
            </w:r>
            <w:r w:rsidR="005D7ED1" w:rsidRPr="00291CC8">
              <w:rPr>
                <w:i/>
                <w:iCs/>
                <w:sz w:val="20"/>
                <w:szCs w:val="20"/>
              </w:rPr>
              <w:t>Char</w:t>
            </w:r>
            <w:r w:rsidR="00EB52F7" w:rsidRPr="00291CC8">
              <w:rPr>
                <w:i/>
                <w:iCs/>
                <w:sz w:val="20"/>
                <w:szCs w:val="20"/>
              </w:rPr>
              <w:t>a</w:t>
            </w:r>
            <w:r w:rsidR="005D7ED1" w:rsidRPr="00291CC8">
              <w:rPr>
                <w:i/>
                <w:iCs/>
                <w:sz w:val="20"/>
                <w:szCs w:val="20"/>
              </w:rPr>
              <w:t>kterystyką</w:t>
            </w:r>
            <w:r w:rsidR="00C0484C" w:rsidRPr="00291CC8">
              <w:rPr>
                <w:i/>
                <w:iCs/>
                <w:sz w:val="20"/>
                <w:szCs w:val="20"/>
              </w:rPr>
              <w:t xml:space="preserve"> </w:t>
            </w:r>
            <w:r w:rsidR="005D7ED1" w:rsidRPr="00291CC8">
              <w:rPr>
                <w:i/>
                <w:iCs/>
                <w:sz w:val="20"/>
                <w:szCs w:val="20"/>
              </w:rPr>
              <w:t>Produktu</w:t>
            </w:r>
            <w:r w:rsidR="00C0484C" w:rsidRPr="00291CC8">
              <w:rPr>
                <w:i/>
                <w:iCs/>
                <w:sz w:val="20"/>
                <w:szCs w:val="20"/>
              </w:rPr>
              <w:t xml:space="preserve"> </w:t>
            </w:r>
            <w:r w:rsidR="005D7ED1" w:rsidRPr="00291CC8">
              <w:rPr>
                <w:i/>
                <w:iCs/>
                <w:sz w:val="20"/>
                <w:szCs w:val="20"/>
              </w:rPr>
              <w:t>Leczniczego</w:t>
            </w:r>
            <w:r w:rsidRPr="00291CC8">
              <w:rPr>
                <w:i/>
                <w:iCs/>
                <w:sz w:val="20"/>
                <w:szCs w:val="20"/>
              </w:rPr>
              <w:t>)</w:t>
            </w:r>
          </w:p>
          <w:p w14:paraId="6A4361C6" w14:textId="064E5F01" w:rsidR="00225033" w:rsidRPr="00291CC8" w:rsidRDefault="0049607E" w:rsidP="002C5861">
            <w:pPr>
              <w:spacing w:after="60"/>
              <w:ind w:left="227" w:right="73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proofErr w:type="spellStart"/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Obinutuzumab</w:t>
            </w:r>
            <w:proofErr w:type="spellEnd"/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25033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25033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dawce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25033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100</w:t>
            </w:r>
            <w:r w:rsidR="00F57E84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0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57E84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mg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E55F3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E55F3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skojarzeniu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E55F3" w:rsidRPr="00291CC8">
              <w:rPr>
                <w:rFonts w:ascii="Times New Roman" w:hAnsi="Times New Roman"/>
                <w:sz w:val="20"/>
                <w:szCs w:val="20"/>
                <w:lang w:val="pl-PL"/>
              </w:rPr>
              <w:br/>
              <w:t>z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25033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chemioterapią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25033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podaje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25033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się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25033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25033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1.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25033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dniu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25033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każdego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25033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cyklu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25033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leczenia.</w:t>
            </w:r>
          </w:p>
          <w:p w14:paraId="360AE3F6" w14:textId="2876DDF7" w:rsidR="00225033" w:rsidRPr="00291CC8" w:rsidRDefault="00225033" w:rsidP="002C5861">
            <w:pPr>
              <w:spacing w:after="60"/>
              <w:ind w:left="227" w:right="73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Leczenie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indu</w:t>
            </w:r>
            <w:r w:rsidR="008B46D9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kcyjne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8B46D9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obejmuje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8B46D9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nie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8B46D9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więcej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8B46D9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niż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8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cykli.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  <w:p w14:paraId="43F11DEF" w14:textId="77777777" w:rsidR="002D1962" w:rsidRPr="00291CC8" w:rsidRDefault="002D1962" w:rsidP="002C5861">
            <w:pPr>
              <w:autoSpaceDE w:val="0"/>
              <w:autoSpaceDN w:val="0"/>
              <w:adjustRightInd w:val="0"/>
              <w:spacing w:after="60"/>
              <w:ind w:left="213" w:right="73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14:paraId="33E7281D" w14:textId="0EB4952B" w:rsidR="00225033" w:rsidRPr="00291CC8" w:rsidRDefault="00225033" w:rsidP="00291CC8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/>
              <w:ind w:right="73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Chłoniak</w:t>
            </w:r>
            <w:proofErr w:type="spellEnd"/>
            <w:r w:rsidR="00C0484C"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złośliwy</w:t>
            </w:r>
            <w:r w:rsidR="00C0484C"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typu</w:t>
            </w:r>
            <w:r w:rsidR="00C0484C"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grudkowego</w:t>
            </w:r>
            <w:r w:rsidR="00C0484C"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–</w:t>
            </w:r>
            <w:r w:rsidR="00C0484C"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leczenie</w:t>
            </w:r>
            <w:r w:rsidR="00C0484C"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podtrzymujące</w:t>
            </w:r>
          </w:p>
          <w:p w14:paraId="3EEF44FF" w14:textId="07E31402" w:rsidR="00225033" w:rsidRPr="00291CC8" w:rsidRDefault="00225033" w:rsidP="002C5861">
            <w:pPr>
              <w:spacing w:after="60"/>
              <w:ind w:left="227" w:right="73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</w:pPr>
            <w:proofErr w:type="spellStart"/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Obinutuzumab</w:t>
            </w:r>
            <w:proofErr w:type="spellEnd"/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dawce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1000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mg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monoterapii</w:t>
            </w:r>
            <w:proofErr w:type="spellEnd"/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podaje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się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raz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na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2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miesiące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przez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dwa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lata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lub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do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wystąpienia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progresji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choroby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A13BB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A13BB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trakcie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A13BB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leczenia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A13BB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podtrzymującego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</w:tc>
        <w:tc>
          <w:tcPr>
            <w:tcW w:w="1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B8EF" w14:textId="75464197" w:rsidR="00225033" w:rsidRPr="00291CC8" w:rsidRDefault="00225033" w:rsidP="00291CC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60" w:line="276" w:lineRule="auto"/>
              <w:ind w:right="79"/>
              <w:contextualSpacing w:val="0"/>
              <w:jc w:val="both"/>
              <w:rPr>
                <w:b/>
                <w:sz w:val="20"/>
                <w:szCs w:val="20"/>
              </w:rPr>
            </w:pPr>
            <w:r w:rsidRPr="00291CC8">
              <w:rPr>
                <w:b/>
                <w:bCs/>
                <w:sz w:val="20"/>
                <w:szCs w:val="20"/>
              </w:rPr>
              <w:t>Badania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przy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kwalifikacji</w:t>
            </w:r>
          </w:p>
          <w:p w14:paraId="5A61A1E8" w14:textId="17FDB81D" w:rsidR="00225033" w:rsidRPr="00291CC8" w:rsidRDefault="00225033" w:rsidP="00291CC8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ind w:right="79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morfologia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krwi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obwodowej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="00D25D82" w:rsidRPr="00291CC8">
              <w:rPr>
                <w:sz w:val="20"/>
                <w:szCs w:val="20"/>
              </w:rPr>
              <w:t>z</w:t>
            </w:r>
            <w:r w:rsidR="00467AD3" w:rsidRPr="00291CC8">
              <w:rPr>
                <w:sz w:val="20"/>
                <w:szCs w:val="20"/>
              </w:rPr>
              <w:t>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="00467AD3" w:rsidRPr="00291CC8">
              <w:rPr>
                <w:sz w:val="20"/>
                <w:szCs w:val="20"/>
              </w:rPr>
              <w:t>wzorem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="00467AD3" w:rsidRPr="00291CC8">
              <w:rPr>
                <w:sz w:val="20"/>
                <w:szCs w:val="20"/>
              </w:rPr>
              <w:t>odsetkowym</w:t>
            </w:r>
            <w:r w:rsidRPr="00291CC8">
              <w:rPr>
                <w:sz w:val="20"/>
                <w:szCs w:val="20"/>
              </w:rPr>
              <w:t>;</w:t>
            </w:r>
          </w:p>
          <w:p w14:paraId="6E8D2F80" w14:textId="19721EE9" w:rsidR="00225033" w:rsidRPr="00291CC8" w:rsidRDefault="00225033" w:rsidP="00291CC8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/>
              <w:ind w:right="79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ocena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wydolności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nerek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i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wątroby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(stężenie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kreatyniny,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eGFR</w:t>
            </w:r>
            <w:proofErr w:type="spellEnd"/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,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kwasu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moczowego,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AST,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ALT</w:t>
            </w:r>
            <w:r w:rsidR="00B77BA8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,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i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bilirubiny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całkowitej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surowicy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krwi);</w:t>
            </w:r>
          </w:p>
          <w:p w14:paraId="1CB495A1" w14:textId="42EF945B" w:rsidR="00B77BA8" w:rsidRPr="00291CC8" w:rsidRDefault="00B77BA8" w:rsidP="00291CC8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/>
              <w:ind w:right="79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aktywność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dehydrogenazy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mleczanowej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(LDH)</w:t>
            </w:r>
            <w:r w:rsidR="00B54C92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14:paraId="396422C2" w14:textId="49869E82" w:rsidR="00225033" w:rsidRPr="00291CC8" w:rsidRDefault="00225033" w:rsidP="00291CC8">
            <w:pPr>
              <w:numPr>
                <w:ilvl w:val="2"/>
                <w:numId w:val="3"/>
              </w:numPr>
              <w:tabs>
                <w:tab w:val="left" w:pos="496"/>
              </w:tabs>
              <w:autoSpaceDE w:val="0"/>
              <w:autoSpaceDN w:val="0"/>
              <w:adjustRightInd w:val="0"/>
              <w:spacing w:after="60"/>
              <w:ind w:right="79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badania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obrazowe,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pozwalające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na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ocenę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stopnia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zaawansowania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choroby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(TK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lub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PET-TK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lub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NMR);</w:t>
            </w:r>
          </w:p>
          <w:p w14:paraId="6B67C9CE" w14:textId="7D47855F" w:rsidR="00325F70" w:rsidRPr="00291CC8" w:rsidRDefault="00325F70" w:rsidP="00291CC8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ind w:right="79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badanie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histologiczne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węzła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chłonnego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lub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tkanki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proofErr w:type="spellStart"/>
            <w:r w:rsidRPr="00291CC8">
              <w:rPr>
                <w:sz w:val="20"/>
                <w:szCs w:val="20"/>
              </w:rPr>
              <w:t>pozawęzłowej</w:t>
            </w:r>
            <w:proofErr w:type="spellEnd"/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tym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ocena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obecności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="002E55F3" w:rsidRPr="00291CC8">
              <w:rPr>
                <w:sz w:val="20"/>
                <w:szCs w:val="20"/>
              </w:rPr>
              <w:t>antygenu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="002E55F3" w:rsidRPr="00291CC8">
              <w:rPr>
                <w:sz w:val="20"/>
                <w:szCs w:val="20"/>
              </w:rPr>
              <w:t>CD20;</w:t>
            </w:r>
          </w:p>
          <w:p w14:paraId="51963DA0" w14:textId="5822394C" w:rsidR="00225033" w:rsidRPr="00291CC8" w:rsidRDefault="00225033" w:rsidP="00291CC8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/>
              <w:ind w:right="79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badania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przesiewowe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kierunku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WZW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typu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B,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zawierające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co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najmniej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testy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kierunku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HbsAg</w:t>
            </w:r>
            <w:proofErr w:type="spellEnd"/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i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HbcAb</w:t>
            </w:r>
            <w:proofErr w:type="spellEnd"/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,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przypadku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dodatniego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wyniku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HbsAg</w:t>
            </w:r>
            <w:proofErr w:type="spellEnd"/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lub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HBcAb</w:t>
            </w:r>
            <w:proofErr w:type="spellEnd"/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badanie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HBV-DNA;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</w:p>
          <w:p w14:paraId="0BC6F21A" w14:textId="3582EE9A" w:rsidR="00225033" w:rsidRPr="00291CC8" w:rsidRDefault="00225033" w:rsidP="00291CC8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/>
              <w:ind w:right="79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badania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przesiewowe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kierunku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WZW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typu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C,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zawierające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co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najmniej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oznaczenie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przeciwciał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anty-HCV,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przypadku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dodatniego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wyniku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badania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na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obecność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przeciwciał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anty-HCV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badanie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HCV-RNA;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</w:p>
          <w:p w14:paraId="6A429427" w14:textId="5B2C87F4" w:rsidR="00225033" w:rsidRPr="00291CC8" w:rsidRDefault="00225033" w:rsidP="00291CC8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/>
              <w:ind w:right="79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test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ciążowy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u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kobiet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wieku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rozrodczym.</w:t>
            </w:r>
          </w:p>
          <w:p w14:paraId="3B61A921" w14:textId="20D8E13E" w:rsidR="002E55F3" w:rsidRPr="00291CC8" w:rsidRDefault="00225033" w:rsidP="002C5861">
            <w:pPr>
              <w:autoSpaceDE w:val="0"/>
              <w:autoSpaceDN w:val="0"/>
              <w:adjustRightInd w:val="0"/>
              <w:spacing w:after="60"/>
              <w:ind w:right="79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Badania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stosownie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do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wskazań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lekarskich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podczas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diagnostyki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chłoniaka</w:t>
            </w:r>
            <w:proofErr w:type="spellEnd"/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danej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lokalizacji.</w:t>
            </w:r>
          </w:p>
          <w:p w14:paraId="402B8526" w14:textId="77777777" w:rsidR="002D1962" w:rsidRPr="00291CC8" w:rsidRDefault="002D1962" w:rsidP="002C5861">
            <w:pPr>
              <w:autoSpaceDE w:val="0"/>
              <w:autoSpaceDN w:val="0"/>
              <w:adjustRightInd w:val="0"/>
              <w:spacing w:after="60"/>
              <w:ind w:right="79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14:paraId="4ED638D8" w14:textId="7F264985" w:rsidR="00225033" w:rsidRPr="00291CC8" w:rsidRDefault="00225033" w:rsidP="00291CC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ind w:right="79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b/>
                <w:bCs/>
                <w:sz w:val="20"/>
                <w:szCs w:val="20"/>
              </w:rPr>
              <w:t>Monitorowanie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leczenia</w:t>
            </w:r>
          </w:p>
          <w:p w14:paraId="0B4FA43E" w14:textId="21BC2311" w:rsidR="00225033" w:rsidRPr="00291CC8" w:rsidRDefault="00225033" w:rsidP="00C0484C">
            <w:pPr>
              <w:autoSpaceDE w:val="0"/>
              <w:autoSpaceDN w:val="0"/>
              <w:adjustRightInd w:val="0"/>
              <w:spacing w:after="60"/>
              <w:ind w:right="79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Badani</w:t>
            </w:r>
            <w:r w:rsidR="008B46D9" w:rsidRPr="00291CC8">
              <w:rPr>
                <w:rFonts w:ascii="Times New Roman" w:hAnsi="Times New Roman"/>
                <w:sz w:val="20"/>
                <w:szCs w:val="20"/>
                <w:lang w:val="pl-PL"/>
              </w:rPr>
              <w:t>a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przeprowadzane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przed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każdym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podaniem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leku:</w:t>
            </w:r>
          </w:p>
          <w:p w14:paraId="095C95F9" w14:textId="632EBCBE" w:rsidR="00225033" w:rsidRPr="00291CC8" w:rsidRDefault="00225033" w:rsidP="00291CC8">
            <w:pPr>
              <w:pStyle w:val="Akapitzlist"/>
              <w:numPr>
                <w:ilvl w:val="2"/>
                <w:numId w:val="3"/>
              </w:numPr>
              <w:tabs>
                <w:tab w:val="left" w:pos="1771"/>
              </w:tabs>
              <w:autoSpaceDE w:val="0"/>
              <w:autoSpaceDN w:val="0"/>
              <w:adjustRightInd w:val="0"/>
              <w:spacing w:after="60" w:line="276" w:lineRule="auto"/>
              <w:ind w:right="79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morfologia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krwi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obwodowej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="00D25D82" w:rsidRPr="00291CC8">
              <w:rPr>
                <w:sz w:val="20"/>
                <w:szCs w:val="20"/>
              </w:rPr>
              <w:t>z</w:t>
            </w:r>
            <w:r w:rsidR="00467AD3" w:rsidRPr="00291CC8">
              <w:rPr>
                <w:sz w:val="20"/>
                <w:szCs w:val="20"/>
              </w:rPr>
              <w:t>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="00EA6479" w:rsidRPr="00291CC8">
              <w:rPr>
                <w:sz w:val="20"/>
                <w:szCs w:val="20"/>
              </w:rPr>
              <w:t>wzorem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="00EA6479" w:rsidRPr="00291CC8">
              <w:rPr>
                <w:sz w:val="20"/>
                <w:szCs w:val="20"/>
              </w:rPr>
              <w:t>odsetkowym;</w:t>
            </w:r>
          </w:p>
          <w:p w14:paraId="3FF234D1" w14:textId="0450A4ED" w:rsidR="00225033" w:rsidRPr="00291CC8" w:rsidRDefault="00225033" w:rsidP="00291CC8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ind w:right="79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stężenie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kreatyniny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surowicy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krwi;</w:t>
            </w:r>
          </w:p>
          <w:p w14:paraId="49E11B14" w14:textId="58FA1120" w:rsidR="00225033" w:rsidRPr="00291CC8" w:rsidRDefault="00225033" w:rsidP="00291CC8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ind w:right="79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stężenie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kwasu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moczowego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surowicy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krwi;</w:t>
            </w:r>
          </w:p>
          <w:p w14:paraId="6889EACB" w14:textId="05B3A756" w:rsidR="00A467CD" w:rsidRPr="00291CC8" w:rsidRDefault="00A467CD" w:rsidP="00291CC8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ind w:right="79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elektrolity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(stężenie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sodu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potasu);</w:t>
            </w:r>
          </w:p>
          <w:p w14:paraId="3C72F90C" w14:textId="177AB5AC" w:rsidR="00225033" w:rsidRPr="00291CC8" w:rsidRDefault="00225033" w:rsidP="00291CC8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ind w:right="79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aktywność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AST,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ALT;</w:t>
            </w:r>
          </w:p>
          <w:p w14:paraId="39D4F455" w14:textId="59180F96" w:rsidR="00225033" w:rsidRPr="00291CC8" w:rsidRDefault="00225033" w:rsidP="00291CC8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ind w:right="79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stężenie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bilirubiny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surowicy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krwi.</w:t>
            </w:r>
          </w:p>
          <w:p w14:paraId="0B1AE3A8" w14:textId="77777777" w:rsidR="00291CC8" w:rsidRPr="00291CC8" w:rsidRDefault="00291CC8" w:rsidP="00291CC8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 w:right="79"/>
              <w:contextualSpacing w:val="0"/>
              <w:jc w:val="both"/>
              <w:rPr>
                <w:sz w:val="20"/>
                <w:szCs w:val="20"/>
              </w:rPr>
            </w:pPr>
          </w:p>
          <w:p w14:paraId="7F439A79" w14:textId="715F2AEA" w:rsidR="00173155" w:rsidRPr="00291CC8" w:rsidRDefault="00173155" w:rsidP="00C0484C">
            <w:pPr>
              <w:autoSpaceDE w:val="0"/>
              <w:autoSpaceDN w:val="0"/>
              <w:adjustRightInd w:val="0"/>
              <w:spacing w:after="60"/>
              <w:ind w:right="79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Badanie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przeprowadzane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po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zakończeniu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leczenia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indukcyjnego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lub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przypadku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podejrzenia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progresji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choroby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(nie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wcześniej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niż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po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2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cyklach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leczenia)</w:t>
            </w:r>
          </w:p>
          <w:p w14:paraId="5777FB32" w14:textId="1D971478" w:rsidR="00EA6479" w:rsidRPr="00291CC8" w:rsidRDefault="00225033" w:rsidP="00291CC8">
            <w:pPr>
              <w:pStyle w:val="Akapitzlist"/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ind w:right="79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badania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obrazowe,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pozwalające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na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ocenę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stopnia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zaawansowania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choroby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(TK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lub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PET-TK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lub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NMR).</w:t>
            </w:r>
          </w:p>
          <w:p w14:paraId="70FD0ACF" w14:textId="77777777" w:rsidR="002D1962" w:rsidRPr="00291CC8" w:rsidRDefault="002D1962" w:rsidP="002C5861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37" w:right="79"/>
              <w:contextualSpacing w:val="0"/>
              <w:jc w:val="both"/>
              <w:rPr>
                <w:sz w:val="20"/>
                <w:szCs w:val="20"/>
              </w:rPr>
            </w:pPr>
          </w:p>
          <w:p w14:paraId="30EC97A3" w14:textId="380A0340" w:rsidR="00EA6479" w:rsidRPr="00291CC8" w:rsidRDefault="00225033" w:rsidP="00291CC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ind w:right="79"/>
              <w:contextualSpacing w:val="0"/>
              <w:jc w:val="both"/>
              <w:rPr>
                <w:b/>
                <w:sz w:val="20"/>
                <w:szCs w:val="20"/>
              </w:rPr>
            </w:pPr>
            <w:r w:rsidRPr="00291CC8">
              <w:rPr>
                <w:b/>
                <w:sz w:val="20"/>
                <w:szCs w:val="20"/>
              </w:rPr>
              <w:t>Monitorowanie</w:t>
            </w:r>
            <w:r w:rsidR="00C0484C" w:rsidRPr="00291CC8">
              <w:rPr>
                <w:b/>
                <w:sz w:val="20"/>
                <w:szCs w:val="20"/>
              </w:rPr>
              <w:t xml:space="preserve"> </w:t>
            </w:r>
            <w:r w:rsidRPr="00291CC8">
              <w:rPr>
                <w:b/>
                <w:sz w:val="20"/>
                <w:szCs w:val="20"/>
              </w:rPr>
              <w:t>programu</w:t>
            </w:r>
          </w:p>
          <w:p w14:paraId="306A7475" w14:textId="2FF4DCEB" w:rsidR="002E55F3" w:rsidRPr="00291CC8" w:rsidRDefault="00225033" w:rsidP="00291CC8">
            <w:pPr>
              <w:pStyle w:val="Akapitzlist"/>
              <w:numPr>
                <w:ilvl w:val="2"/>
                <w:numId w:val="5"/>
              </w:numPr>
              <w:tabs>
                <w:tab w:val="left" w:pos="-13396"/>
              </w:tabs>
              <w:autoSpaceDE w:val="0"/>
              <w:autoSpaceDN w:val="0"/>
              <w:adjustRightInd w:val="0"/>
              <w:spacing w:after="60" w:line="276" w:lineRule="auto"/>
              <w:ind w:right="79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gromadzenie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dokumentacji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medycznej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pacjenta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danych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dotyczących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monitorowania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leczenia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każdorazowe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ich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przedst</w:t>
            </w:r>
            <w:r w:rsidR="00B54C92" w:rsidRPr="00291CC8">
              <w:rPr>
                <w:sz w:val="20"/>
                <w:szCs w:val="20"/>
              </w:rPr>
              <w:t>awianie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="00B54C92" w:rsidRPr="00291CC8">
              <w:rPr>
                <w:sz w:val="20"/>
                <w:szCs w:val="20"/>
              </w:rPr>
              <w:t>na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="00B54C92" w:rsidRPr="00291CC8">
              <w:rPr>
                <w:sz w:val="20"/>
                <w:szCs w:val="20"/>
              </w:rPr>
              <w:t>żądanie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="00B54C92" w:rsidRPr="00291CC8">
              <w:rPr>
                <w:sz w:val="20"/>
                <w:szCs w:val="20"/>
              </w:rPr>
              <w:t>kontrolerów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Narodowego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Funduszu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Zdrowia;</w:t>
            </w:r>
          </w:p>
          <w:p w14:paraId="1291892F" w14:textId="5FCBE0BC" w:rsidR="002E55F3" w:rsidRPr="00291CC8" w:rsidRDefault="00225033" w:rsidP="00291CC8">
            <w:pPr>
              <w:pStyle w:val="Akapitzlist"/>
              <w:numPr>
                <w:ilvl w:val="2"/>
                <w:numId w:val="5"/>
              </w:numPr>
              <w:tabs>
                <w:tab w:val="left" w:pos="-13396"/>
              </w:tabs>
              <w:autoSpaceDE w:val="0"/>
              <w:autoSpaceDN w:val="0"/>
              <w:adjustRightInd w:val="0"/>
              <w:spacing w:after="60" w:line="276" w:lineRule="auto"/>
              <w:ind w:right="79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uzupełnienie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danych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zawartych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="00766E06" w:rsidRPr="00291CC8">
              <w:rPr>
                <w:sz w:val="20"/>
                <w:szCs w:val="20"/>
              </w:rPr>
              <w:t>elektronicznym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="00766E06" w:rsidRPr="00291CC8">
              <w:rPr>
                <w:sz w:val="20"/>
                <w:szCs w:val="20"/>
              </w:rPr>
              <w:t>systemie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="00766E06" w:rsidRPr="00291CC8">
              <w:rPr>
                <w:sz w:val="20"/>
                <w:szCs w:val="20"/>
              </w:rPr>
              <w:t>monitorowania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="00766E06" w:rsidRPr="00291CC8">
              <w:rPr>
                <w:sz w:val="20"/>
                <w:szCs w:val="20"/>
              </w:rPr>
              <w:t>programów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="00766E06" w:rsidRPr="00291CC8">
              <w:rPr>
                <w:sz w:val="20"/>
                <w:szCs w:val="20"/>
              </w:rPr>
              <w:t>lekowych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="00766E06" w:rsidRPr="00291CC8">
              <w:rPr>
                <w:sz w:val="20"/>
                <w:szCs w:val="20"/>
              </w:rPr>
              <w:t>(rejestrze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SMPT)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dostępnym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pomocą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aplikacji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internetowej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udostępnionej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przez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OW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NFZ,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częstotliwością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zgodną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opisem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programu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oraz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na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zakończenie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leczenia;</w:t>
            </w:r>
          </w:p>
          <w:p w14:paraId="69288146" w14:textId="5B568810" w:rsidR="002E55F3" w:rsidRPr="00291CC8" w:rsidRDefault="00225033" w:rsidP="00291CC8">
            <w:pPr>
              <w:pStyle w:val="Akapitzlist"/>
              <w:numPr>
                <w:ilvl w:val="2"/>
                <w:numId w:val="5"/>
              </w:numPr>
              <w:tabs>
                <w:tab w:val="left" w:pos="-13396"/>
              </w:tabs>
              <w:autoSpaceDE w:val="0"/>
              <w:autoSpaceDN w:val="0"/>
              <w:adjustRightInd w:val="0"/>
              <w:spacing w:after="60" w:line="276" w:lineRule="auto"/>
              <w:ind w:right="79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przekazywanie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informacji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sprawozdawczo-rozliczeniowych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do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NFZ: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informacje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przekazuje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się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do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NFZ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formie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papierowej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lub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formie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elektronicznej,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zgodnie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wymaganiami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opublikowanymi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przez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Narodowy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Fundusz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Zdrowia</w:t>
            </w:r>
            <w:r w:rsidR="002E55F3" w:rsidRPr="00291CC8">
              <w:rPr>
                <w:sz w:val="20"/>
                <w:szCs w:val="20"/>
              </w:rPr>
              <w:t>.</w:t>
            </w:r>
          </w:p>
          <w:p w14:paraId="1E7370F5" w14:textId="35E0410F" w:rsidR="002D1962" w:rsidRPr="00291CC8" w:rsidRDefault="002D1962" w:rsidP="00C0484C">
            <w:pPr>
              <w:tabs>
                <w:tab w:val="left" w:pos="-13396"/>
              </w:tabs>
              <w:autoSpaceDE w:val="0"/>
              <w:autoSpaceDN w:val="0"/>
              <w:adjustRightInd w:val="0"/>
              <w:spacing w:after="60"/>
              <w:ind w:right="7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F42" w:rsidRPr="00291CC8" w14:paraId="5435E9F0" w14:textId="77777777" w:rsidTr="00291CC8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18271" w14:textId="36F21D02" w:rsidR="00E24F42" w:rsidRPr="00291CC8" w:rsidRDefault="00CD3DA7" w:rsidP="008B4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</w:pPr>
            <w:r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Część</w:t>
            </w:r>
            <w:r w:rsidR="00C0484C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II</w:t>
            </w:r>
            <w:r w:rsidR="000C5779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:</w:t>
            </w:r>
            <w:r w:rsidR="00C0484C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="00E24F42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Leczenie</w:t>
            </w:r>
            <w:r w:rsidR="00C0484C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="00E24F42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chorych</w:t>
            </w:r>
            <w:r w:rsidR="00C0484C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="00E24F42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na</w:t>
            </w:r>
            <w:r w:rsidR="00C0484C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="00E24F42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chłoniaka</w:t>
            </w:r>
            <w:proofErr w:type="spellEnd"/>
            <w:r w:rsidR="00C0484C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="00E24F42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grudkowego</w:t>
            </w:r>
            <w:r w:rsidR="00C0484C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="00E24F42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obinutuzumabem</w:t>
            </w:r>
            <w:proofErr w:type="spellEnd"/>
            <w:r w:rsidR="00C0484C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="00E24F42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(ICD</w:t>
            </w:r>
            <w:r w:rsidR="00C0484C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="00E24F42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–</w:t>
            </w:r>
            <w:r w:rsidR="00C0484C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="00E24F42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10</w:t>
            </w:r>
            <w:r w:rsidR="00C0484C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="00E24F42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C.82.0;</w:t>
            </w:r>
            <w:r w:rsidR="00C0484C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="00E24F42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C.82.1;</w:t>
            </w:r>
            <w:r w:rsidR="00C0484C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="00E24F42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C.82.7)</w:t>
            </w:r>
            <w:r w:rsidR="00C0484C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="004E660A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–</w:t>
            </w:r>
            <w:r w:rsidR="00C0484C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="004E660A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oporność</w:t>
            </w:r>
            <w:r w:rsidR="00C0484C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="004E660A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lub</w:t>
            </w:r>
            <w:r w:rsidR="00C0484C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="004E660A" w:rsidRPr="00291CC8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progresja</w:t>
            </w:r>
          </w:p>
        </w:tc>
      </w:tr>
      <w:tr w:rsidR="00291CC8" w:rsidRPr="00291CC8" w14:paraId="0B1C0AE8" w14:textId="77777777" w:rsidTr="00291CC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6A94" w14:textId="18ABD290" w:rsidR="00E24F42" w:rsidRPr="00291CC8" w:rsidRDefault="00E24F42" w:rsidP="00291CC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60"/>
              <w:ind w:right="62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291CC8">
              <w:rPr>
                <w:b/>
                <w:bCs/>
                <w:sz w:val="20"/>
                <w:szCs w:val="20"/>
              </w:rPr>
              <w:t>Kryteria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kwalifikacji</w:t>
            </w:r>
          </w:p>
          <w:p w14:paraId="25EBAF81" w14:textId="3A036207" w:rsidR="002E3E30" w:rsidRPr="00291CC8" w:rsidRDefault="00E24F42" w:rsidP="00C0484C">
            <w:pPr>
              <w:autoSpaceDE w:val="0"/>
              <w:autoSpaceDN w:val="0"/>
              <w:adjustRightInd w:val="0"/>
              <w:spacing w:after="60"/>
              <w:ind w:right="62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Do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leczenia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kwalifikowani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są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pacjenci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chłoniakiem</w:t>
            </w:r>
            <w:proofErr w:type="spellEnd"/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grudkowym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spełniający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łącznie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wszystkie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poniższe</w:t>
            </w:r>
            <w:r w:rsidR="00C0484C" w:rsidRPr="00291CC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  <w:lang w:val="pl-PL"/>
              </w:rPr>
              <w:t>kryteria:</w:t>
            </w:r>
          </w:p>
          <w:p w14:paraId="7FEFCD4C" w14:textId="770D01E4" w:rsidR="002E3E30" w:rsidRPr="00291CC8" w:rsidRDefault="00E24F42" w:rsidP="00291CC8">
            <w:pPr>
              <w:pStyle w:val="Akapitzlist"/>
              <w:numPr>
                <w:ilvl w:val="2"/>
                <w:numId w:val="6"/>
              </w:numPr>
              <w:tabs>
                <w:tab w:val="left" w:pos="498"/>
              </w:tabs>
              <w:autoSpaceDE w:val="0"/>
              <w:autoSpaceDN w:val="0"/>
              <w:adjustRightInd w:val="0"/>
              <w:spacing w:after="60" w:line="276" w:lineRule="auto"/>
              <w:ind w:right="62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wiek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="00467AD3" w:rsidRPr="00291CC8">
              <w:rPr>
                <w:sz w:val="20"/>
                <w:szCs w:val="20"/>
              </w:rPr>
              <w:t>≥18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roku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życia;</w:t>
            </w:r>
          </w:p>
          <w:p w14:paraId="4F17D080" w14:textId="783BDFB0" w:rsidR="002E3E30" w:rsidRPr="00291CC8" w:rsidRDefault="00E24F42" w:rsidP="00291CC8">
            <w:pPr>
              <w:pStyle w:val="Akapitzlist"/>
              <w:numPr>
                <w:ilvl w:val="2"/>
                <w:numId w:val="6"/>
              </w:numPr>
              <w:tabs>
                <w:tab w:val="left" w:pos="498"/>
              </w:tabs>
              <w:autoSpaceDE w:val="0"/>
              <w:autoSpaceDN w:val="0"/>
              <w:adjustRightInd w:val="0"/>
              <w:spacing w:after="60" w:line="276" w:lineRule="auto"/>
              <w:ind w:right="62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potwierdzony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histologicznie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proofErr w:type="spellStart"/>
            <w:r w:rsidRPr="00291CC8">
              <w:rPr>
                <w:sz w:val="20"/>
                <w:szCs w:val="20"/>
              </w:rPr>
              <w:t>chłoniak</w:t>
            </w:r>
            <w:proofErr w:type="spellEnd"/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złośliwy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typu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grudkowego;</w:t>
            </w:r>
          </w:p>
          <w:p w14:paraId="3AD933F9" w14:textId="431E7E65" w:rsidR="00E24F42" w:rsidRPr="00291CC8" w:rsidRDefault="00E24F42" w:rsidP="00291CC8">
            <w:pPr>
              <w:pStyle w:val="Akapitzlist"/>
              <w:numPr>
                <w:ilvl w:val="2"/>
                <w:numId w:val="6"/>
              </w:numPr>
              <w:tabs>
                <w:tab w:val="left" w:pos="498"/>
              </w:tabs>
              <w:autoSpaceDE w:val="0"/>
              <w:autoSpaceDN w:val="0"/>
              <w:adjustRightInd w:val="0"/>
              <w:spacing w:after="60" w:line="276" w:lineRule="auto"/>
              <w:ind w:right="62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brak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odpowiedzi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na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leczenie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lub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progresja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choroby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podczas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leczenia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lub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maksymalnie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do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6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miesięcy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po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zakończeniu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leczeniu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proofErr w:type="spellStart"/>
            <w:r w:rsidRPr="00291CC8">
              <w:rPr>
                <w:sz w:val="20"/>
                <w:szCs w:val="20"/>
              </w:rPr>
              <w:t>rytuksymabem</w:t>
            </w:r>
            <w:proofErr w:type="spellEnd"/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lub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schematem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zawierającym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proofErr w:type="spellStart"/>
            <w:r w:rsidRPr="00291CC8">
              <w:rPr>
                <w:sz w:val="20"/>
                <w:szCs w:val="20"/>
              </w:rPr>
              <w:t>rytuksymab</w:t>
            </w:r>
            <w:proofErr w:type="spellEnd"/>
            <w:r w:rsidRPr="00291CC8">
              <w:rPr>
                <w:sz w:val="20"/>
                <w:szCs w:val="20"/>
              </w:rPr>
              <w:t>;</w:t>
            </w:r>
          </w:p>
          <w:p w14:paraId="092274C7" w14:textId="35C94485" w:rsidR="00E24F42" w:rsidRPr="00291CC8" w:rsidRDefault="00E24F42" w:rsidP="00291CC8">
            <w:pPr>
              <w:pStyle w:val="Akapitzlist"/>
              <w:numPr>
                <w:ilvl w:val="2"/>
                <w:numId w:val="6"/>
              </w:numPr>
              <w:tabs>
                <w:tab w:val="left" w:pos="498"/>
              </w:tabs>
              <w:autoSpaceDE w:val="0"/>
              <w:autoSpaceDN w:val="0"/>
              <w:adjustRightInd w:val="0"/>
              <w:spacing w:after="60" w:line="276" w:lineRule="auto"/>
              <w:ind w:right="62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stan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ogólny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według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WHO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0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–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2.</w:t>
            </w:r>
          </w:p>
          <w:p w14:paraId="5F576194" w14:textId="77777777" w:rsidR="008B46D9" w:rsidRPr="00291CC8" w:rsidRDefault="008B46D9" w:rsidP="00C0484C">
            <w:pPr>
              <w:pStyle w:val="Akapitzlist"/>
              <w:tabs>
                <w:tab w:val="left" w:pos="498"/>
              </w:tabs>
              <w:autoSpaceDE w:val="0"/>
              <w:autoSpaceDN w:val="0"/>
              <w:adjustRightInd w:val="0"/>
              <w:spacing w:after="60" w:line="276" w:lineRule="auto"/>
              <w:ind w:left="498" w:right="62"/>
              <w:contextualSpacing w:val="0"/>
              <w:jc w:val="both"/>
              <w:rPr>
                <w:sz w:val="20"/>
                <w:szCs w:val="20"/>
              </w:rPr>
            </w:pPr>
          </w:p>
          <w:p w14:paraId="730E4516" w14:textId="1F06FA95" w:rsidR="00E24F42" w:rsidRPr="00291CC8" w:rsidRDefault="00E24F42" w:rsidP="00291CC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/>
              <w:ind w:right="62"/>
              <w:contextualSpacing w:val="0"/>
              <w:jc w:val="both"/>
              <w:rPr>
                <w:b/>
                <w:sz w:val="20"/>
                <w:szCs w:val="20"/>
              </w:rPr>
            </w:pPr>
            <w:r w:rsidRPr="00291CC8">
              <w:rPr>
                <w:b/>
                <w:sz w:val="20"/>
                <w:szCs w:val="20"/>
              </w:rPr>
              <w:t>Kryteria</w:t>
            </w:r>
            <w:r w:rsidR="00C0484C" w:rsidRPr="00291CC8">
              <w:rPr>
                <w:b/>
                <w:sz w:val="20"/>
                <w:szCs w:val="20"/>
              </w:rPr>
              <w:t xml:space="preserve"> </w:t>
            </w:r>
            <w:r w:rsidRPr="00291CC8">
              <w:rPr>
                <w:b/>
                <w:sz w:val="20"/>
                <w:szCs w:val="20"/>
              </w:rPr>
              <w:t>uniemożliwiające</w:t>
            </w:r>
            <w:r w:rsidR="00C0484C" w:rsidRPr="00291CC8">
              <w:rPr>
                <w:b/>
                <w:sz w:val="20"/>
                <w:szCs w:val="20"/>
              </w:rPr>
              <w:t xml:space="preserve"> </w:t>
            </w:r>
            <w:r w:rsidRPr="00291CC8">
              <w:rPr>
                <w:b/>
                <w:sz w:val="20"/>
                <w:szCs w:val="20"/>
              </w:rPr>
              <w:t>włączenie</w:t>
            </w:r>
            <w:r w:rsidR="00C0484C" w:rsidRPr="00291CC8">
              <w:rPr>
                <w:b/>
                <w:sz w:val="20"/>
                <w:szCs w:val="20"/>
              </w:rPr>
              <w:t xml:space="preserve"> </w:t>
            </w:r>
            <w:r w:rsidRPr="00291CC8">
              <w:rPr>
                <w:b/>
                <w:sz w:val="20"/>
                <w:szCs w:val="20"/>
              </w:rPr>
              <w:t>do</w:t>
            </w:r>
            <w:r w:rsidR="00C0484C" w:rsidRPr="00291CC8">
              <w:rPr>
                <w:b/>
                <w:sz w:val="20"/>
                <w:szCs w:val="20"/>
              </w:rPr>
              <w:t xml:space="preserve"> </w:t>
            </w:r>
            <w:r w:rsidRPr="00291CC8">
              <w:rPr>
                <w:b/>
                <w:sz w:val="20"/>
                <w:szCs w:val="20"/>
              </w:rPr>
              <w:t>programu</w:t>
            </w:r>
          </w:p>
          <w:p w14:paraId="5D24DD4F" w14:textId="65F98067" w:rsidR="00A467CD" w:rsidRPr="00291CC8" w:rsidRDefault="00A467CD" w:rsidP="00291CC8">
            <w:pPr>
              <w:pStyle w:val="Akapitzlist"/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ind w:right="62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czynne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zakażenie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HBV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lub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HCV;</w:t>
            </w:r>
          </w:p>
          <w:p w14:paraId="057D53FB" w14:textId="21906001" w:rsidR="00E24F42" w:rsidRPr="00291CC8" w:rsidRDefault="00E24F42" w:rsidP="00291CC8">
            <w:pPr>
              <w:pStyle w:val="Akapitzlist"/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ind w:right="62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aktywność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AST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lub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ALT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przekraczająca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ponad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5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razy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wartość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górnej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granicy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normy;</w:t>
            </w:r>
          </w:p>
          <w:p w14:paraId="340B88BE" w14:textId="51BB869D" w:rsidR="00E24F42" w:rsidRPr="00291CC8" w:rsidRDefault="00E24F42" w:rsidP="00291CC8">
            <w:pPr>
              <w:pStyle w:val="Akapitzlist"/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ind w:right="62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stężenie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bilirubiny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przekraczające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3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razy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wartość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górnej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granicy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normy;</w:t>
            </w:r>
          </w:p>
          <w:p w14:paraId="25741973" w14:textId="6117FB46" w:rsidR="00A467CD" w:rsidRPr="00291CC8" w:rsidRDefault="00E24F42" w:rsidP="00291CC8">
            <w:pPr>
              <w:pStyle w:val="Akapitzlist"/>
              <w:numPr>
                <w:ilvl w:val="2"/>
                <w:numId w:val="6"/>
              </w:numPr>
              <w:spacing w:after="60" w:line="276" w:lineRule="auto"/>
              <w:ind w:right="62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nie</w:t>
            </w:r>
            <w:r w:rsidR="0049607E" w:rsidRPr="00291CC8">
              <w:rPr>
                <w:sz w:val="20"/>
                <w:szCs w:val="20"/>
              </w:rPr>
              <w:t>wydolność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="0049607E" w:rsidRPr="00291CC8">
              <w:rPr>
                <w:sz w:val="20"/>
                <w:szCs w:val="20"/>
              </w:rPr>
              <w:t>krążenia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="0049607E" w:rsidRPr="00291CC8">
              <w:rPr>
                <w:sz w:val="20"/>
                <w:szCs w:val="20"/>
              </w:rPr>
              <w:t>wg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="0049607E" w:rsidRPr="00291CC8">
              <w:rPr>
                <w:sz w:val="20"/>
                <w:szCs w:val="20"/>
              </w:rPr>
              <w:t>NYHA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="0049607E" w:rsidRPr="00291CC8">
              <w:rPr>
                <w:sz w:val="20"/>
                <w:szCs w:val="20"/>
              </w:rPr>
              <w:t>&gt;II;</w:t>
            </w:r>
          </w:p>
          <w:p w14:paraId="4C250822" w14:textId="0DA9F6F5" w:rsidR="00E24F42" w:rsidRPr="00291CC8" w:rsidRDefault="00E24F42" w:rsidP="00291CC8">
            <w:pPr>
              <w:pStyle w:val="Akapitzlist"/>
              <w:numPr>
                <w:ilvl w:val="2"/>
                <w:numId w:val="6"/>
              </w:numPr>
              <w:spacing w:after="60" w:line="276" w:lineRule="auto"/>
              <w:ind w:right="62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niewydolność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wieńcowa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wg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CCS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&gt;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II;</w:t>
            </w:r>
          </w:p>
          <w:p w14:paraId="537C5AE0" w14:textId="765CEE11" w:rsidR="00A467CD" w:rsidRPr="00291CC8" w:rsidRDefault="00A467CD" w:rsidP="00291CC8">
            <w:pPr>
              <w:pStyle w:val="Akapitzlist"/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ind w:right="62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inne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czynne,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ciężkie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zakażenia;</w:t>
            </w:r>
          </w:p>
          <w:p w14:paraId="30CB6F22" w14:textId="1F3F394A" w:rsidR="00E24F42" w:rsidRPr="00291CC8" w:rsidRDefault="00E24F42" w:rsidP="00291CC8">
            <w:pPr>
              <w:pStyle w:val="Akapitzlist"/>
              <w:numPr>
                <w:ilvl w:val="2"/>
                <w:numId w:val="6"/>
              </w:numPr>
              <w:spacing w:after="60" w:line="276" w:lineRule="auto"/>
              <w:ind w:right="62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ciąża.</w:t>
            </w:r>
          </w:p>
          <w:p w14:paraId="36474F78" w14:textId="77777777" w:rsidR="008B46D9" w:rsidRPr="00291CC8" w:rsidRDefault="008B46D9" w:rsidP="00C0484C">
            <w:pPr>
              <w:pStyle w:val="Akapitzlist"/>
              <w:spacing w:after="60" w:line="276" w:lineRule="auto"/>
              <w:ind w:left="498" w:right="62"/>
              <w:contextualSpacing w:val="0"/>
              <w:jc w:val="both"/>
              <w:rPr>
                <w:sz w:val="20"/>
                <w:szCs w:val="20"/>
              </w:rPr>
            </w:pPr>
          </w:p>
          <w:p w14:paraId="684427BC" w14:textId="04A0DBEF" w:rsidR="00E24F42" w:rsidRPr="00291CC8" w:rsidRDefault="00E24F42" w:rsidP="00291CC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/>
              <w:ind w:right="62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b/>
                <w:bCs/>
                <w:sz w:val="20"/>
                <w:szCs w:val="20"/>
              </w:rPr>
              <w:t>Określenie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czasu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leczenia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w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programie</w:t>
            </w:r>
          </w:p>
          <w:p w14:paraId="4245EDD8" w14:textId="6AEF43D3" w:rsidR="009712CD" w:rsidRPr="00291CC8" w:rsidRDefault="00E24F42" w:rsidP="00C0484C">
            <w:pPr>
              <w:autoSpaceDE w:val="0"/>
              <w:autoSpaceDN w:val="0"/>
              <w:adjustRightInd w:val="0"/>
              <w:spacing w:after="60"/>
              <w:ind w:right="6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CC8">
              <w:rPr>
                <w:rFonts w:ascii="Times New Roman" w:hAnsi="Times New Roman"/>
                <w:sz w:val="20"/>
                <w:szCs w:val="20"/>
              </w:rPr>
              <w:t>Czas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w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programie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lekarz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na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podstawie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kryteriów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włączenia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i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kryteriów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wyłączenia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z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programu.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Maksymalny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czas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indukcyjnego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wynosi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6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cykli,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zaś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maksymalny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czas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podtrzymującego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wynosi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2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lata.</w:t>
            </w:r>
          </w:p>
          <w:p w14:paraId="357AB364" w14:textId="77777777" w:rsidR="002D1962" w:rsidRPr="00291CC8" w:rsidRDefault="002D1962" w:rsidP="00C0484C">
            <w:pPr>
              <w:autoSpaceDE w:val="0"/>
              <w:autoSpaceDN w:val="0"/>
              <w:adjustRightInd w:val="0"/>
              <w:spacing w:after="60"/>
              <w:ind w:right="62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6661861D" w14:textId="7E3358C0" w:rsidR="00E24F42" w:rsidRPr="00291CC8" w:rsidRDefault="00E24F42" w:rsidP="00291CC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/>
              <w:ind w:right="62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291CC8">
              <w:rPr>
                <w:b/>
                <w:bCs/>
                <w:sz w:val="20"/>
                <w:szCs w:val="20"/>
              </w:rPr>
              <w:t>Kryteria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wyłączenia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z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programu</w:t>
            </w:r>
          </w:p>
          <w:p w14:paraId="4662E3F8" w14:textId="2141E1DA" w:rsidR="00E24F42" w:rsidRPr="00291CC8" w:rsidRDefault="00E24F42" w:rsidP="00291CC8">
            <w:pPr>
              <w:pStyle w:val="Akapitzlist"/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ind w:right="62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wystąpienie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objawów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nadwrażliwości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na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proofErr w:type="spellStart"/>
            <w:r w:rsidRPr="00291CC8">
              <w:rPr>
                <w:sz w:val="20"/>
                <w:szCs w:val="20"/>
              </w:rPr>
              <w:t>obinutuzumab</w:t>
            </w:r>
            <w:proofErr w:type="spellEnd"/>
            <w:r w:rsidRPr="00291CC8">
              <w:rPr>
                <w:sz w:val="20"/>
                <w:szCs w:val="20"/>
              </w:rPr>
              <w:t>,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którykolwiek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składników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preparatu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lub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na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białka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mysie;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(reakcje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związane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wlewem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4.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stopnia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wg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CTCAE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oraz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powtórne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wystąpienie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reakcji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związanych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wlewem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stopnia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3.);</w:t>
            </w:r>
          </w:p>
          <w:p w14:paraId="5AD08E56" w14:textId="71004DA6" w:rsidR="00E24F42" w:rsidRPr="00291CC8" w:rsidRDefault="00E24F42" w:rsidP="00291CC8">
            <w:pPr>
              <w:pStyle w:val="Akapitzlist"/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ind w:right="62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wystąpienie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powikłań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narządowych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4.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stopnia;</w:t>
            </w:r>
          </w:p>
          <w:p w14:paraId="0DF17301" w14:textId="0F1E9F44" w:rsidR="00E24F42" w:rsidRPr="00291CC8" w:rsidRDefault="00E24F42" w:rsidP="00291CC8">
            <w:pPr>
              <w:pStyle w:val="Akapitzlist"/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ind w:right="62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progresja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choroby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trakcie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leczenia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oceniana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po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podaniu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co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najmniej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2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cykli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leczenia;</w:t>
            </w:r>
          </w:p>
          <w:p w14:paraId="02D5A736" w14:textId="2FA5742C" w:rsidR="00E24F42" w:rsidRPr="00291CC8" w:rsidRDefault="00E24F42" w:rsidP="00291CC8">
            <w:pPr>
              <w:pStyle w:val="Akapitzlist"/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ind w:right="62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potwierdzone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rozpoznanie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postępującej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wieloogniskowej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leukoencefalopatii;</w:t>
            </w:r>
          </w:p>
          <w:p w14:paraId="597C7EC9" w14:textId="58422310" w:rsidR="00E24F42" w:rsidRPr="00291CC8" w:rsidRDefault="00E24F42" w:rsidP="00291CC8">
            <w:pPr>
              <w:pStyle w:val="Akapitzlist"/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ind w:right="62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czynne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zakażenie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HBV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lub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HCV;</w:t>
            </w:r>
          </w:p>
          <w:p w14:paraId="0E6C0289" w14:textId="77777777" w:rsidR="00E24F42" w:rsidRPr="00291CC8" w:rsidRDefault="00E24F42" w:rsidP="00291CC8">
            <w:pPr>
              <w:pStyle w:val="Akapitzlist"/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ind w:right="62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ciąża.</w:t>
            </w:r>
          </w:p>
          <w:p w14:paraId="3B79689F" w14:textId="4497CBA3" w:rsidR="00C0484C" w:rsidRPr="00291CC8" w:rsidRDefault="00C0484C" w:rsidP="00C0484C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 w:right="62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3DCBB" w14:textId="7C19D9D7" w:rsidR="00E24F42" w:rsidRPr="00291CC8" w:rsidRDefault="00E24F42" w:rsidP="00291CC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60" w:line="276" w:lineRule="auto"/>
              <w:ind w:right="57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291CC8">
              <w:rPr>
                <w:b/>
                <w:bCs/>
                <w:sz w:val="20"/>
                <w:szCs w:val="20"/>
              </w:rPr>
              <w:t>Dawkowanie</w:t>
            </w:r>
          </w:p>
          <w:p w14:paraId="066F44F0" w14:textId="3ED2C728" w:rsidR="00E24F42" w:rsidRPr="00291CC8" w:rsidRDefault="00E24F42" w:rsidP="00291CC8">
            <w:pPr>
              <w:pStyle w:val="Akapitzlist"/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ind w:right="57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291CC8">
              <w:rPr>
                <w:b/>
                <w:bCs/>
                <w:sz w:val="20"/>
                <w:szCs w:val="20"/>
              </w:rPr>
              <w:t>Chłoniak</w:t>
            </w:r>
            <w:proofErr w:type="spellEnd"/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złośliwy</w:t>
            </w:r>
            <w:r w:rsidR="00C0484C" w:rsidRPr="00291CC8">
              <w:rPr>
                <w:b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typu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grudkowego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-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leczenie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indukcyjne</w:t>
            </w:r>
          </w:p>
          <w:p w14:paraId="75B46B53" w14:textId="476FC36C" w:rsidR="00E24F42" w:rsidRPr="00291CC8" w:rsidRDefault="00E24F42" w:rsidP="00C0484C">
            <w:pPr>
              <w:spacing w:after="60"/>
              <w:ind w:left="227" w:right="73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</w:pPr>
            <w:r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>Leczenie</w:t>
            </w:r>
            <w:r w:rsidR="00C0484C"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>indukcyjne</w:t>
            </w:r>
            <w:r w:rsidR="00C0484C"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>(w</w:t>
            </w:r>
            <w:r w:rsidR="00C0484C"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>skojarzeniu</w:t>
            </w:r>
            <w:r w:rsidR="00C0484C"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r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>z</w:t>
            </w:r>
            <w:r w:rsidR="00C0484C"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>bendamustyną</w:t>
            </w:r>
            <w:proofErr w:type="spellEnd"/>
            <w:r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>)</w:t>
            </w:r>
            <w:r w:rsidR="00C0484C" w:rsidRPr="00291CC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</w:p>
          <w:p w14:paraId="25863B93" w14:textId="299B8D19" w:rsidR="00E24F42" w:rsidRPr="00291CC8" w:rsidRDefault="00E24F42" w:rsidP="00C0484C">
            <w:pPr>
              <w:pStyle w:val="Akapitzlist"/>
              <w:spacing w:after="60" w:line="276" w:lineRule="auto"/>
              <w:ind w:left="454" w:right="57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i/>
                <w:iCs/>
                <w:sz w:val="20"/>
                <w:szCs w:val="20"/>
              </w:rPr>
              <w:t>Cykl</w:t>
            </w:r>
            <w:r w:rsidR="00C0484C" w:rsidRPr="00291CC8">
              <w:rPr>
                <w:i/>
                <w:iCs/>
                <w:sz w:val="20"/>
                <w:szCs w:val="20"/>
              </w:rPr>
              <w:t xml:space="preserve"> </w:t>
            </w:r>
            <w:r w:rsidRPr="00291CC8">
              <w:rPr>
                <w:i/>
                <w:iCs/>
                <w:sz w:val="20"/>
                <w:szCs w:val="20"/>
              </w:rPr>
              <w:t>1</w:t>
            </w:r>
            <w:r w:rsidR="00C0484C" w:rsidRPr="00291CC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29A849F3" w14:textId="0D9FDB8D" w:rsidR="00E24F42" w:rsidRPr="00291CC8" w:rsidRDefault="00E24F42" w:rsidP="00C0484C">
            <w:pPr>
              <w:pStyle w:val="Akapitzlist"/>
              <w:spacing w:after="60" w:line="276" w:lineRule="auto"/>
              <w:ind w:left="227" w:right="57"/>
              <w:contextualSpacing w:val="0"/>
              <w:jc w:val="both"/>
              <w:rPr>
                <w:sz w:val="20"/>
                <w:szCs w:val="20"/>
              </w:rPr>
            </w:pPr>
            <w:proofErr w:type="spellStart"/>
            <w:r w:rsidRPr="00291CC8">
              <w:rPr>
                <w:sz w:val="20"/>
                <w:szCs w:val="20"/>
              </w:rPr>
              <w:t>Obinutuzumab</w:t>
            </w:r>
            <w:proofErr w:type="spellEnd"/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podaje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się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skojarzeniu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proofErr w:type="spellStart"/>
            <w:r w:rsidRPr="00291CC8">
              <w:rPr>
                <w:sz w:val="20"/>
                <w:szCs w:val="20"/>
              </w:rPr>
              <w:t>bendamustyną</w:t>
            </w:r>
            <w:proofErr w:type="spellEnd"/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zalecanej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dawce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1000mg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1.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dniu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(dopuszcza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się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rozdzielenie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dawki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-100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mg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1.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dniu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900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mg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2.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dniu)</w:t>
            </w:r>
            <w:r w:rsidRPr="00291CC8">
              <w:rPr>
                <w:rStyle w:val="Odwoaniedokomentarza"/>
                <w:rFonts w:eastAsia="PMingLiU"/>
                <w:sz w:val="20"/>
                <w:szCs w:val="20"/>
              </w:rPr>
              <w:t>,</w:t>
            </w:r>
            <w:r w:rsidR="00C0484C" w:rsidRPr="00291CC8">
              <w:rPr>
                <w:rStyle w:val="Odwoaniedokomentarza"/>
                <w:rFonts w:eastAsia="PMingLiU"/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8.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dniu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15.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dniu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pierwszego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28-dniowego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cyklu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leczenia.</w:t>
            </w:r>
            <w:r w:rsidR="00C0484C" w:rsidRPr="00291CC8">
              <w:rPr>
                <w:sz w:val="20"/>
                <w:szCs w:val="20"/>
              </w:rPr>
              <w:t xml:space="preserve"> </w:t>
            </w:r>
          </w:p>
          <w:p w14:paraId="3829B70F" w14:textId="68ABDFFE" w:rsidR="00E24F42" w:rsidRPr="00291CC8" w:rsidRDefault="00E24F42" w:rsidP="00C0484C">
            <w:pPr>
              <w:pStyle w:val="Akapitzlist"/>
              <w:spacing w:after="60" w:line="276" w:lineRule="auto"/>
              <w:ind w:left="454" w:right="57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i/>
                <w:iCs/>
                <w:sz w:val="20"/>
                <w:szCs w:val="20"/>
              </w:rPr>
              <w:t>Cykle</w:t>
            </w:r>
            <w:r w:rsidR="00C0484C" w:rsidRPr="00291CC8">
              <w:rPr>
                <w:i/>
                <w:iCs/>
                <w:sz w:val="20"/>
                <w:szCs w:val="20"/>
              </w:rPr>
              <w:t xml:space="preserve"> </w:t>
            </w:r>
            <w:r w:rsidRPr="00291CC8">
              <w:rPr>
                <w:i/>
                <w:iCs/>
                <w:sz w:val="20"/>
                <w:szCs w:val="20"/>
              </w:rPr>
              <w:t>2-6</w:t>
            </w:r>
            <w:r w:rsidR="00C0484C" w:rsidRPr="00291CC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1B36EBC8" w14:textId="0E49F452" w:rsidR="00E24F42" w:rsidRPr="00291CC8" w:rsidRDefault="00E24F42" w:rsidP="00C0484C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 w:right="57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Zalecaną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dawkę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proofErr w:type="spellStart"/>
            <w:r w:rsidRPr="00291CC8">
              <w:rPr>
                <w:sz w:val="20"/>
                <w:szCs w:val="20"/>
              </w:rPr>
              <w:t>obinutuzumabu</w:t>
            </w:r>
            <w:proofErr w:type="spellEnd"/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-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1000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mg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skojarzeniu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proofErr w:type="spellStart"/>
            <w:r w:rsidRPr="00291CC8">
              <w:rPr>
                <w:sz w:val="20"/>
                <w:szCs w:val="20"/>
              </w:rPr>
              <w:t>bendamustyną</w:t>
            </w:r>
            <w:proofErr w:type="spellEnd"/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podaje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się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1.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dniu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każdego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28-dniowego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cyklu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leczenia.</w:t>
            </w:r>
          </w:p>
          <w:p w14:paraId="25001852" w14:textId="0053214B" w:rsidR="00E24F42" w:rsidRPr="00291CC8" w:rsidRDefault="00E24F42" w:rsidP="00C0484C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 w:right="57"/>
              <w:contextualSpacing w:val="0"/>
              <w:jc w:val="both"/>
              <w:rPr>
                <w:sz w:val="20"/>
                <w:szCs w:val="20"/>
              </w:rPr>
            </w:pPr>
            <w:proofErr w:type="spellStart"/>
            <w:r w:rsidRPr="00291CC8">
              <w:rPr>
                <w:sz w:val="20"/>
                <w:szCs w:val="20"/>
              </w:rPr>
              <w:t>Bendamustynę</w:t>
            </w:r>
            <w:proofErr w:type="spellEnd"/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dawce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90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mg/m</w:t>
            </w:r>
            <w:r w:rsidRPr="00291CC8">
              <w:rPr>
                <w:sz w:val="20"/>
                <w:szCs w:val="20"/>
                <w:vertAlign w:val="superscript"/>
              </w:rPr>
              <w:t>2</w:t>
            </w:r>
            <w:r w:rsidR="00C0484C" w:rsidRPr="00291CC8">
              <w:rPr>
                <w:sz w:val="20"/>
                <w:szCs w:val="20"/>
                <w:vertAlign w:val="superscript"/>
              </w:rPr>
              <w:t xml:space="preserve"> </w:t>
            </w:r>
            <w:r w:rsidRPr="00291CC8">
              <w:rPr>
                <w:sz w:val="20"/>
                <w:szCs w:val="20"/>
              </w:rPr>
              <w:t>podaje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się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dożylnie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1.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2.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dniu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każdego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cyklu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leczenia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(</w:t>
            </w:r>
            <w:r w:rsidRPr="00291CC8">
              <w:rPr>
                <w:i/>
                <w:sz w:val="20"/>
                <w:szCs w:val="20"/>
              </w:rPr>
              <w:t>cykle</w:t>
            </w:r>
            <w:r w:rsidR="00C0484C" w:rsidRPr="00291CC8">
              <w:rPr>
                <w:i/>
                <w:sz w:val="20"/>
                <w:szCs w:val="20"/>
              </w:rPr>
              <w:t xml:space="preserve"> </w:t>
            </w:r>
            <w:r w:rsidRPr="00291CC8">
              <w:rPr>
                <w:i/>
                <w:sz w:val="20"/>
                <w:szCs w:val="20"/>
              </w:rPr>
              <w:t>1-6</w:t>
            </w:r>
            <w:r w:rsidRPr="00291CC8">
              <w:rPr>
                <w:sz w:val="20"/>
                <w:szCs w:val="20"/>
              </w:rPr>
              <w:t>).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Dopuszcza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się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redukcję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dawki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zgodnie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zapisem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proofErr w:type="spellStart"/>
            <w:r w:rsidRPr="00291CC8">
              <w:rPr>
                <w:sz w:val="20"/>
                <w:szCs w:val="20"/>
              </w:rPr>
              <w:t>ChPL</w:t>
            </w:r>
            <w:proofErr w:type="spellEnd"/>
            <w:r w:rsidRPr="00291CC8">
              <w:rPr>
                <w:sz w:val="20"/>
                <w:szCs w:val="20"/>
              </w:rPr>
              <w:t>.</w:t>
            </w:r>
          </w:p>
          <w:p w14:paraId="68C08D3A" w14:textId="77777777" w:rsidR="008B46D9" w:rsidRPr="00291CC8" w:rsidRDefault="008B46D9" w:rsidP="00C0484C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0" w:right="57"/>
              <w:contextualSpacing w:val="0"/>
              <w:jc w:val="both"/>
              <w:rPr>
                <w:sz w:val="20"/>
                <w:szCs w:val="20"/>
              </w:rPr>
            </w:pPr>
          </w:p>
          <w:p w14:paraId="0DAC2467" w14:textId="011A4200" w:rsidR="00E24F42" w:rsidRPr="00291CC8" w:rsidRDefault="00E24F42" w:rsidP="00291CC8">
            <w:pPr>
              <w:pStyle w:val="Akapitzlist"/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ind w:right="57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291CC8">
              <w:rPr>
                <w:b/>
                <w:bCs/>
                <w:sz w:val="20"/>
                <w:szCs w:val="20"/>
              </w:rPr>
              <w:t>Chłoniak</w:t>
            </w:r>
            <w:proofErr w:type="spellEnd"/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złośliwy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typu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grudkowego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-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leczenie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podtrzymujące</w:t>
            </w:r>
          </w:p>
          <w:p w14:paraId="50CDD9C0" w14:textId="2DB3EE1E" w:rsidR="00E24F42" w:rsidRPr="00291CC8" w:rsidRDefault="00E24F42" w:rsidP="00C0484C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 w:right="57"/>
              <w:contextualSpacing w:val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291CC8">
              <w:rPr>
                <w:bCs/>
                <w:sz w:val="20"/>
                <w:szCs w:val="20"/>
              </w:rPr>
              <w:t>Obinutuzumab</w:t>
            </w:r>
            <w:proofErr w:type="spellEnd"/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w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dawce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1000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mg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w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1CC8">
              <w:rPr>
                <w:bCs/>
                <w:sz w:val="20"/>
                <w:szCs w:val="20"/>
              </w:rPr>
              <w:t>monoterapii</w:t>
            </w:r>
            <w:proofErr w:type="spellEnd"/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podaje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się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raz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na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2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miesiące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przez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dwa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lata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lub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do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wystąpienia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progresji</w:t>
            </w:r>
            <w:r w:rsidR="00C0484C" w:rsidRPr="00291CC8">
              <w:rPr>
                <w:bCs/>
                <w:sz w:val="20"/>
                <w:szCs w:val="20"/>
              </w:rPr>
              <w:t xml:space="preserve"> </w:t>
            </w:r>
            <w:r w:rsidRPr="00291CC8">
              <w:rPr>
                <w:bCs/>
                <w:sz w:val="20"/>
                <w:szCs w:val="20"/>
              </w:rPr>
              <w:t>choroby.</w:t>
            </w:r>
          </w:p>
        </w:tc>
        <w:tc>
          <w:tcPr>
            <w:tcW w:w="1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7139" w14:textId="5704737D" w:rsidR="00E24F42" w:rsidRPr="00291CC8" w:rsidRDefault="00E24F42" w:rsidP="00291CC8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60"/>
              <w:ind w:right="51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b/>
                <w:bCs/>
                <w:sz w:val="20"/>
                <w:szCs w:val="20"/>
              </w:rPr>
              <w:t>Badania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przy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kwalifikacji</w:t>
            </w:r>
          </w:p>
          <w:p w14:paraId="52D287F3" w14:textId="203E4841" w:rsidR="00E24F42" w:rsidRPr="00291CC8" w:rsidRDefault="00E24F42" w:rsidP="00291CC8">
            <w:pPr>
              <w:pStyle w:val="Akapitzlist"/>
              <w:numPr>
                <w:ilvl w:val="2"/>
                <w:numId w:val="8"/>
              </w:numPr>
              <w:tabs>
                <w:tab w:val="left" w:pos="846"/>
              </w:tabs>
              <w:autoSpaceDE w:val="0"/>
              <w:autoSpaceDN w:val="0"/>
              <w:adjustRightInd w:val="0"/>
              <w:spacing w:after="60" w:line="276" w:lineRule="auto"/>
              <w:ind w:right="51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morfologia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krwi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obwodowej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wzorem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odsetkowym;</w:t>
            </w:r>
          </w:p>
          <w:p w14:paraId="71B65303" w14:textId="4D698076" w:rsidR="00E24F42" w:rsidRPr="00291CC8" w:rsidRDefault="00E24F42" w:rsidP="00291CC8">
            <w:pPr>
              <w:pStyle w:val="Akapitzlist"/>
              <w:numPr>
                <w:ilvl w:val="2"/>
                <w:numId w:val="8"/>
              </w:numPr>
              <w:tabs>
                <w:tab w:val="left" w:pos="846"/>
              </w:tabs>
              <w:autoSpaceDE w:val="0"/>
              <w:autoSpaceDN w:val="0"/>
              <w:adjustRightInd w:val="0"/>
              <w:spacing w:after="60" w:line="276" w:lineRule="auto"/>
              <w:ind w:right="51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ocena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wydolnoś</w:t>
            </w:r>
            <w:r w:rsidR="00617645" w:rsidRPr="00291CC8">
              <w:rPr>
                <w:sz w:val="20"/>
                <w:szCs w:val="20"/>
              </w:rPr>
              <w:t>ci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="00617645" w:rsidRPr="00291CC8">
              <w:rPr>
                <w:sz w:val="20"/>
                <w:szCs w:val="20"/>
              </w:rPr>
              <w:t>nerek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="00617645" w:rsidRPr="00291CC8">
              <w:rPr>
                <w:sz w:val="20"/>
                <w:szCs w:val="20"/>
              </w:rPr>
              <w:t>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="00617645" w:rsidRPr="00291CC8">
              <w:rPr>
                <w:sz w:val="20"/>
                <w:szCs w:val="20"/>
              </w:rPr>
              <w:t>wątroby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="00617645" w:rsidRPr="00291CC8">
              <w:rPr>
                <w:sz w:val="20"/>
                <w:szCs w:val="20"/>
              </w:rPr>
              <w:t>(kreatynina,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proofErr w:type="spellStart"/>
            <w:r w:rsidRPr="00291CC8">
              <w:rPr>
                <w:sz w:val="20"/>
                <w:szCs w:val="20"/>
              </w:rPr>
              <w:t>eGFR</w:t>
            </w:r>
            <w:proofErr w:type="spellEnd"/>
            <w:r w:rsidRPr="00291CC8">
              <w:rPr>
                <w:sz w:val="20"/>
                <w:szCs w:val="20"/>
              </w:rPr>
              <w:t>,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kwas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moczowy,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AST,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ALT,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bilirubina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całkowita);</w:t>
            </w:r>
          </w:p>
          <w:p w14:paraId="3198CD9C" w14:textId="7EA85309" w:rsidR="00532485" w:rsidRPr="00291CC8" w:rsidRDefault="00532485" w:rsidP="00291CC8">
            <w:pPr>
              <w:numPr>
                <w:ilvl w:val="2"/>
                <w:numId w:val="8"/>
              </w:numPr>
              <w:tabs>
                <w:tab w:val="left" w:pos="846"/>
              </w:tabs>
              <w:autoSpaceDE w:val="0"/>
              <w:autoSpaceDN w:val="0"/>
              <w:adjustRightInd w:val="0"/>
              <w:spacing w:after="60"/>
              <w:ind w:right="51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aktywność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dehydrogenazy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mleczanowej</w:t>
            </w:r>
            <w:r w:rsidR="00C0484C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(LDH)</w:t>
            </w:r>
            <w:r w:rsidR="00E54E49" w:rsidRPr="00291CC8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14:paraId="7A9B7CD8" w14:textId="06EB34F7" w:rsidR="00E24F42" w:rsidRPr="00291CC8" w:rsidRDefault="00E24F42" w:rsidP="00291CC8">
            <w:pPr>
              <w:pStyle w:val="Akapitzlist"/>
              <w:numPr>
                <w:ilvl w:val="2"/>
                <w:numId w:val="8"/>
              </w:numPr>
              <w:tabs>
                <w:tab w:val="left" w:pos="496"/>
                <w:tab w:val="left" w:pos="846"/>
              </w:tabs>
              <w:autoSpaceDE w:val="0"/>
              <w:autoSpaceDN w:val="0"/>
              <w:adjustRightInd w:val="0"/>
              <w:spacing w:after="60" w:line="276" w:lineRule="auto"/>
              <w:ind w:right="51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badania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obrazowe,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pozwalające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na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ocenę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stopnia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zaawansowania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choroby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(TK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lub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PET-TK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lub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NMR);</w:t>
            </w:r>
          </w:p>
          <w:p w14:paraId="3A1153E5" w14:textId="556021D5" w:rsidR="00E24F42" w:rsidRPr="00291CC8" w:rsidRDefault="00E24F42" w:rsidP="00291CC8">
            <w:pPr>
              <w:pStyle w:val="Akapitzlist"/>
              <w:numPr>
                <w:ilvl w:val="2"/>
                <w:numId w:val="8"/>
              </w:numPr>
              <w:tabs>
                <w:tab w:val="left" w:pos="846"/>
              </w:tabs>
              <w:autoSpaceDE w:val="0"/>
              <w:autoSpaceDN w:val="0"/>
              <w:adjustRightInd w:val="0"/>
              <w:spacing w:after="60" w:line="276" w:lineRule="auto"/>
              <w:ind w:right="51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badania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przesiewowe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kierunku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WZW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typu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B,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zawierające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co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najmniej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testy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kierunku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proofErr w:type="spellStart"/>
            <w:r w:rsidRPr="00291CC8">
              <w:rPr>
                <w:sz w:val="20"/>
                <w:szCs w:val="20"/>
              </w:rPr>
              <w:t>HbsAg</w:t>
            </w:r>
            <w:proofErr w:type="spellEnd"/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proofErr w:type="spellStart"/>
            <w:r w:rsidRPr="00291CC8">
              <w:rPr>
                <w:sz w:val="20"/>
                <w:szCs w:val="20"/>
              </w:rPr>
              <w:t>HbcAb</w:t>
            </w:r>
            <w:proofErr w:type="spellEnd"/>
            <w:r w:rsidRPr="00291CC8">
              <w:rPr>
                <w:sz w:val="20"/>
                <w:szCs w:val="20"/>
              </w:rPr>
              <w:t>;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przypadku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dodatniego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wyniku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proofErr w:type="spellStart"/>
            <w:r w:rsidRPr="00291CC8">
              <w:rPr>
                <w:sz w:val="20"/>
                <w:szCs w:val="20"/>
              </w:rPr>
              <w:t>HBsAg</w:t>
            </w:r>
            <w:proofErr w:type="spellEnd"/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lub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proofErr w:type="spellStart"/>
            <w:r w:rsidRPr="00291CC8">
              <w:rPr>
                <w:sz w:val="20"/>
                <w:szCs w:val="20"/>
              </w:rPr>
              <w:t>HBcAb</w:t>
            </w:r>
            <w:proofErr w:type="spellEnd"/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badanie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HBV-DNA;</w:t>
            </w:r>
          </w:p>
          <w:p w14:paraId="45CC418C" w14:textId="1456EB21" w:rsidR="00E24F42" w:rsidRPr="00291CC8" w:rsidRDefault="00E24F42" w:rsidP="00291CC8">
            <w:pPr>
              <w:pStyle w:val="Akapitzlist"/>
              <w:numPr>
                <w:ilvl w:val="2"/>
                <w:numId w:val="8"/>
              </w:numPr>
              <w:tabs>
                <w:tab w:val="left" w:pos="846"/>
              </w:tabs>
              <w:autoSpaceDE w:val="0"/>
              <w:autoSpaceDN w:val="0"/>
              <w:adjustRightInd w:val="0"/>
              <w:spacing w:after="60" w:line="276" w:lineRule="auto"/>
              <w:ind w:right="51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badania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przesiewowe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kierunku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WZW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typu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C,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zawierające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co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najmniej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oznaczenie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przeciwciał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anty-HCV,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przypadku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dodatniego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wyn</w:t>
            </w:r>
            <w:r w:rsidR="008D011C" w:rsidRPr="00291CC8">
              <w:rPr>
                <w:sz w:val="20"/>
                <w:szCs w:val="20"/>
              </w:rPr>
              <w:t>i</w:t>
            </w:r>
            <w:r w:rsidRPr="00291CC8">
              <w:rPr>
                <w:sz w:val="20"/>
                <w:szCs w:val="20"/>
              </w:rPr>
              <w:t>ku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badania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na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obecność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przeciwciał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anty-HCV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badanie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HCV-RNA;</w:t>
            </w:r>
          </w:p>
          <w:p w14:paraId="1345DD36" w14:textId="24DA557B" w:rsidR="00E24F42" w:rsidRPr="00291CC8" w:rsidRDefault="00E24F42" w:rsidP="00291CC8">
            <w:pPr>
              <w:pStyle w:val="Akapitzlist"/>
              <w:numPr>
                <w:ilvl w:val="2"/>
                <w:numId w:val="8"/>
              </w:numPr>
              <w:tabs>
                <w:tab w:val="left" w:pos="846"/>
              </w:tabs>
              <w:autoSpaceDE w:val="0"/>
              <w:autoSpaceDN w:val="0"/>
              <w:adjustRightInd w:val="0"/>
              <w:spacing w:after="60" w:line="276" w:lineRule="auto"/>
              <w:ind w:right="51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test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ciążowy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kobiet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wieku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rozrodczym.</w:t>
            </w:r>
          </w:p>
          <w:p w14:paraId="23EB6A0D" w14:textId="11930FC1" w:rsidR="00E24F42" w:rsidRPr="00291CC8" w:rsidRDefault="00E24F42" w:rsidP="00C0484C">
            <w:pPr>
              <w:pStyle w:val="Tekstpodstawowy"/>
              <w:spacing w:after="60" w:line="276" w:lineRule="auto"/>
              <w:ind w:right="51"/>
              <w:jc w:val="both"/>
            </w:pPr>
            <w:r w:rsidRPr="00291CC8">
              <w:t>Badania</w:t>
            </w:r>
            <w:r w:rsidR="00C0484C" w:rsidRPr="00291CC8">
              <w:t xml:space="preserve"> </w:t>
            </w:r>
            <w:r w:rsidRPr="00291CC8">
              <w:t>stosownie</w:t>
            </w:r>
            <w:r w:rsidR="00C0484C" w:rsidRPr="00291CC8">
              <w:t xml:space="preserve"> </w:t>
            </w:r>
            <w:r w:rsidRPr="00291CC8">
              <w:t>do</w:t>
            </w:r>
            <w:r w:rsidR="00C0484C" w:rsidRPr="00291CC8">
              <w:t xml:space="preserve"> </w:t>
            </w:r>
            <w:r w:rsidRPr="00291CC8">
              <w:t>wskazań</w:t>
            </w:r>
            <w:r w:rsidR="00C0484C" w:rsidRPr="00291CC8">
              <w:t xml:space="preserve"> </w:t>
            </w:r>
            <w:r w:rsidRPr="00291CC8">
              <w:t>lekarskich</w:t>
            </w:r>
            <w:r w:rsidR="00C0484C" w:rsidRPr="00291CC8">
              <w:t xml:space="preserve"> </w:t>
            </w:r>
            <w:r w:rsidRPr="00291CC8">
              <w:t>podczas</w:t>
            </w:r>
            <w:r w:rsidR="00C0484C" w:rsidRPr="00291CC8">
              <w:t xml:space="preserve"> </w:t>
            </w:r>
            <w:r w:rsidRPr="00291CC8">
              <w:t>diagnostyki</w:t>
            </w:r>
            <w:r w:rsidR="00C0484C" w:rsidRPr="00291CC8">
              <w:t xml:space="preserve"> </w:t>
            </w:r>
            <w:proofErr w:type="spellStart"/>
            <w:r w:rsidRPr="00291CC8">
              <w:t>chłoniaka</w:t>
            </w:r>
            <w:proofErr w:type="spellEnd"/>
            <w:r w:rsidR="00C0484C" w:rsidRPr="00291CC8">
              <w:t xml:space="preserve"> </w:t>
            </w:r>
            <w:r w:rsidRPr="00291CC8">
              <w:t>w</w:t>
            </w:r>
            <w:r w:rsidR="00C0484C" w:rsidRPr="00291CC8">
              <w:t xml:space="preserve"> </w:t>
            </w:r>
            <w:r w:rsidRPr="00291CC8">
              <w:t>danej</w:t>
            </w:r>
            <w:r w:rsidR="00C0484C" w:rsidRPr="00291CC8">
              <w:t xml:space="preserve"> </w:t>
            </w:r>
            <w:r w:rsidRPr="00291CC8">
              <w:t>lokalizacji.</w:t>
            </w:r>
          </w:p>
          <w:p w14:paraId="71FE31EF" w14:textId="77777777" w:rsidR="008B46D9" w:rsidRPr="00291CC8" w:rsidRDefault="008B46D9" w:rsidP="00C0484C">
            <w:pPr>
              <w:pStyle w:val="Tekstpodstawowy"/>
              <w:spacing w:after="60" w:line="276" w:lineRule="auto"/>
              <w:ind w:right="51"/>
              <w:jc w:val="both"/>
            </w:pPr>
          </w:p>
          <w:p w14:paraId="37C348EB" w14:textId="0667CD28" w:rsidR="00E24F42" w:rsidRPr="00291CC8" w:rsidRDefault="00E24F42" w:rsidP="00291CC8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60"/>
              <w:ind w:right="51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291CC8">
              <w:rPr>
                <w:b/>
                <w:bCs/>
                <w:sz w:val="20"/>
                <w:szCs w:val="20"/>
              </w:rPr>
              <w:t>Monitorowanie</w:t>
            </w:r>
            <w:r w:rsidR="00C0484C" w:rsidRPr="00291CC8">
              <w:rPr>
                <w:b/>
                <w:bCs/>
                <w:sz w:val="20"/>
                <w:szCs w:val="20"/>
              </w:rPr>
              <w:t xml:space="preserve"> </w:t>
            </w:r>
            <w:r w:rsidRPr="00291CC8">
              <w:rPr>
                <w:b/>
                <w:bCs/>
                <w:sz w:val="20"/>
                <w:szCs w:val="20"/>
              </w:rPr>
              <w:t>leczenia</w:t>
            </w:r>
          </w:p>
          <w:p w14:paraId="59D12EDE" w14:textId="2F054272" w:rsidR="00E24F42" w:rsidRPr="00291CC8" w:rsidRDefault="00E24F42" w:rsidP="00C0484C">
            <w:pPr>
              <w:pStyle w:val="Tekstpodstawowy"/>
              <w:spacing w:after="60" w:line="276" w:lineRule="auto"/>
              <w:ind w:right="51"/>
              <w:jc w:val="both"/>
            </w:pPr>
            <w:r w:rsidRPr="00291CC8">
              <w:t>Badani</w:t>
            </w:r>
            <w:r w:rsidR="008B46D9" w:rsidRPr="00291CC8">
              <w:t>a</w:t>
            </w:r>
            <w:r w:rsidR="00C0484C" w:rsidRPr="00291CC8">
              <w:t xml:space="preserve"> </w:t>
            </w:r>
            <w:r w:rsidRPr="00291CC8">
              <w:t>przeprowadzane</w:t>
            </w:r>
            <w:r w:rsidR="00C0484C" w:rsidRPr="00291CC8">
              <w:t xml:space="preserve"> </w:t>
            </w:r>
            <w:r w:rsidRPr="00291CC8">
              <w:t>przed</w:t>
            </w:r>
            <w:r w:rsidR="00C0484C" w:rsidRPr="00291CC8">
              <w:t xml:space="preserve"> </w:t>
            </w:r>
            <w:r w:rsidRPr="00291CC8">
              <w:t>każdym</w:t>
            </w:r>
            <w:r w:rsidR="00C0484C" w:rsidRPr="00291CC8">
              <w:t xml:space="preserve"> </w:t>
            </w:r>
            <w:r w:rsidRPr="00291CC8">
              <w:t>podaniem</w:t>
            </w:r>
            <w:r w:rsidR="00C0484C" w:rsidRPr="00291CC8">
              <w:t xml:space="preserve"> </w:t>
            </w:r>
            <w:r w:rsidRPr="00291CC8">
              <w:t>leku:</w:t>
            </w:r>
          </w:p>
          <w:p w14:paraId="48FFF023" w14:textId="2B88C4E4" w:rsidR="00E24F42" w:rsidRPr="00291CC8" w:rsidRDefault="00E24F42" w:rsidP="00291CC8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ind w:right="51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morfologia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krwi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obwodowej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wzorem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odsetkowym;</w:t>
            </w:r>
          </w:p>
          <w:p w14:paraId="1DAC415D" w14:textId="57EBD52C" w:rsidR="00E24F42" w:rsidRPr="00291CC8" w:rsidRDefault="00E24F42" w:rsidP="00291CC8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ind w:right="51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stężenie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kreatyniny;</w:t>
            </w:r>
          </w:p>
          <w:p w14:paraId="1CF5813F" w14:textId="76FEFF8B" w:rsidR="00FF1E1A" w:rsidRPr="00291CC8" w:rsidRDefault="00E24F42" w:rsidP="00291CC8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ind w:right="51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stężenie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kwasu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moczowego;</w:t>
            </w:r>
          </w:p>
          <w:p w14:paraId="2CEEC87A" w14:textId="26E7CEB5" w:rsidR="00FF1E1A" w:rsidRPr="00291CC8" w:rsidRDefault="00E24F42" w:rsidP="00291CC8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ind w:right="51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elektrolity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(stężenie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sodu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potasu);</w:t>
            </w:r>
          </w:p>
          <w:p w14:paraId="76DB61C8" w14:textId="663FA5D3" w:rsidR="00FF1E1A" w:rsidRPr="00291CC8" w:rsidRDefault="00E24F42" w:rsidP="00291CC8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ind w:right="51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aktywność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AST,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ALT;</w:t>
            </w:r>
          </w:p>
          <w:p w14:paraId="0194BB58" w14:textId="1C756DD9" w:rsidR="00E24F42" w:rsidRPr="00291CC8" w:rsidRDefault="00E24F42" w:rsidP="00291CC8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ind w:right="51"/>
              <w:contextualSpacing w:val="0"/>
              <w:jc w:val="both"/>
              <w:rPr>
                <w:rStyle w:val="Odwoaniedokomentarza"/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stężenie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bilirubiny</w:t>
            </w:r>
            <w:r w:rsidRPr="00291CC8">
              <w:rPr>
                <w:rStyle w:val="Odwoaniedokomentarza"/>
                <w:rFonts w:eastAsia="PMingLiU"/>
                <w:sz w:val="20"/>
                <w:szCs w:val="20"/>
              </w:rPr>
              <w:t>.</w:t>
            </w:r>
          </w:p>
          <w:p w14:paraId="6003EDC7" w14:textId="77777777" w:rsidR="00C0484C" w:rsidRPr="00291CC8" w:rsidRDefault="00C0484C" w:rsidP="00C0484C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 w:right="51"/>
              <w:contextualSpacing w:val="0"/>
              <w:jc w:val="both"/>
              <w:rPr>
                <w:sz w:val="20"/>
                <w:szCs w:val="20"/>
              </w:rPr>
            </w:pPr>
          </w:p>
          <w:p w14:paraId="41E3BF7D" w14:textId="617DDB3F" w:rsidR="00E24F42" w:rsidRPr="00291CC8" w:rsidRDefault="00E24F42" w:rsidP="00C0484C">
            <w:pPr>
              <w:autoSpaceDE w:val="0"/>
              <w:autoSpaceDN w:val="0"/>
              <w:adjustRightInd w:val="0"/>
              <w:spacing w:after="60"/>
              <w:ind w:right="5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CC8">
              <w:rPr>
                <w:rFonts w:ascii="Times New Roman" w:hAnsi="Times New Roman"/>
                <w:sz w:val="20"/>
                <w:szCs w:val="20"/>
              </w:rPr>
              <w:t>Badani</w:t>
            </w:r>
            <w:r w:rsidR="008B46D9" w:rsidRPr="00291CC8">
              <w:rPr>
                <w:rFonts w:ascii="Times New Roman" w:hAnsi="Times New Roman"/>
                <w:sz w:val="20"/>
                <w:szCs w:val="20"/>
              </w:rPr>
              <w:t>a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przeprowadzane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po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zakończeniu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indukcyjnego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lub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w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podejrzenia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progresji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CC8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3155" w:rsidRPr="00291CC8">
              <w:rPr>
                <w:rFonts w:ascii="Times New Roman" w:hAnsi="Times New Roman"/>
                <w:sz w:val="20"/>
                <w:szCs w:val="20"/>
              </w:rPr>
              <w:t>(nie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3155" w:rsidRPr="00291CC8">
              <w:rPr>
                <w:rFonts w:ascii="Times New Roman" w:hAnsi="Times New Roman"/>
                <w:sz w:val="20"/>
                <w:szCs w:val="20"/>
              </w:rPr>
              <w:t>wcześniej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3155" w:rsidRPr="00291CC8">
              <w:rPr>
                <w:rFonts w:ascii="Times New Roman" w:hAnsi="Times New Roman"/>
                <w:sz w:val="20"/>
                <w:szCs w:val="20"/>
              </w:rPr>
              <w:t>niż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3155" w:rsidRPr="00291CC8">
              <w:rPr>
                <w:rFonts w:ascii="Times New Roman" w:hAnsi="Times New Roman"/>
                <w:sz w:val="20"/>
                <w:szCs w:val="20"/>
              </w:rPr>
              <w:t>po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3155" w:rsidRPr="00291CC8">
              <w:rPr>
                <w:rFonts w:ascii="Times New Roman" w:hAnsi="Times New Roman"/>
                <w:sz w:val="20"/>
                <w:szCs w:val="20"/>
              </w:rPr>
              <w:t>2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3155" w:rsidRPr="00291CC8">
              <w:rPr>
                <w:rFonts w:ascii="Times New Roman" w:hAnsi="Times New Roman"/>
                <w:sz w:val="20"/>
                <w:szCs w:val="20"/>
              </w:rPr>
              <w:t>cyklach</w:t>
            </w:r>
            <w:r w:rsidR="00C0484C" w:rsidRPr="0029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3155" w:rsidRPr="00291CC8">
              <w:rPr>
                <w:rFonts w:ascii="Times New Roman" w:hAnsi="Times New Roman"/>
                <w:sz w:val="20"/>
                <w:szCs w:val="20"/>
              </w:rPr>
              <w:t>leczenia):</w:t>
            </w:r>
          </w:p>
          <w:p w14:paraId="67683366" w14:textId="0AF140BE" w:rsidR="00641880" w:rsidRPr="00291CC8" w:rsidRDefault="00E24F42" w:rsidP="00291CC8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ind w:right="51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badania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obrazowe,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pozwalające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na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ocenę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stopnia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zaawansowania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choroby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(TK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lub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PET-TK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lub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NMR).</w:t>
            </w:r>
          </w:p>
          <w:p w14:paraId="644D6741" w14:textId="77777777" w:rsidR="00C0484C" w:rsidRPr="00291CC8" w:rsidRDefault="00C0484C" w:rsidP="00C0484C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 w:right="51"/>
              <w:contextualSpacing w:val="0"/>
              <w:jc w:val="both"/>
              <w:rPr>
                <w:sz w:val="20"/>
                <w:szCs w:val="20"/>
              </w:rPr>
            </w:pPr>
          </w:p>
          <w:p w14:paraId="275F6CAF" w14:textId="422F2E29" w:rsidR="00E24F42" w:rsidRPr="00291CC8" w:rsidRDefault="00E24F42" w:rsidP="00291CC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/>
              <w:ind w:right="51"/>
              <w:contextualSpacing w:val="0"/>
              <w:jc w:val="both"/>
              <w:rPr>
                <w:b/>
                <w:sz w:val="20"/>
                <w:szCs w:val="20"/>
              </w:rPr>
            </w:pPr>
            <w:r w:rsidRPr="00291CC8">
              <w:rPr>
                <w:b/>
                <w:sz w:val="20"/>
                <w:szCs w:val="20"/>
              </w:rPr>
              <w:t>Monitorowanie</w:t>
            </w:r>
            <w:r w:rsidR="00C0484C" w:rsidRPr="00291CC8">
              <w:rPr>
                <w:b/>
                <w:sz w:val="20"/>
                <w:szCs w:val="20"/>
              </w:rPr>
              <w:t xml:space="preserve"> </w:t>
            </w:r>
            <w:r w:rsidRPr="00291CC8">
              <w:rPr>
                <w:b/>
                <w:sz w:val="20"/>
                <w:szCs w:val="20"/>
              </w:rPr>
              <w:t>programu</w:t>
            </w:r>
          </w:p>
          <w:p w14:paraId="4CA7BA76" w14:textId="37CDADB1" w:rsidR="002E55F3" w:rsidRPr="00291CC8" w:rsidRDefault="00E24F42" w:rsidP="00291CC8">
            <w:pPr>
              <w:pStyle w:val="Akapitzlist"/>
              <w:numPr>
                <w:ilvl w:val="2"/>
                <w:numId w:val="9"/>
              </w:numPr>
              <w:tabs>
                <w:tab w:val="left" w:pos="-13396"/>
              </w:tabs>
              <w:autoSpaceDE w:val="0"/>
              <w:autoSpaceDN w:val="0"/>
              <w:adjustRightInd w:val="0"/>
              <w:spacing w:after="60" w:line="276" w:lineRule="auto"/>
              <w:ind w:right="51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gromadzenie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dokumentacji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medycznej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pacjenta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danych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dotyczących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monitorowania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leczenia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każdorazowe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ich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przedstawianie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na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żądanie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kontrolerów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Narodowego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Funduszu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Zdrowia;</w:t>
            </w:r>
          </w:p>
          <w:p w14:paraId="16130BD0" w14:textId="6995B877" w:rsidR="002E55F3" w:rsidRPr="00291CC8" w:rsidRDefault="00E24F42" w:rsidP="00291CC8">
            <w:pPr>
              <w:pStyle w:val="Akapitzlist"/>
              <w:numPr>
                <w:ilvl w:val="2"/>
                <w:numId w:val="9"/>
              </w:numPr>
              <w:tabs>
                <w:tab w:val="left" w:pos="-13396"/>
              </w:tabs>
              <w:autoSpaceDE w:val="0"/>
              <w:autoSpaceDN w:val="0"/>
              <w:adjustRightInd w:val="0"/>
              <w:spacing w:after="60" w:line="276" w:lineRule="auto"/>
              <w:ind w:right="51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uzupełnianie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danych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zawartych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rejestrze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(SMPT)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dostępnym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pomocą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aplikacji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internetowej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udostępnionej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przez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OW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NFZ,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częstotliwością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zgodną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opisem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programu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oraz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na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zakończenie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leczenia;</w:t>
            </w:r>
          </w:p>
          <w:p w14:paraId="51F440A2" w14:textId="78C0C31B" w:rsidR="00E24F42" w:rsidRPr="00291CC8" w:rsidRDefault="00E24F42" w:rsidP="00291CC8">
            <w:pPr>
              <w:pStyle w:val="Akapitzlist"/>
              <w:numPr>
                <w:ilvl w:val="2"/>
                <w:numId w:val="9"/>
              </w:numPr>
              <w:tabs>
                <w:tab w:val="left" w:pos="-13396"/>
              </w:tabs>
              <w:autoSpaceDE w:val="0"/>
              <w:autoSpaceDN w:val="0"/>
              <w:adjustRightInd w:val="0"/>
              <w:spacing w:after="60" w:line="276" w:lineRule="auto"/>
              <w:ind w:right="51"/>
              <w:contextualSpacing w:val="0"/>
              <w:jc w:val="both"/>
              <w:rPr>
                <w:sz w:val="20"/>
                <w:szCs w:val="20"/>
              </w:rPr>
            </w:pPr>
            <w:r w:rsidRPr="00291CC8">
              <w:rPr>
                <w:sz w:val="20"/>
                <w:szCs w:val="20"/>
              </w:rPr>
              <w:t>przekazywanie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informacji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sprawozdawczo-rozliczeniowych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do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NFZ: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informacje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przekazuje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się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do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NFZ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formie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papierowej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lub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formie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elektronicznej,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zgodnie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wymaganiami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opublikowanymi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przez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Narodowy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Fundusz</w:t>
            </w:r>
            <w:r w:rsidR="00C0484C" w:rsidRPr="00291CC8">
              <w:rPr>
                <w:sz w:val="20"/>
                <w:szCs w:val="20"/>
              </w:rPr>
              <w:t xml:space="preserve"> </w:t>
            </w:r>
            <w:r w:rsidRPr="00291CC8">
              <w:rPr>
                <w:sz w:val="20"/>
                <w:szCs w:val="20"/>
              </w:rPr>
              <w:t>Zdrowia.</w:t>
            </w:r>
          </w:p>
          <w:p w14:paraId="2131B5E6" w14:textId="73B8E6E0" w:rsidR="008B46D9" w:rsidRPr="00291CC8" w:rsidRDefault="008B46D9" w:rsidP="00C0484C">
            <w:pPr>
              <w:pStyle w:val="Akapitzlist"/>
              <w:tabs>
                <w:tab w:val="left" w:pos="-13396"/>
              </w:tabs>
              <w:autoSpaceDE w:val="0"/>
              <w:autoSpaceDN w:val="0"/>
              <w:adjustRightInd w:val="0"/>
              <w:spacing w:after="60" w:line="276" w:lineRule="auto"/>
              <w:ind w:left="354" w:right="51"/>
              <w:contextualSpacing w:val="0"/>
              <w:jc w:val="both"/>
              <w:rPr>
                <w:sz w:val="20"/>
                <w:szCs w:val="20"/>
              </w:rPr>
            </w:pPr>
          </w:p>
        </w:tc>
      </w:tr>
    </w:tbl>
    <w:p w14:paraId="237DFD6D" w14:textId="4B186D4E" w:rsidR="00F03EE3" w:rsidRPr="00291CC8" w:rsidRDefault="00F03EE3" w:rsidP="002D1962">
      <w:pPr>
        <w:rPr>
          <w:rFonts w:ascii="Times New Roman" w:hAnsi="Times New Roman"/>
          <w:lang w:val="pl-PL"/>
        </w:rPr>
      </w:pPr>
    </w:p>
    <w:sectPr w:rsidR="00F03EE3" w:rsidRPr="00291CC8" w:rsidSect="002C5861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DCBC1" w14:textId="77777777" w:rsidR="00C0484C" w:rsidRDefault="00C0484C" w:rsidP="007074EB">
      <w:pPr>
        <w:spacing w:after="0" w:line="240" w:lineRule="auto"/>
      </w:pPr>
      <w:r>
        <w:separator/>
      </w:r>
    </w:p>
  </w:endnote>
  <w:endnote w:type="continuationSeparator" w:id="0">
    <w:p w14:paraId="0A6981C5" w14:textId="77777777" w:rsidR="00C0484C" w:rsidRDefault="00C0484C" w:rsidP="00707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">
    <w:altName w:val="Cambria Math"/>
    <w:charset w:val="00"/>
    <w:family w:val="roman"/>
    <w:pitch w:val="variable"/>
    <w:sig w:usb0="00000001" w:usb1="5000E07B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FE33C" w14:textId="77777777" w:rsidR="00C0484C" w:rsidRDefault="00C0484C" w:rsidP="007074EB">
      <w:pPr>
        <w:spacing w:after="0" w:line="240" w:lineRule="auto"/>
      </w:pPr>
      <w:r>
        <w:separator/>
      </w:r>
    </w:p>
  </w:footnote>
  <w:footnote w:type="continuationSeparator" w:id="0">
    <w:p w14:paraId="635D1FC0" w14:textId="77777777" w:rsidR="00C0484C" w:rsidRDefault="00C0484C" w:rsidP="00707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A1AFB"/>
    <w:multiLevelType w:val="multilevel"/>
    <w:tmpl w:val="03A8AFD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1F6E079D"/>
    <w:multiLevelType w:val="multilevel"/>
    <w:tmpl w:val="F158676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/>
        <w:bCs w:val="0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2AB77BD2"/>
    <w:multiLevelType w:val="multilevel"/>
    <w:tmpl w:val="4B8A4E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2C835016"/>
    <w:multiLevelType w:val="multilevel"/>
    <w:tmpl w:val="F70662D0"/>
    <w:lvl w:ilvl="0">
      <w:start w:val="3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38E01FF4"/>
    <w:multiLevelType w:val="multilevel"/>
    <w:tmpl w:val="03A8AFD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732B12C7"/>
    <w:multiLevelType w:val="multilevel"/>
    <w:tmpl w:val="F9B8C7A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762944B3"/>
    <w:multiLevelType w:val="multilevel"/>
    <w:tmpl w:val="F9B8C7A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779E27CF"/>
    <w:multiLevelType w:val="multilevel"/>
    <w:tmpl w:val="2BD4ED5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/>
        <w:bCs w:val="0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7AC4753E"/>
    <w:multiLevelType w:val="multilevel"/>
    <w:tmpl w:val="4B8A4E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33"/>
    <w:rsid w:val="00001380"/>
    <w:rsid w:val="00015C70"/>
    <w:rsid w:val="0001692B"/>
    <w:rsid w:val="000265C8"/>
    <w:rsid w:val="00031690"/>
    <w:rsid w:val="000618E4"/>
    <w:rsid w:val="000C5779"/>
    <w:rsid w:val="0013774F"/>
    <w:rsid w:val="00173155"/>
    <w:rsid w:val="00187BA7"/>
    <w:rsid w:val="001C1490"/>
    <w:rsid w:val="001F2F31"/>
    <w:rsid w:val="002041EB"/>
    <w:rsid w:val="00225033"/>
    <w:rsid w:val="00291CC8"/>
    <w:rsid w:val="002A13BB"/>
    <w:rsid w:val="002B739D"/>
    <w:rsid w:val="002C5861"/>
    <w:rsid w:val="002D1962"/>
    <w:rsid w:val="002E3E30"/>
    <w:rsid w:val="002E55F3"/>
    <w:rsid w:val="002F2FF2"/>
    <w:rsid w:val="002F6023"/>
    <w:rsid w:val="00325F70"/>
    <w:rsid w:val="0035045C"/>
    <w:rsid w:val="003512E3"/>
    <w:rsid w:val="004215C8"/>
    <w:rsid w:val="004651AD"/>
    <w:rsid w:val="00467AD3"/>
    <w:rsid w:val="0049607E"/>
    <w:rsid w:val="004B1E3E"/>
    <w:rsid w:val="004E4514"/>
    <w:rsid w:val="004E5084"/>
    <w:rsid w:val="004E660A"/>
    <w:rsid w:val="00532485"/>
    <w:rsid w:val="005D7ED1"/>
    <w:rsid w:val="00617645"/>
    <w:rsid w:val="006323F1"/>
    <w:rsid w:val="00641880"/>
    <w:rsid w:val="006622FB"/>
    <w:rsid w:val="006E3B36"/>
    <w:rsid w:val="006E4AE5"/>
    <w:rsid w:val="007074EB"/>
    <w:rsid w:val="00726C05"/>
    <w:rsid w:val="00733036"/>
    <w:rsid w:val="0075129B"/>
    <w:rsid w:val="00766E06"/>
    <w:rsid w:val="007D3EAF"/>
    <w:rsid w:val="007E2A54"/>
    <w:rsid w:val="008B46D9"/>
    <w:rsid w:val="008D011C"/>
    <w:rsid w:val="0090243E"/>
    <w:rsid w:val="00932978"/>
    <w:rsid w:val="00947AEC"/>
    <w:rsid w:val="00967BB4"/>
    <w:rsid w:val="009712CD"/>
    <w:rsid w:val="009F72B1"/>
    <w:rsid w:val="00A2037E"/>
    <w:rsid w:val="00A355ED"/>
    <w:rsid w:val="00A467CD"/>
    <w:rsid w:val="00A63448"/>
    <w:rsid w:val="00A95393"/>
    <w:rsid w:val="00AB3172"/>
    <w:rsid w:val="00AC1958"/>
    <w:rsid w:val="00B2291A"/>
    <w:rsid w:val="00B54C92"/>
    <w:rsid w:val="00B57EC2"/>
    <w:rsid w:val="00B62B38"/>
    <w:rsid w:val="00B77BA8"/>
    <w:rsid w:val="00BB7120"/>
    <w:rsid w:val="00BF07DB"/>
    <w:rsid w:val="00C0484C"/>
    <w:rsid w:val="00C26DAF"/>
    <w:rsid w:val="00CC05A7"/>
    <w:rsid w:val="00CD3DA7"/>
    <w:rsid w:val="00D05A1E"/>
    <w:rsid w:val="00D16026"/>
    <w:rsid w:val="00D25D82"/>
    <w:rsid w:val="00D37755"/>
    <w:rsid w:val="00D51FA5"/>
    <w:rsid w:val="00D61D6E"/>
    <w:rsid w:val="00DC3E21"/>
    <w:rsid w:val="00DD2CE3"/>
    <w:rsid w:val="00DD5533"/>
    <w:rsid w:val="00E24F42"/>
    <w:rsid w:val="00E54E49"/>
    <w:rsid w:val="00E90630"/>
    <w:rsid w:val="00EA6479"/>
    <w:rsid w:val="00EB52F7"/>
    <w:rsid w:val="00F03EE3"/>
    <w:rsid w:val="00F57E84"/>
    <w:rsid w:val="00F62A20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4497"/>
  <w15:chartTrackingRefBased/>
  <w15:docId w15:val="{C93C6F9F-D635-4B1A-AAB5-D1BC471F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033"/>
    <w:pPr>
      <w:spacing w:after="200" w:line="276" w:lineRule="auto"/>
    </w:pPr>
    <w:rPr>
      <w:rFonts w:ascii="Minion" w:eastAsia="PMingLiU" w:hAnsi="Minion" w:cs="Times New Roman"/>
      <w:lang w:val="en-US"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5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D82"/>
    <w:rPr>
      <w:rFonts w:ascii="Segoe UI" w:eastAsia="PMingLiU" w:hAnsi="Segoe UI" w:cs="Segoe UI"/>
      <w:sz w:val="18"/>
      <w:szCs w:val="18"/>
      <w:lang w:val="en-US" w:eastAsia="zh-TW"/>
    </w:rPr>
  </w:style>
  <w:style w:type="paragraph" w:styleId="Nagwek">
    <w:name w:val="header"/>
    <w:basedOn w:val="Normalny"/>
    <w:link w:val="NagwekZnak"/>
    <w:uiPriority w:val="99"/>
    <w:unhideWhenUsed/>
    <w:rsid w:val="00707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4EB"/>
    <w:rPr>
      <w:rFonts w:ascii="Minion" w:eastAsia="PMingLiU" w:hAnsi="Minion" w:cs="Times New Roman"/>
      <w:lang w:val="en-US" w:eastAsia="zh-TW"/>
    </w:rPr>
  </w:style>
  <w:style w:type="paragraph" w:styleId="Stopka">
    <w:name w:val="footer"/>
    <w:basedOn w:val="Normalny"/>
    <w:link w:val="StopkaZnak"/>
    <w:uiPriority w:val="99"/>
    <w:unhideWhenUsed/>
    <w:rsid w:val="00707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4EB"/>
    <w:rPr>
      <w:rFonts w:ascii="Minion" w:eastAsia="PMingLiU" w:hAnsi="Minion" w:cs="Times New Roman"/>
      <w:lang w:val="en-US" w:eastAsia="zh-TW"/>
    </w:rPr>
  </w:style>
  <w:style w:type="character" w:styleId="Odwoaniedokomentarza">
    <w:name w:val="annotation reference"/>
    <w:basedOn w:val="Domylnaczcionkaakapitu"/>
    <w:semiHidden/>
    <w:unhideWhenUsed/>
    <w:rsid w:val="001F2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2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2F31"/>
    <w:rPr>
      <w:rFonts w:ascii="Minion" w:eastAsia="PMingLiU" w:hAnsi="Minion" w:cs="Times New Roman"/>
      <w:sz w:val="20"/>
      <w:szCs w:val="20"/>
      <w:lang w:val="en-US" w:eastAsia="zh-TW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F31"/>
    <w:rPr>
      <w:rFonts w:ascii="Minion" w:eastAsia="PMingLiU" w:hAnsi="Minion" w:cs="Times New Roman"/>
      <w:b/>
      <w:bCs/>
      <w:sz w:val="20"/>
      <w:szCs w:val="20"/>
      <w:lang w:val="en-US" w:eastAsia="zh-TW"/>
    </w:rPr>
  </w:style>
  <w:style w:type="paragraph" w:styleId="Akapitzlist">
    <w:name w:val="List Paragraph"/>
    <w:basedOn w:val="Normalny"/>
    <w:uiPriority w:val="34"/>
    <w:qFormat/>
    <w:rsid w:val="00E24F4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24F4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4F42"/>
    <w:rPr>
      <w:rFonts w:ascii="Times New Roman" w:eastAsia="PMingLiU" w:hAnsi="Times New Roman" w:cs="Times New Roma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85803-C2A0-4F05-AB27-CFE2B917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1330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Paulina</dc:creator>
  <cp:keywords/>
  <dc:description/>
  <cp:lastModifiedBy>Królak-Buzakowska Joanna</cp:lastModifiedBy>
  <cp:revision>3</cp:revision>
  <cp:lastPrinted>2018-03-26T07:55:00Z</cp:lastPrinted>
  <dcterms:created xsi:type="dcterms:W3CDTF">2020-11-02T13:48:00Z</dcterms:created>
  <dcterms:modified xsi:type="dcterms:W3CDTF">2020-11-02T14:11:00Z</dcterms:modified>
</cp:coreProperties>
</file>