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EE" w:rsidRPr="005231CE" w:rsidRDefault="005231CE">
      <w:pPr>
        <w:pStyle w:val="Bodytext30"/>
        <w:rPr>
          <w:lang w:val="pl-PL"/>
        </w:rPr>
      </w:pPr>
      <w:bookmarkStart w:id="0" w:name="_GoBack"/>
      <w:bookmarkEnd w:id="0"/>
      <w:r>
        <w:rPr>
          <w:rStyle w:val="Bodytext3"/>
          <w:lang w:val="pl-PL"/>
        </w:rPr>
        <w:t xml:space="preserve">                                    </w:t>
      </w:r>
      <w:r w:rsidR="003B5D2D" w:rsidRPr="005231CE">
        <w:rPr>
          <w:rStyle w:val="Bodytext3"/>
          <w:lang w:val="pl-PL"/>
        </w:rPr>
        <w:t xml:space="preserve">, 29 </w:t>
      </w:r>
      <w:r w:rsidR="003B5D2D">
        <w:rPr>
          <w:rStyle w:val="Bodytext3"/>
          <w:lang w:val="pl-PL" w:eastAsia="pl-PL" w:bidi="pl-PL"/>
        </w:rPr>
        <w:t xml:space="preserve">grudnia </w:t>
      </w:r>
      <w:r w:rsidR="003B5D2D" w:rsidRPr="005231CE">
        <w:rPr>
          <w:rStyle w:val="Bodytext3"/>
          <w:lang w:val="pl-PL"/>
        </w:rPr>
        <w:t>2025r.</w:t>
      </w:r>
    </w:p>
    <w:p w:rsidR="00171DEE" w:rsidRDefault="003B5D2D">
      <w:pPr>
        <w:pStyle w:val="Bodytext10"/>
        <w:spacing w:after="80" w:line="240" w:lineRule="auto"/>
      </w:pPr>
      <w:r>
        <w:rPr>
          <w:rStyle w:val="Bodytext1"/>
        </w:rPr>
        <w:t>Adresat:</w:t>
      </w:r>
    </w:p>
    <w:p w:rsidR="00171DEE" w:rsidRDefault="003B5D2D">
      <w:pPr>
        <w:pStyle w:val="Bodytext10"/>
        <w:spacing w:after="80" w:line="240" w:lineRule="auto"/>
      </w:pPr>
      <w:r>
        <w:rPr>
          <w:rStyle w:val="Bodytext1"/>
        </w:rPr>
        <w:t>Prezydent Rzeczypospolitej Polskiej</w:t>
      </w:r>
    </w:p>
    <w:p w:rsidR="00171DEE" w:rsidRDefault="003B5D2D">
      <w:pPr>
        <w:pStyle w:val="Bodytext10"/>
        <w:spacing w:after="80" w:line="240" w:lineRule="auto"/>
      </w:pPr>
      <w:r>
        <w:rPr>
          <w:rStyle w:val="Bodytext1"/>
        </w:rPr>
        <w:t>Prezes Rady Ministrów</w:t>
      </w:r>
    </w:p>
    <w:p w:rsidR="00171DEE" w:rsidRDefault="003B5D2D">
      <w:pPr>
        <w:pStyle w:val="Bodytext10"/>
        <w:spacing w:after="80" w:line="240" w:lineRule="auto"/>
      </w:pPr>
      <w:r>
        <w:rPr>
          <w:rStyle w:val="Bodytext1"/>
        </w:rPr>
        <w:t>Marszałek Sejmu Rzeczypospolitej Polskiej</w:t>
      </w:r>
    </w:p>
    <w:p w:rsidR="00171DEE" w:rsidRDefault="003B5D2D">
      <w:pPr>
        <w:pStyle w:val="Bodytext10"/>
        <w:spacing w:after="860" w:line="240" w:lineRule="auto"/>
      </w:pPr>
      <w:r>
        <w:rPr>
          <w:rStyle w:val="Bodytext1"/>
        </w:rPr>
        <w:t>Marszałek Senatu Rzeczypospolitej Polskiej</w:t>
      </w:r>
    </w:p>
    <w:p w:rsidR="00171DEE" w:rsidRDefault="003B5D2D">
      <w:pPr>
        <w:pStyle w:val="Bodytext40"/>
      </w:pPr>
      <w:r>
        <w:rPr>
          <w:rStyle w:val="Bodytext4"/>
          <w:b/>
          <w:bCs/>
        </w:rPr>
        <w:t>Petycja</w:t>
      </w:r>
    </w:p>
    <w:p w:rsidR="00171DEE" w:rsidRDefault="003B5D2D">
      <w:pPr>
        <w:pStyle w:val="Bodytext10"/>
        <w:spacing w:after="0"/>
      </w:pPr>
      <w:r>
        <w:rPr>
          <w:rStyle w:val="Bodytext1"/>
          <w:u w:val="single"/>
        </w:rPr>
        <w:t>Wnoszący petycję</w:t>
      </w:r>
      <w:r>
        <w:rPr>
          <w:rStyle w:val="Bodytext1"/>
        </w:rPr>
        <w:t>:</w:t>
      </w:r>
    </w:p>
    <w:p w:rsidR="00171DEE" w:rsidRDefault="00171DEE">
      <w:pPr>
        <w:pStyle w:val="Bodytext10"/>
        <w:spacing w:after="0"/>
      </w:pPr>
    </w:p>
    <w:p w:rsidR="00171DEE" w:rsidRDefault="00171DEE">
      <w:pPr>
        <w:pStyle w:val="Bodytext10"/>
        <w:spacing w:after="0"/>
      </w:pPr>
    </w:p>
    <w:p w:rsidR="00171DEE" w:rsidRPr="00EF03CD" w:rsidRDefault="00171DEE">
      <w:pPr>
        <w:pStyle w:val="Bodytext10"/>
        <w:spacing w:after="0"/>
      </w:pPr>
    </w:p>
    <w:p w:rsidR="00171DEE" w:rsidRDefault="003B5D2D">
      <w:pPr>
        <w:pStyle w:val="Bodytext10"/>
        <w:spacing w:after="300"/>
      </w:pPr>
      <w:r>
        <w:rPr>
          <w:rStyle w:val="Bodytext1"/>
        </w:rPr>
        <w:t>reprezentujący: własny interes / interes publiczny</w:t>
      </w:r>
    </w:p>
    <w:p w:rsidR="00171DEE" w:rsidRDefault="003B5D2D">
      <w:pPr>
        <w:pStyle w:val="Bodytext10"/>
        <w:spacing w:after="180"/>
      </w:pPr>
      <w:r>
        <w:rPr>
          <w:rStyle w:val="Bodytext1"/>
          <w:u w:val="single"/>
        </w:rPr>
        <w:t>Podstawa prawna</w:t>
      </w:r>
      <w:r>
        <w:rPr>
          <w:rStyle w:val="Bodytext1"/>
        </w:rPr>
        <w:t>:</w:t>
      </w:r>
    </w:p>
    <w:p w:rsidR="00171DEE" w:rsidRDefault="003B5D2D">
      <w:pPr>
        <w:pStyle w:val="Bodytext10"/>
        <w:spacing w:after="300" w:line="343" w:lineRule="auto"/>
        <w:jc w:val="both"/>
      </w:pPr>
      <w:r>
        <w:rPr>
          <w:rStyle w:val="Bodytext1"/>
        </w:rPr>
        <w:t xml:space="preserve">Działając na podstawie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z dnia 11 lipca 2014 r. o petycjach (Dz.U. z 2018 r. poz. 870), wnoszę petycję o podjęcie inicjatywy legislacyjnej zmierzającej do usprawnienia i uproszczenia procedur administracyjnych prowadzonych przez jednostki samorządu terytorialnego.</w:t>
      </w:r>
    </w:p>
    <w:p w:rsidR="00171DEE" w:rsidRDefault="003B5D2D">
      <w:pPr>
        <w:pStyle w:val="Bodytext10"/>
        <w:spacing w:after="0"/>
      </w:pPr>
      <w:r>
        <w:rPr>
          <w:rStyle w:val="Bodytext1"/>
          <w:u w:val="single"/>
        </w:rPr>
        <w:t>Treść petycji</w:t>
      </w:r>
      <w:r>
        <w:rPr>
          <w:rStyle w:val="Bodytext1"/>
        </w:rPr>
        <w:t>:</w:t>
      </w:r>
    </w:p>
    <w:p w:rsidR="00171DEE" w:rsidRDefault="003B5D2D">
      <w:pPr>
        <w:pStyle w:val="Bodytext10"/>
        <w:spacing w:after="600"/>
        <w:jc w:val="both"/>
      </w:pPr>
      <w:r>
        <w:rPr>
          <w:rStyle w:val="Bodytext1"/>
        </w:rPr>
        <w:t>Niniejsza petycja dotyczy postulatu poprawy ogólnych zasad prowadzenia postępowań administracyjnych na podstawie Kodeksu postępowania administracyjnego i nie odnosi się do rozwiązań zawartych w ustawach sektorowych, w tym regulujących procedury planistyczne.</w:t>
      </w:r>
    </w:p>
    <w:p w:rsidR="00171DEE" w:rsidRDefault="003B5D2D" w:rsidP="00670CC8">
      <w:pPr>
        <w:pStyle w:val="Heading210"/>
        <w:keepNext/>
        <w:keepLines/>
        <w:numPr>
          <w:ilvl w:val="0"/>
          <w:numId w:val="1"/>
        </w:numPr>
        <w:tabs>
          <w:tab w:val="left" w:pos="289"/>
        </w:tabs>
      </w:pPr>
      <w:bookmarkStart w:id="1" w:name="bookmark0"/>
      <w:r>
        <w:rPr>
          <w:rStyle w:val="Heading21"/>
          <w:b/>
          <w:bCs/>
        </w:rPr>
        <w:t>Uzasadnienie - problemy praktyczne jednostek samorządu terytorialnego</w:t>
      </w:r>
      <w:bookmarkEnd w:id="1"/>
    </w:p>
    <w:p w:rsidR="00171DEE" w:rsidRDefault="003B5D2D" w:rsidP="00670CC8">
      <w:pPr>
        <w:pStyle w:val="Bodytext10"/>
        <w:numPr>
          <w:ilvl w:val="0"/>
          <w:numId w:val="6"/>
        </w:numPr>
        <w:tabs>
          <w:tab w:val="left" w:pos="332"/>
        </w:tabs>
        <w:spacing w:after="300"/>
        <w:ind w:left="357" w:hanging="357"/>
      </w:pPr>
      <w:r>
        <w:rPr>
          <w:rStyle w:val="Bodytext1"/>
        </w:rPr>
        <w:t>Przewlekłość uzgodnień i opinii organów współdziałających.</w:t>
      </w:r>
    </w:p>
    <w:p w:rsidR="00171DEE" w:rsidRDefault="003B5D2D">
      <w:pPr>
        <w:pStyle w:val="Bodytext10"/>
        <w:spacing w:after="300"/>
        <w:jc w:val="both"/>
      </w:pPr>
      <w:r>
        <w:rPr>
          <w:rStyle w:val="Bodytext1"/>
        </w:rPr>
        <w:t>Jednostki samorządu terytorialnego realizujące zadania publiczne napotykają istotne trudności wynikające z przewlekłości uzgodnień i opinii dokonywanych przez inne organy administracji publicznej. W praktyce samorządy najczęściej „wstrzymywane są" na uzgodnieniach/opiniach/zgodach organów takich jak (przykładowo): RDOŚ, Wody Polskie, wojewódzki konserwator zabytków, organy sanitarne/ppoż., zarządcy dróg/terenów kolejowych, itp. Problem ten występuje powszechnie w</w:t>
      </w:r>
      <w:r w:rsidR="005231CE">
        <w:rPr>
          <w:rStyle w:val="Bodytext1"/>
        </w:rPr>
        <w:t> </w:t>
      </w:r>
      <w:r>
        <w:rPr>
          <w:rStyle w:val="Bodytext1"/>
        </w:rPr>
        <w:t>postępowaniach inwestycyjnych, infrastrukturalnych, środowiskowych oraz związanych z realizacją programów publicznych.</w:t>
      </w:r>
      <w:r>
        <w:br w:type="page"/>
      </w:r>
    </w:p>
    <w:p w:rsidR="00171DEE" w:rsidRDefault="003B5D2D">
      <w:pPr>
        <w:pStyle w:val="Bodytext10"/>
        <w:spacing w:after="300"/>
        <w:jc w:val="both"/>
      </w:pPr>
      <w:r>
        <w:rPr>
          <w:rStyle w:val="Bodytext1"/>
        </w:rPr>
        <w:lastRenderedPageBreak/>
        <w:t xml:space="preserve">Choć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106 Kodeksu postępowania administracyjnego przewiduje termin zajęcia stanowiska przez organ współdziałający, w praktyce brak jest jednoznacznego skutku materialnoprawnego przekroczenia tego terminu. Prowadzi to do sytuacji, w której terminy mają charakter wyłącznie instrukcyjny, a</w:t>
      </w:r>
      <w:r w:rsidR="005231CE">
        <w:rPr>
          <w:rStyle w:val="Bodytext1"/>
        </w:rPr>
        <w:t> </w:t>
      </w:r>
      <w:r>
        <w:rPr>
          <w:rStyle w:val="Bodytext1"/>
        </w:rPr>
        <w:t>postępowania ulegają znacznemu wydłużeniu. Skutkiem tego stanu rzeczy jest systemowe naruszenie zasady szybkości i prostoty postępowania administracyjnego, przy jednoczesnym przerzuceniu odpowiedzialności organizacyjnej na organ prowadzący sprawę, mimo że przyczyny opóźnień leżą poza jego kompetencjami. Jednocześnie w innych ustawach (np. w przepisach dotyczących planowania przestrzennego) funkcjonuje mechanizm, zgodnie z którym brak stanowiska w terminie jest równoznaczny z uzgodnieniem. Rozwiązanie to jest oceniane przez samorządy jako skuteczne, proporcjonalne i bezpieczne.</w:t>
      </w:r>
    </w:p>
    <w:p w:rsidR="00171DEE" w:rsidRDefault="003B5D2D" w:rsidP="00670CC8">
      <w:pPr>
        <w:pStyle w:val="Bodytext10"/>
        <w:numPr>
          <w:ilvl w:val="0"/>
          <w:numId w:val="6"/>
        </w:numPr>
        <w:tabs>
          <w:tab w:val="left" w:pos="284"/>
        </w:tabs>
        <w:spacing w:after="0"/>
        <w:ind w:left="357" w:hanging="357"/>
        <w:jc w:val="both"/>
      </w:pPr>
      <w:r>
        <w:rPr>
          <w:rStyle w:val="Bodytext1"/>
        </w:rPr>
        <w:t xml:space="preserve">Ograniczona skuteczność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220 KPA w postępowaniach dotacyjnych.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</w:rPr>
        <w:t xml:space="preserve">Zgodnie z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220 Kodeksu postępowania administracyjnego organ administracji publicznej nie powinien żądać od strony zaświadczeń ani oświadczeń, jeżeli fakty te są mu znane z urzędu lub możliwe do</w:t>
      </w:r>
      <w:r w:rsidR="005231CE">
        <w:rPr>
          <w:rStyle w:val="Bodytext1"/>
        </w:rPr>
        <w:t> </w:t>
      </w:r>
      <w:r>
        <w:rPr>
          <w:rStyle w:val="Bodytext1"/>
        </w:rPr>
        <w:t>ustalenia na podstawie rejestrów publicznych.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</w:rPr>
        <w:t xml:space="preserve">Pomimo jednoznacznego brzmienia tego przepisu, w praktyce postępowań dotacyjnych i konkursowych prowadzonych przez JST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220 KPA nie zawsze znajduje pełne zastosowanie. Skutkuje to rutynowym żądaniem od wnioskodawców licznych dokumentów, mimo że dane te mogłyby zostać pozyskane przez organ z urzędu.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</w:rPr>
        <w:t>Przyczyną tego stanu rzeczy są w szczególności:</w:t>
      </w:r>
    </w:p>
    <w:p w:rsidR="00171DEE" w:rsidRDefault="003B5D2D">
      <w:pPr>
        <w:pStyle w:val="Bodytext10"/>
        <w:numPr>
          <w:ilvl w:val="0"/>
          <w:numId w:val="2"/>
        </w:numPr>
        <w:tabs>
          <w:tab w:val="left" w:pos="198"/>
        </w:tabs>
        <w:spacing w:after="0"/>
        <w:jc w:val="both"/>
      </w:pPr>
      <w:r>
        <w:rPr>
          <w:rStyle w:val="Bodytext1"/>
        </w:rPr>
        <w:t xml:space="preserve">brak jednoznacznych regulacji wzmacniających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220 KPA w postępowaniach dotacyjnych,</w:t>
      </w:r>
    </w:p>
    <w:p w:rsidR="00171DEE" w:rsidRDefault="003B5D2D">
      <w:pPr>
        <w:pStyle w:val="Bodytext10"/>
        <w:numPr>
          <w:ilvl w:val="0"/>
          <w:numId w:val="2"/>
        </w:numPr>
        <w:tabs>
          <w:tab w:val="left" w:pos="198"/>
        </w:tabs>
        <w:spacing w:after="0"/>
        <w:jc w:val="both"/>
      </w:pPr>
      <w:r>
        <w:rPr>
          <w:rStyle w:val="Bodytext1"/>
        </w:rPr>
        <w:t>obawy organów przed konsekwencjami kontrolnymi,</w:t>
      </w:r>
    </w:p>
    <w:p w:rsidR="00171DEE" w:rsidRDefault="003B5D2D">
      <w:pPr>
        <w:pStyle w:val="Bodytext10"/>
        <w:numPr>
          <w:ilvl w:val="0"/>
          <w:numId w:val="2"/>
        </w:numPr>
        <w:tabs>
          <w:tab w:val="left" w:pos="198"/>
        </w:tabs>
        <w:spacing w:after="300"/>
        <w:jc w:val="both"/>
      </w:pPr>
      <w:r>
        <w:rPr>
          <w:rStyle w:val="Bodytext1"/>
        </w:rPr>
        <w:t>utrwalone praktyki administracyjne polegające na przerzucaniu ciężaru dowodowego na obywatela lub przedsiębiorcę.</w:t>
      </w:r>
    </w:p>
    <w:p w:rsidR="00171DEE" w:rsidRDefault="003B5D2D">
      <w:pPr>
        <w:pStyle w:val="Heading210"/>
        <w:keepNext/>
        <w:keepLines/>
        <w:numPr>
          <w:ilvl w:val="0"/>
          <w:numId w:val="3"/>
        </w:numPr>
        <w:tabs>
          <w:tab w:val="left" w:pos="291"/>
        </w:tabs>
        <w:jc w:val="both"/>
      </w:pPr>
      <w:bookmarkStart w:id="2" w:name="bookmark2"/>
      <w:r>
        <w:rPr>
          <w:rStyle w:val="Heading21"/>
          <w:b/>
          <w:bCs/>
        </w:rPr>
        <w:t>Postulowane kierunki zmian legislacyjnych</w:t>
      </w:r>
      <w:bookmarkEnd w:id="2"/>
    </w:p>
    <w:p w:rsidR="00171DEE" w:rsidRDefault="003B5D2D">
      <w:pPr>
        <w:pStyle w:val="Bodytext10"/>
        <w:spacing w:after="300"/>
        <w:jc w:val="both"/>
      </w:pPr>
      <w:r>
        <w:rPr>
          <w:rStyle w:val="Bodytext1"/>
        </w:rPr>
        <w:t>Przedstawione propozycje mają charakter kierunkowy i mogą podlegać dalszym pracom redakcyjnym w</w:t>
      </w:r>
      <w:r w:rsidR="005231CE">
        <w:rPr>
          <w:rStyle w:val="Bodytext1"/>
        </w:rPr>
        <w:t> </w:t>
      </w:r>
      <w:r>
        <w:rPr>
          <w:rStyle w:val="Bodytext1"/>
        </w:rPr>
        <w:t>toku procesu legislacyjnego. W celu usunięcia wskazanych barier oraz poprawy efektywności administracji publicznej wnoszę o rozważenie następujących zmian:</w:t>
      </w:r>
    </w:p>
    <w:p w:rsidR="00171DEE" w:rsidRDefault="003B5D2D">
      <w:pPr>
        <w:pStyle w:val="Bodytext10"/>
        <w:numPr>
          <w:ilvl w:val="0"/>
          <w:numId w:val="4"/>
        </w:numPr>
        <w:tabs>
          <w:tab w:val="left" w:pos="277"/>
        </w:tabs>
        <w:spacing w:after="0" w:line="336" w:lineRule="auto"/>
        <w:jc w:val="both"/>
      </w:pPr>
      <w:r>
        <w:rPr>
          <w:rStyle w:val="Bodytext1"/>
        </w:rPr>
        <w:t>Skutek przekroczenia terminu przez organ współdziałający.</w:t>
      </w:r>
    </w:p>
    <w:p w:rsidR="00171DEE" w:rsidRDefault="003B5D2D">
      <w:pPr>
        <w:pStyle w:val="Bodytext10"/>
        <w:spacing w:after="300" w:line="336" w:lineRule="auto"/>
        <w:jc w:val="both"/>
      </w:pPr>
      <w:r>
        <w:rPr>
          <w:rStyle w:val="Bodytext1"/>
        </w:rPr>
        <w:t>Wprowadzenie do Kodeksu postępowania administracyjnego jednoznacznej zasady, zgodnie z którą niezajęcie stanowiska przez organ współdziałający w ustawowym terminie skutkuje uznaniem uzgodnienia lub opinii za wydane zgodnie z wnioskiem organu prowadzącego postępowanie, o ile przepis szczególny nie stanowi inaczej. Rozwiązanie to zapewni realną dyscyplinę terminową organów współdziałających i zapobiegnie przewlekłości postępowań.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  <w:i/>
          <w:iCs/>
          <w:u w:val="single"/>
        </w:rPr>
        <w:t>Propozycja zmiany (punktowa nowelizacja KPA):</w:t>
      </w:r>
    </w:p>
    <w:p w:rsidR="00171DEE" w:rsidRDefault="003B5D2D">
      <w:pPr>
        <w:pStyle w:val="Bodytext10"/>
        <w:spacing w:after="300"/>
        <w:jc w:val="both"/>
      </w:pPr>
      <w:r>
        <w:rPr>
          <w:rStyle w:val="Bodytext1"/>
        </w:rPr>
        <w:t xml:space="preserve">W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106 Kodeksu postępowania administracyjnego po § 3 dodać § 3a w brzmieniu:</w:t>
      </w:r>
      <w:r>
        <w:br w:type="page"/>
      </w:r>
    </w:p>
    <w:p w:rsidR="00171DEE" w:rsidRDefault="003B5D2D">
      <w:pPr>
        <w:pStyle w:val="Bodytext10"/>
        <w:spacing w:line="343" w:lineRule="auto"/>
        <w:jc w:val="both"/>
      </w:pPr>
      <w:r>
        <w:rPr>
          <w:rStyle w:val="Bodytext1"/>
          <w:i/>
          <w:iCs/>
        </w:rPr>
        <w:lastRenderedPageBreak/>
        <w:t xml:space="preserve">„Niezajęcie stanowiska przez organ </w:t>
      </w:r>
      <w:r w:rsidR="005231CE">
        <w:rPr>
          <w:rStyle w:val="Bodytext1"/>
          <w:i/>
          <w:iCs/>
        </w:rPr>
        <w:t>współdziałający</w:t>
      </w:r>
      <w:r>
        <w:rPr>
          <w:rStyle w:val="Bodytext1"/>
          <w:i/>
          <w:iCs/>
        </w:rPr>
        <w:t xml:space="preserve"> w terminie, o którym mowa w § 3, uważa się za</w:t>
      </w:r>
      <w:r w:rsidR="005231CE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 xml:space="preserve">uzgodnienie lub wydanie opinii zgodnie z wnioskiem organu </w:t>
      </w:r>
      <w:r w:rsidR="005231CE" w:rsidRPr="005231CE">
        <w:rPr>
          <w:rStyle w:val="Bodytext1"/>
          <w:i/>
          <w:iCs/>
          <w:lang w:eastAsia="en-US" w:bidi="en-US"/>
        </w:rPr>
        <w:t>prowadzącego</w:t>
      </w:r>
      <w:r w:rsidRPr="005231CE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>postępowanie, chyba że</w:t>
      </w:r>
      <w:r w:rsidR="005231CE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przepis szczególny stanowi inaczej."</w:t>
      </w:r>
    </w:p>
    <w:p w:rsidR="00171DEE" w:rsidRDefault="003B5D2D">
      <w:pPr>
        <w:pStyle w:val="Bodytext10"/>
        <w:numPr>
          <w:ilvl w:val="0"/>
          <w:numId w:val="4"/>
        </w:numPr>
        <w:tabs>
          <w:tab w:val="left" w:pos="298"/>
        </w:tabs>
        <w:spacing w:after="0" w:line="343" w:lineRule="auto"/>
        <w:jc w:val="both"/>
      </w:pPr>
      <w:r>
        <w:rPr>
          <w:rStyle w:val="Bodytext1"/>
        </w:rPr>
        <w:t>Rozszerzenie stosowania „milczącego załatwienia sprawy".</w:t>
      </w:r>
    </w:p>
    <w:p w:rsidR="00171DEE" w:rsidRDefault="003B5D2D">
      <w:pPr>
        <w:pStyle w:val="Bodytext10"/>
        <w:spacing w:after="0" w:line="343" w:lineRule="auto"/>
        <w:jc w:val="both"/>
      </w:pPr>
      <w:r>
        <w:rPr>
          <w:rStyle w:val="Bodytext1"/>
        </w:rPr>
        <w:t>Rozszerzenie możliwości stosowania instytucji milczącego załatwienia sprawy w odniesieniu do</w:t>
      </w:r>
      <w:r w:rsidR="005231CE">
        <w:rPr>
          <w:rStyle w:val="Bodytext1"/>
        </w:rPr>
        <w:t> </w:t>
      </w:r>
      <w:r>
        <w:rPr>
          <w:rStyle w:val="Bodytext1"/>
        </w:rPr>
        <w:t>uzgodnień, opinii i zgód innych organów, w szczególności w sprawach niewiążących się z</w:t>
      </w:r>
      <w:r w:rsidR="005231CE">
        <w:rPr>
          <w:rStyle w:val="Bodytext1"/>
        </w:rPr>
        <w:t> </w:t>
      </w:r>
      <w:r>
        <w:rPr>
          <w:rStyle w:val="Bodytext1"/>
        </w:rPr>
        <w:t>zagrożeniem dla życia, zdrowia lub bezpieczeństwa publicznego.</w:t>
      </w:r>
    </w:p>
    <w:p w:rsidR="00171DEE" w:rsidRDefault="003B5D2D">
      <w:pPr>
        <w:pStyle w:val="Bodytext10"/>
        <w:spacing w:after="0" w:line="343" w:lineRule="auto"/>
        <w:jc w:val="both"/>
      </w:pPr>
      <w:r>
        <w:rPr>
          <w:rStyle w:val="Bodytext1"/>
        </w:rPr>
        <w:t>Pozwoli to na uproszczenie i przyspieszenie postępowań administracyjnych bez uszczerbku dla interesu publicznego.</w:t>
      </w:r>
    </w:p>
    <w:p w:rsidR="00171DEE" w:rsidRDefault="003B5D2D">
      <w:pPr>
        <w:pStyle w:val="Bodytext10"/>
        <w:spacing w:after="0" w:line="343" w:lineRule="auto"/>
      </w:pPr>
      <w:r>
        <w:rPr>
          <w:rStyle w:val="Bodytext1"/>
          <w:i/>
          <w:iCs/>
          <w:u w:val="single"/>
        </w:rPr>
        <w:t>Propozycja zmiany:</w:t>
      </w:r>
    </w:p>
    <w:p w:rsidR="00171DEE" w:rsidRDefault="003B5D2D">
      <w:pPr>
        <w:pStyle w:val="Bodytext10"/>
        <w:spacing w:after="0" w:line="343" w:lineRule="auto"/>
        <w:jc w:val="both"/>
      </w:pPr>
      <w:r>
        <w:rPr>
          <w:rStyle w:val="Bodytext1"/>
        </w:rPr>
        <w:t xml:space="preserve">W </w:t>
      </w:r>
      <w:r w:rsidRPr="005231CE">
        <w:rPr>
          <w:rStyle w:val="Bodytext1"/>
          <w:lang w:eastAsia="en-US" w:bidi="en-US"/>
        </w:rPr>
        <w:t xml:space="preserve">art. 122a </w:t>
      </w:r>
      <w:r>
        <w:rPr>
          <w:rStyle w:val="Bodytext1"/>
        </w:rPr>
        <w:t>§ 1 KPA po wyrazach „jeżeli przepis szczególny tak stanowi" dodać:</w:t>
      </w:r>
    </w:p>
    <w:p w:rsidR="00171DEE" w:rsidRDefault="003B5D2D">
      <w:pPr>
        <w:pStyle w:val="Bodytext10"/>
        <w:spacing w:line="343" w:lineRule="auto"/>
        <w:jc w:val="both"/>
      </w:pPr>
      <w:r>
        <w:rPr>
          <w:rStyle w:val="Bodytext1"/>
          <w:i/>
          <w:iCs/>
        </w:rPr>
        <w:t xml:space="preserve">„albo jeżeli sprawa dotyczy uzgodnienia, opinii lub zgody innego organu i sprawa nie </w:t>
      </w:r>
      <w:r w:rsidR="005231CE">
        <w:rPr>
          <w:rStyle w:val="Bodytext1"/>
          <w:i/>
          <w:iCs/>
        </w:rPr>
        <w:t>wiąże</w:t>
      </w:r>
      <w:r>
        <w:rPr>
          <w:rStyle w:val="Bodytext1"/>
          <w:i/>
          <w:iCs/>
        </w:rPr>
        <w:t xml:space="preserve"> się z</w:t>
      </w:r>
      <w:r w:rsidR="005231CE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zagrożeniem dla życia, zdrowia lub bezpieczeństwa publicznego."</w:t>
      </w:r>
    </w:p>
    <w:p w:rsidR="00171DEE" w:rsidRDefault="003B5D2D">
      <w:pPr>
        <w:pStyle w:val="Bodytext10"/>
        <w:numPr>
          <w:ilvl w:val="0"/>
          <w:numId w:val="4"/>
        </w:numPr>
        <w:tabs>
          <w:tab w:val="left" w:pos="298"/>
        </w:tabs>
        <w:spacing w:after="0"/>
        <w:jc w:val="both"/>
      </w:pPr>
      <w:r>
        <w:rPr>
          <w:rStyle w:val="Bodytext1"/>
        </w:rPr>
        <w:t xml:space="preserve">Realne wdrożenie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220 KPA w postępowaniach dotacyjnych.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</w:rPr>
        <w:t>Wprowadzenie zasady, zgodnie z którą w postępowaniach dotyczących udzielania dotacji, dofinansowań i grantów organ administracji publicznej w pierwszej kolejności weryfikuje dane na podstawie rejestrów publicznych oraz informacji posiadanych z urzędu, a żądanie zaświadczeń lub oświadczeń ma charakter wyłącznie wyjątkowy. Pozyskanie danych przez organ z rejestrów publicznych lub ich weryfikacja z</w:t>
      </w:r>
      <w:r w:rsidR="005231CE">
        <w:rPr>
          <w:rStyle w:val="Bodytext1"/>
        </w:rPr>
        <w:t> </w:t>
      </w:r>
      <w:r>
        <w:rPr>
          <w:rStyle w:val="Bodytext1"/>
        </w:rPr>
        <w:t>urzędu powinny być uznawane za wystarczające udokumentowanie spełnienia warunków postępowania.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  <w:i/>
          <w:iCs/>
          <w:u w:val="single"/>
        </w:rPr>
        <w:t>Propozycja zmiany (do KPA lub ustawy o finansach publicznych):</w:t>
      </w:r>
    </w:p>
    <w:p w:rsidR="00171DEE" w:rsidRDefault="003B5D2D">
      <w:pPr>
        <w:pStyle w:val="Bodytext10"/>
        <w:jc w:val="both"/>
      </w:pPr>
      <w:r>
        <w:rPr>
          <w:rStyle w:val="Bodytext1"/>
        </w:rPr>
        <w:t xml:space="preserve">„W </w:t>
      </w:r>
      <w:r>
        <w:rPr>
          <w:rStyle w:val="Bodytext1"/>
          <w:i/>
          <w:iCs/>
        </w:rPr>
        <w:t xml:space="preserve">postępowaniach </w:t>
      </w:r>
      <w:r w:rsidR="005231CE" w:rsidRPr="005231CE">
        <w:rPr>
          <w:rStyle w:val="Bodytext1"/>
          <w:i/>
          <w:iCs/>
          <w:lang w:eastAsia="en-US" w:bidi="en-US"/>
        </w:rPr>
        <w:t>dotyczących</w:t>
      </w:r>
      <w:r w:rsidRPr="005231CE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 xml:space="preserve">udzielania dotacji, dofinansowań i grantów przez jednostki </w:t>
      </w:r>
      <w:r w:rsidR="005231CE" w:rsidRPr="005231CE">
        <w:rPr>
          <w:rStyle w:val="Bodytext1"/>
          <w:i/>
          <w:iCs/>
          <w:lang w:eastAsia="en-US" w:bidi="en-US"/>
        </w:rPr>
        <w:t>samorządu</w:t>
      </w:r>
      <w:r w:rsidRPr="005231CE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 xml:space="preserve">terytorialnego organ weryfikuje spełnienie warunków na podstawie posiadanych rejestrów publicznych lub danych pozyskanych z urzędu. </w:t>
      </w:r>
      <w:r w:rsidR="005231CE">
        <w:rPr>
          <w:rStyle w:val="Bodytext1"/>
          <w:i/>
          <w:iCs/>
        </w:rPr>
        <w:t>Żądanie</w:t>
      </w:r>
      <w:r>
        <w:rPr>
          <w:rStyle w:val="Bodytext1"/>
          <w:i/>
          <w:iCs/>
        </w:rPr>
        <w:t xml:space="preserve"> zaświadczeń lub oświadczeń dopuszczalne jest </w:t>
      </w:r>
      <w:r w:rsidR="005231CE" w:rsidRPr="005231CE">
        <w:rPr>
          <w:rStyle w:val="Bodytext1"/>
          <w:i/>
          <w:iCs/>
          <w:lang w:eastAsia="en-US" w:bidi="en-US"/>
        </w:rPr>
        <w:t>wyłącznie</w:t>
      </w:r>
      <w:r w:rsidRPr="005231CE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>w</w:t>
      </w:r>
      <w:r w:rsidR="005231CE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przypadku braku dostępu do danych."</w:t>
      </w:r>
    </w:p>
    <w:p w:rsidR="00171DEE" w:rsidRDefault="003B5D2D">
      <w:pPr>
        <w:pStyle w:val="Bodytext10"/>
        <w:numPr>
          <w:ilvl w:val="0"/>
          <w:numId w:val="4"/>
        </w:numPr>
        <w:tabs>
          <w:tab w:val="left" w:pos="305"/>
        </w:tabs>
        <w:spacing w:after="0"/>
        <w:jc w:val="both"/>
      </w:pPr>
      <w:r>
        <w:rPr>
          <w:rStyle w:val="Bodytext1"/>
        </w:rPr>
        <w:t>Obowiązek wskazania podstawy prawnej żądania dokumentów.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</w:rPr>
        <w:t xml:space="preserve">Doprecyzowanie </w:t>
      </w:r>
      <w:r w:rsidRPr="005231CE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220 KPA poprzez wprowadzenie obowiązku wskazania podstawy prawnej przy każdym żądaniu zaświadczenia lub oświadczenia, co zwiększy przejrzystość postępowań i ograniczy nadmierną biurokrację.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  <w:i/>
          <w:iCs/>
          <w:u w:val="single"/>
        </w:rPr>
        <w:t xml:space="preserve">Propozycja zmiany (doprecyzowanie </w:t>
      </w:r>
      <w:r w:rsidRPr="005231CE">
        <w:rPr>
          <w:rStyle w:val="Bodytext1"/>
          <w:i/>
          <w:iCs/>
          <w:u w:val="single"/>
          <w:lang w:eastAsia="en-US" w:bidi="en-US"/>
        </w:rPr>
        <w:t xml:space="preserve">art. </w:t>
      </w:r>
      <w:r>
        <w:rPr>
          <w:rStyle w:val="Bodytext1"/>
          <w:i/>
          <w:iCs/>
          <w:u w:val="single"/>
        </w:rPr>
        <w:t>220):</w:t>
      </w:r>
    </w:p>
    <w:p w:rsidR="00171DEE" w:rsidRDefault="003B5D2D">
      <w:pPr>
        <w:pStyle w:val="Bodytext10"/>
        <w:spacing w:after="600"/>
        <w:jc w:val="both"/>
      </w:pPr>
      <w:r>
        <w:rPr>
          <w:rStyle w:val="Bodytext1"/>
          <w:i/>
          <w:iCs/>
        </w:rPr>
        <w:t xml:space="preserve">„W przypadku </w:t>
      </w:r>
      <w:r w:rsidR="005231CE">
        <w:rPr>
          <w:rStyle w:val="Bodytext1"/>
          <w:i/>
          <w:iCs/>
        </w:rPr>
        <w:t>żądania</w:t>
      </w:r>
      <w:r>
        <w:rPr>
          <w:rStyle w:val="Bodytext1"/>
          <w:i/>
          <w:iCs/>
        </w:rPr>
        <w:t xml:space="preserve"> zaświadczenia lub oświadczenia organ jest </w:t>
      </w:r>
      <w:r w:rsidR="005231CE" w:rsidRPr="005231CE">
        <w:rPr>
          <w:rStyle w:val="Bodytext1"/>
          <w:i/>
          <w:iCs/>
          <w:lang w:eastAsia="en-US" w:bidi="en-US"/>
        </w:rPr>
        <w:t>obowiązany</w:t>
      </w:r>
      <w:r w:rsidRPr="005231CE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 xml:space="preserve">wskazać przepis prawa </w:t>
      </w:r>
      <w:r w:rsidR="005231CE" w:rsidRPr="005231CE">
        <w:rPr>
          <w:rStyle w:val="Bodytext1"/>
          <w:i/>
          <w:iCs/>
          <w:lang w:eastAsia="en-US" w:bidi="en-US"/>
        </w:rPr>
        <w:t>stanowiący</w:t>
      </w:r>
      <w:r w:rsidRPr="005231CE">
        <w:rPr>
          <w:rStyle w:val="Bodytext1"/>
          <w:i/>
          <w:iCs/>
          <w:lang w:eastAsia="en-US" w:bidi="en-US"/>
        </w:rPr>
        <w:t xml:space="preserve"> </w:t>
      </w:r>
      <w:r>
        <w:rPr>
          <w:rStyle w:val="Bodytext1"/>
          <w:i/>
          <w:iCs/>
        </w:rPr>
        <w:t xml:space="preserve">podstawę tego </w:t>
      </w:r>
      <w:r w:rsidR="005231CE">
        <w:rPr>
          <w:rStyle w:val="Bodytext1"/>
          <w:i/>
          <w:iCs/>
        </w:rPr>
        <w:t>żądania</w:t>
      </w:r>
      <w:r>
        <w:rPr>
          <w:rStyle w:val="Bodytext1"/>
          <w:i/>
          <w:iCs/>
        </w:rPr>
        <w:t xml:space="preserve">. Brak wskazania podstawy prawnej powoduje bezskuteczność </w:t>
      </w:r>
      <w:r w:rsidR="005231CE">
        <w:rPr>
          <w:rStyle w:val="Bodytext1"/>
          <w:i/>
          <w:iCs/>
        </w:rPr>
        <w:t>żądania</w:t>
      </w:r>
      <w:r>
        <w:rPr>
          <w:rStyle w:val="Bodytext1"/>
          <w:i/>
          <w:iCs/>
        </w:rPr>
        <w:t>.”</w:t>
      </w:r>
    </w:p>
    <w:p w:rsidR="00171DEE" w:rsidRDefault="003B5D2D">
      <w:pPr>
        <w:pStyle w:val="Heading210"/>
        <w:keepNext/>
        <w:keepLines/>
        <w:numPr>
          <w:ilvl w:val="0"/>
          <w:numId w:val="3"/>
        </w:numPr>
        <w:tabs>
          <w:tab w:val="left" w:pos="370"/>
        </w:tabs>
        <w:spacing w:after="280"/>
        <w:jc w:val="both"/>
      </w:pPr>
      <w:bookmarkStart w:id="3" w:name="bookmark4"/>
      <w:r>
        <w:rPr>
          <w:rStyle w:val="Heading21"/>
          <w:b/>
          <w:bCs/>
        </w:rPr>
        <w:t>Skutki finansowe i organizacyjne</w:t>
      </w:r>
      <w:bookmarkEnd w:id="3"/>
    </w:p>
    <w:p w:rsidR="00171DEE" w:rsidRDefault="003B5D2D">
      <w:pPr>
        <w:pStyle w:val="Bodytext10"/>
        <w:spacing w:after="60" w:line="240" w:lineRule="auto"/>
        <w:jc w:val="both"/>
      </w:pPr>
      <w:r>
        <w:rPr>
          <w:rStyle w:val="Bodytext1"/>
        </w:rPr>
        <w:t>Proponowane zmiany:</w:t>
      </w:r>
    </w:p>
    <w:p w:rsidR="00171DEE" w:rsidRDefault="003B5D2D">
      <w:pPr>
        <w:pStyle w:val="Bodytext10"/>
        <w:spacing w:line="240" w:lineRule="auto"/>
        <w:jc w:val="both"/>
      </w:pPr>
      <w:r>
        <w:rPr>
          <w:rStyle w:val="Bodytext1"/>
        </w:rPr>
        <w:t>- nie generują dodatkowych kosztów po stronie budżetu państwa,</w:t>
      </w:r>
      <w:r>
        <w:br w:type="page"/>
      </w:r>
    </w:p>
    <w:p w:rsidR="00171DEE" w:rsidRDefault="003B5D2D">
      <w:pPr>
        <w:pStyle w:val="Bodytext10"/>
        <w:numPr>
          <w:ilvl w:val="0"/>
          <w:numId w:val="5"/>
        </w:numPr>
        <w:tabs>
          <w:tab w:val="left" w:pos="258"/>
        </w:tabs>
        <w:spacing w:after="300"/>
      </w:pPr>
      <w:r>
        <w:rPr>
          <w:rStyle w:val="Bodytext1"/>
        </w:rPr>
        <w:lastRenderedPageBreak/>
        <w:t>nie zwiększają zakresu zadań administracji publicznej, - mają charakter deregulacyjny i</w:t>
      </w:r>
      <w:r w:rsidR="005231CE">
        <w:rPr>
          <w:rStyle w:val="Bodytext1"/>
        </w:rPr>
        <w:t> </w:t>
      </w:r>
      <w:r>
        <w:rPr>
          <w:rStyle w:val="Bodytext1"/>
        </w:rPr>
        <w:t>organizacyjny.</w:t>
      </w:r>
    </w:p>
    <w:p w:rsidR="00171DEE" w:rsidRDefault="003B5D2D">
      <w:pPr>
        <w:pStyle w:val="Bodytext10"/>
        <w:spacing w:after="0"/>
      </w:pPr>
      <w:r>
        <w:rPr>
          <w:rStyle w:val="Bodytext1"/>
        </w:rPr>
        <w:t>Jednocześnie przyniosą wymierne korzyści w postaci:</w:t>
      </w:r>
    </w:p>
    <w:p w:rsidR="00171DEE" w:rsidRDefault="003B5D2D">
      <w:pPr>
        <w:pStyle w:val="Bodytext10"/>
        <w:numPr>
          <w:ilvl w:val="0"/>
          <w:numId w:val="5"/>
        </w:numPr>
        <w:tabs>
          <w:tab w:val="left" w:pos="258"/>
        </w:tabs>
        <w:spacing w:after="0"/>
      </w:pPr>
      <w:r>
        <w:rPr>
          <w:rStyle w:val="Bodytext1"/>
        </w:rPr>
        <w:t>skrócenia czasu trwania postępowań,</w:t>
      </w:r>
    </w:p>
    <w:p w:rsidR="00171DEE" w:rsidRDefault="003B5D2D">
      <w:pPr>
        <w:pStyle w:val="Bodytext10"/>
        <w:numPr>
          <w:ilvl w:val="0"/>
          <w:numId w:val="5"/>
        </w:numPr>
        <w:tabs>
          <w:tab w:val="left" w:pos="258"/>
        </w:tabs>
        <w:spacing w:after="0"/>
      </w:pPr>
      <w:r>
        <w:rPr>
          <w:rStyle w:val="Bodytext1"/>
        </w:rPr>
        <w:t>ograniczenia kosztów obsługi administracyjnej,</w:t>
      </w:r>
    </w:p>
    <w:p w:rsidR="005231CE" w:rsidRDefault="005231CE" w:rsidP="005231CE">
      <w:pPr>
        <w:pStyle w:val="Bodytext10"/>
        <w:numPr>
          <w:ilvl w:val="0"/>
          <w:numId w:val="5"/>
        </w:numPr>
        <w:tabs>
          <w:tab w:val="left" w:pos="258"/>
        </w:tabs>
        <w:spacing w:after="0"/>
      </w:pPr>
      <w:r>
        <w:rPr>
          <w:rStyle w:val="Bodytext1"/>
        </w:rPr>
        <w:t>zmniejszenia liczby wymaganych dokumentów,</w:t>
      </w:r>
    </w:p>
    <w:p w:rsidR="00171DEE" w:rsidRDefault="003B5D2D">
      <w:pPr>
        <w:pStyle w:val="Bodytext10"/>
        <w:numPr>
          <w:ilvl w:val="0"/>
          <w:numId w:val="5"/>
        </w:numPr>
        <w:tabs>
          <w:tab w:val="left" w:pos="258"/>
        </w:tabs>
        <w:spacing w:after="620"/>
      </w:pPr>
      <w:r>
        <w:rPr>
          <w:rStyle w:val="Bodytext1"/>
        </w:rPr>
        <w:t>poprawy dostępności programów dotacyjnych dla mieszkańców i przedsiębiorców.</w:t>
      </w:r>
    </w:p>
    <w:p w:rsidR="00171DEE" w:rsidRDefault="003B5D2D">
      <w:pPr>
        <w:pStyle w:val="Heading210"/>
        <w:keepNext/>
        <w:keepLines/>
        <w:numPr>
          <w:ilvl w:val="0"/>
          <w:numId w:val="3"/>
        </w:numPr>
        <w:tabs>
          <w:tab w:val="left" w:pos="416"/>
        </w:tabs>
      </w:pPr>
      <w:bookmarkStart w:id="4" w:name="bookmark6"/>
      <w:r>
        <w:rPr>
          <w:rStyle w:val="Heading21"/>
          <w:b/>
          <w:bCs/>
        </w:rPr>
        <w:t>Zakończenie/podsumowanie.</w:t>
      </w:r>
      <w:bookmarkEnd w:id="4"/>
    </w:p>
    <w:p w:rsidR="00171DEE" w:rsidRDefault="003B5D2D">
      <w:pPr>
        <w:pStyle w:val="Bodytext10"/>
        <w:spacing w:after="300"/>
        <w:jc w:val="both"/>
      </w:pPr>
      <w:r>
        <w:rPr>
          <w:rStyle w:val="Bodytext1"/>
        </w:rPr>
        <w:t>Mając na uwadze powyższe, wnoszę o podjęcie prac legislacyjnych zmierzających do wzmocnienia skuteczności Kodeksu postępowania administracyjnego oraz uproszczenia procedur administracyjnych realizowanych przez jednostki samorządu terytorialnego.</w:t>
      </w:r>
    </w:p>
    <w:p w:rsidR="00171DEE" w:rsidRDefault="003B5D2D">
      <w:pPr>
        <w:pStyle w:val="Bodytext10"/>
        <w:spacing w:after="620"/>
        <w:jc w:val="both"/>
      </w:pPr>
      <w:r>
        <w:rPr>
          <w:rStyle w:val="Bodytext1"/>
        </w:rPr>
        <w:t>Petycja odzwierciedla doświadczenia praktyczne JST wynikające z codziennego stosowania przepisów KPA.</w:t>
      </w:r>
    </w:p>
    <w:p w:rsidR="00171DEE" w:rsidRDefault="003B5D2D">
      <w:pPr>
        <w:pStyle w:val="Bodytext10"/>
        <w:spacing w:after="0"/>
        <w:jc w:val="both"/>
      </w:pPr>
      <w:r>
        <w:rPr>
          <w:rStyle w:val="Bodytext1"/>
        </w:rPr>
        <w:t>Z wyrazami szacunku,</w:t>
      </w:r>
    </w:p>
    <w:p w:rsidR="00171DEE" w:rsidRDefault="00171DEE">
      <w:pPr>
        <w:pStyle w:val="Bodytext10"/>
        <w:spacing w:after="0"/>
      </w:pPr>
    </w:p>
    <w:p w:rsidR="005231CE" w:rsidRDefault="005231CE">
      <w:pPr>
        <w:pStyle w:val="Bodytext10"/>
        <w:spacing w:after="0"/>
        <w:sectPr w:rsidR="005231CE">
          <w:pgSz w:w="12240" w:h="15840"/>
          <w:pgMar w:top="1465" w:right="1769" w:bottom="1171" w:left="1767" w:header="1037" w:footer="743" w:gutter="0"/>
          <w:pgNumType w:start="1"/>
          <w:cols w:space="720"/>
          <w:noEndnote/>
          <w:docGrid w:linePitch="360"/>
        </w:sectPr>
      </w:pPr>
    </w:p>
    <w:p w:rsidR="00171DEE" w:rsidRDefault="00171DEE">
      <w:pPr>
        <w:spacing w:line="239" w:lineRule="exact"/>
        <w:rPr>
          <w:sz w:val="19"/>
          <w:szCs w:val="19"/>
        </w:rPr>
      </w:pPr>
    </w:p>
    <w:p w:rsidR="00171DEE" w:rsidRDefault="00171DEE">
      <w:pPr>
        <w:spacing w:line="1" w:lineRule="exact"/>
        <w:sectPr w:rsidR="00171DEE">
          <w:type w:val="continuous"/>
          <w:pgSz w:w="12240" w:h="15840"/>
          <w:pgMar w:top="1462" w:right="0" w:bottom="1462" w:left="0" w:header="0" w:footer="3" w:gutter="0"/>
          <w:cols w:space="720"/>
          <w:noEndnote/>
          <w:docGrid w:linePitch="360"/>
        </w:sectPr>
      </w:pPr>
    </w:p>
    <w:p w:rsidR="00171DEE" w:rsidRDefault="005231CE">
      <w:pPr>
        <w:pStyle w:val="Bodytext20"/>
        <w:framePr w:w="1102" w:h="367" w:wrap="none" w:vAnchor="text" w:hAnchor="page" w:x="3384" w:y="188"/>
      </w:pPr>
      <w:r>
        <w:rPr>
          <w:rStyle w:val="Bodytext2"/>
        </w:rPr>
        <w:t xml:space="preserve">podpisany przez </w:t>
      </w:r>
    </w:p>
    <w:p w:rsidR="00171DEE" w:rsidRDefault="00171DEE">
      <w:pPr>
        <w:pStyle w:val="Bodytext20"/>
        <w:framePr w:w="734" w:h="194" w:wrap="none" w:vAnchor="text" w:hAnchor="page" w:x="3384" w:y="563"/>
        <w:spacing w:line="240" w:lineRule="auto"/>
        <w:jc w:val="both"/>
      </w:pPr>
    </w:p>
    <w:p w:rsidR="00171DEE" w:rsidRDefault="003B5D2D">
      <w:pPr>
        <w:pStyle w:val="Bodytext20"/>
        <w:framePr w:w="1102" w:h="396" w:wrap="none" w:vAnchor="text" w:hAnchor="page" w:x="3384" w:y="743"/>
        <w:spacing w:line="276" w:lineRule="auto"/>
      </w:pPr>
      <w:r>
        <w:rPr>
          <w:rStyle w:val="Bodytext2"/>
        </w:rPr>
        <w:t>Data: 2025.12.29 14:57:32 +01'00'</w:t>
      </w:r>
    </w:p>
    <w:p w:rsidR="00171DEE" w:rsidRDefault="00171DEE">
      <w:pPr>
        <w:spacing w:line="360" w:lineRule="exact"/>
      </w:pPr>
    </w:p>
    <w:p w:rsidR="00171DEE" w:rsidRDefault="00171DEE">
      <w:pPr>
        <w:spacing w:line="360" w:lineRule="exact"/>
      </w:pPr>
    </w:p>
    <w:p w:rsidR="00EF03CD" w:rsidRDefault="00EF03CD">
      <w:pPr>
        <w:spacing w:line="360" w:lineRule="exact"/>
      </w:pPr>
    </w:p>
    <w:p w:rsidR="00EF03CD" w:rsidRDefault="00EF03CD">
      <w:pPr>
        <w:spacing w:line="360" w:lineRule="exact"/>
      </w:pPr>
    </w:p>
    <w:sectPr w:rsidR="00EF03CD" w:rsidSect="00A00203">
      <w:type w:val="continuous"/>
      <w:pgSz w:w="12240" w:h="15840"/>
      <w:pgMar w:top="1462" w:right="1775" w:bottom="1240" w:left="1768" w:header="1034" w:footer="8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53" w:rsidRDefault="00161A53">
      <w:r>
        <w:separator/>
      </w:r>
    </w:p>
  </w:endnote>
  <w:endnote w:type="continuationSeparator" w:id="0">
    <w:p w:rsidR="00161A53" w:rsidRDefault="0016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53" w:rsidRDefault="00161A53"/>
  </w:footnote>
  <w:footnote w:type="continuationSeparator" w:id="0">
    <w:p w:rsidR="00161A53" w:rsidRDefault="00161A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7A5"/>
    <w:multiLevelType w:val="multilevel"/>
    <w:tmpl w:val="3BDE44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10522"/>
    <w:multiLevelType w:val="multilevel"/>
    <w:tmpl w:val="55202C3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A074F"/>
    <w:multiLevelType w:val="multilevel"/>
    <w:tmpl w:val="2EBA05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11A22"/>
    <w:multiLevelType w:val="multilevel"/>
    <w:tmpl w:val="8E96A0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A250B"/>
    <w:multiLevelType w:val="multilevel"/>
    <w:tmpl w:val="8A44DC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9B2783"/>
    <w:multiLevelType w:val="multilevel"/>
    <w:tmpl w:val="1EB6A148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7B5E00"/>
    <w:multiLevelType w:val="multilevel"/>
    <w:tmpl w:val="01B01E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C33477"/>
    <w:multiLevelType w:val="multilevel"/>
    <w:tmpl w:val="DA849C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754D0"/>
    <w:multiLevelType w:val="multilevel"/>
    <w:tmpl w:val="020249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9C0F1D"/>
    <w:multiLevelType w:val="multilevel"/>
    <w:tmpl w:val="0764DE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194F07"/>
    <w:multiLevelType w:val="multilevel"/>
    <w:tmpl w:val="FAEE43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B0493"/>
    <w:multiLevelType w:val="hybridMultilevel"/>
    <w:tmpl w:val="0292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16E5D"/>
    <w:multiLevelType w:val="multilevel"/>
    <w:tmpl w:val="0F40765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32CF9"/>
    <w:multiLevelType w:val="multilevel"/>
    <w:tmpl w:val="2DA6BB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C92FBB"/>
    <w:multiLevelType w:val="multilevel"/>
    <w:tmpl w:val="BE7649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CE0EF6"/>
    <w:multiLevelType w:val="multilevel"/>
    <w:tmpl w:val="70C478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D77B0C"/>
    <w:multiLevelType w:val="multilevel"/>
    <w:tmpl w:val="B8E49B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3D1D4F"/>
    <w:multiLevelType w:val="multilevel"/>
    <w:tmpl w:val="316A129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73312F"/>
    <w:multiLevelType w:val="multilevel"/>
    <w:tmpl w:val="3ECA33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347FB1"/>
    <w:multiLevelType w:val="multilevel"/>
    <w:tmpl w:val="F3CED8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6554C2"/>
    <w:multiLevelType w:val="multilevel"/>
    <w:tmpl w:val="A84E35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11417E"/>
    <w:multiLevelType w:val="multilevel"/>
    <w:tmpl w:val="9C9696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CF4103"/>
    <w:multiLevelType w:val="multilevel"/>
    <w:tmpl w:val="C66A70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11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8"/>
  </w:num>
  <w:num w:numId="12">
    <w:abstractNumId w:val="5"/>
  </w:num>
  <w:num w:numId="13">
    <w:abstractNumId w:val="14"/>
  </w:num>
  <w:num w:numId="14">
    <w:abstractNumId w:val="3"/>
  </w:num>
  <w:num w:numId="15">
    <w:abstractNumId w:val="9"/>
  </w:num>
  <w:num w:numId="16">
    <w:abstractNumId w:val="2"/>
  </w:num>
  <w:num w:numId="17">
    <w:abstractNumId w:val="7"/>
  </w:num>
  <w:num w:numId="18">
    <w:abstractNumId w:val="4"/>
  </w:num>
  <w:num w:numId="19">
    <w:abstractNumId w:val="20"/>
  </w:num>
  <w:num w:numId="20">
    <w:abstractNumId w:val="15"/>
  </w:num>
  <w:num w:numId="21">
    <w:abstractNumId w:val="22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EE"/>
    <w:rsid w:val="00161A53"/>
    <w:rsid w:val="00171DEE"/>
    <w:rsid w:val="001761A6"/>
    <w:rsid w:val="003B5D2D"/>
    <w:rsid w:val="0045734D"/>
    <w:rsid w:val="005231CE"/>
    <w:rsid w:val="00670CC8"/>
    <w:rsid w:val="00A00203"/>
    <w:rsid w:val="00E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DF437-7F97-44F5-A7C8-4CA1ACEF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30">
    <w:name w:val="Body text|3"/>
    <w:basedOn w:val="Normalny"/>
    <w:link w:val="Bodytext3"/>
    <w:pPr>
      <w:spacing w:after="600"/>
      <w:ind w:left="434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280" w:line="341" w:lineRule="auto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alny"/>
    <w:link w:val="Bodytext4"/>
    <w:pPr>
      <w:spacing w:after="400"/>
      <w:jc w:val="center"/>
    </w:pPr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alny"/>
    <w:link w:val="Heading21"/>
    <w:pPr>
      <w:spacing w:after="300" w:line="341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alny"/>
    <w:link w:val="Bodytext2"/>
    <w:pPr>
      <w:spacing w:line="269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2026-02-26T16:06:00Z</dcterms:created>
  <dcterms:modified xsi:type="dcterms:W3CDTF">2026-02-26T16:06:00Z</dcterms:modified>
</cp:coreProperties>
</file>