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33" w:rsidRDefault="00393B51" w:rsidP="00D86A3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 w:rsidR="003F5E79">
        <w:rPr>
          <w:rFonts w:ascii="Calibri" w:hAnsi="Calibri" w:cs="Calibri"/>
          <w:b/>
          <w:bCs/>
          <w:color w:val="000000"/>
        </w:rPr>
        <w:t xml:space="preserve">         </w:t>
      </w:r>
      <w:r>
        <w:rPr>
          <w:rFonts w:ascii="Calibri" w:hAnsi="Calibri" w:cs="Calibri"/>
          <w:b/>
          <w:bCs/>
          <w:color w:val="000000"/>
        </w:rPr>
        <w:t xml:space="preserve">   </w:t>
      </w:r>
      <w:r w:rsidR="00D86A33">
        <w:rPr>
          <w:rFonts w:ascii="Calibri" w:hAnsi="Calibri" w:cs="Calibri"/>
          <w:b/>
          <w:bCs/>
          <w:color w:val="000000"/>
        </w:rPr>
        <w:t xml:space="preserve"> </w:t>
      </w:r>
      <w:r w:rsidR="00D86A33">
        <w:rPr>
          <w:rFonts w:ascii="Calibri" w:hAnsi="Calibri" w:cs="Calibri"/>
          <w:noProof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</w:rPr>
        <w:t xml:space="preserve">                    </w:t>
      </w:r>
      <w:r w:rsidR="00713F8F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</w:t>
      </w:r>
      <w:r w:rsidR="00D86A33" w:rsidRPr="00D86A33">
        <w:rPr>
          <w:rFonts w:ascii="Calibri" w:hAnsi="Calibri" w:cs="Calibri"/>
          <w:bCs/>
          <w:color w:val="000000"/>
        </w:rPr>
        <w:t>Warszawa,</w:t>
      </w:r>
      <w:r>
        <w:rPr>
          <w:rFonts w:ascii="Calibri" w:hAnsi="Calibri" w:cs="Calibri"/>
          <w:bCs/>
          <w:color w:val="000000"/>
        </w:rPr>
        <w:t xml:space="preserve"> </w:t>
      </w:r>
      <w:r w:rsidR="00C03659">
        <w:rPr>
          <w:rFonts w:ascii="Calibri" w:hAnsi="Calibri" w:cs="Calibri"/>
          <w:bCs/>
          <w:color w:val="000000"/>
        </w:rPr>
        <w:t>15</w:t>
      </w:r>
      <w:r w:rsidR="00713F8F">
        <w:rPr>
          <w:rFonts w:ascii="Calibri" w:hAnsi="Calibri" w:cs="Calibri"/>
          <w:bCs/>
          <w:color w:val="000000"/>
        </w:rPr>
        <w:t xml:space="preserve"> </w:t>
      </w:r>
      <w:r w:rsidR="00D86A33" w:rsidRPr="00D86A33">
        <w:rPr>
          <w:rFonts w:ascii="Calibri" w:hAnsi="Calibri" w:cs="Calibri"/>
          <w:bCs/>
          <w:color w:val="000000"/>
        </w:rPr>
        <w:t>lipca 2019 r.</w:t>
      </w:r>
      <w:r w:rsidR="00D86A33">
        <w:rPr>
          <w:rFonts w:ascii="Calibri" w:hAnsi="Calibri" w:cs="Calibri"/>
          <w:b/>
          <w:bCs/>
          <w:color w:val="000000"/>
        </w:rPr>
        <w:t xml:space="preserve"> </w:t>
      </w:r>
    </w:p>
    <w:p w:rsidR="00D86A33" w:rsidRDefault="00D86A33" w:rsidP="00D86A33">
      <w:pPr>
        <w:autoSpaceDE w:val="0"/>
        <w:autoSpaceDN w:val="0"/>
        <w:adjustRightInd w:val="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  <w:b/>
          <w:bCs/>
        </w:rPr>
        <w:t>WOJEWODA MAZOWIECKI</w:t>
      </w:r>
    </w:p>
    <w:p w:rsidR="00D86A33" w:rsidRDefault="00393B51" w:rsidP="00D86A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86A33" w:rsidRDefault="003F5E79" w:rsidP="00D86A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bookmarkStart w:id="0" w:name="_GoBack"/>
      <w:r w:rsidR="00D86A33">
        <w:rPr>
          <w:rFonts w:asciiTheme="minorHAnsi" w:hAnsiTheme="minorHAnsi" w:cstheme="minorHAnsi"/>
        </w:rPr>
        <w:t>WNP-I.4131.</w:t>
      </w:r>
      <w:r w:rsidR="00B97AA8">
        <w:rPr>
          <w:rFonts w:asciiTheme="minorHAnsi" w:hAnsiTheme="minorHAnsi" w:cstheme="minorHAnsi"/>
        </w:rPr>
        <w:t>136</w:t>
      </w:r>
      <w:r w:rsidR="00D86A33">
        <w:rPr>
          <w:rFonts w:asciiTheme="minorHAnsi" w:hAnsiTheme="minorHAnsi" w:cstheme="minorHAnsi"/>
        </w:rPr>
        <w:t>.2019.KS</w:t>
      </w:r>
    </w:p>
    <w:bookmarkEnd w:id="0"/>
    <w:p w:rsidR="00D86A33" w:rsidRDefault="00D86A33" w:rsidP="00D86A33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i/>
        </w:rPr>
      </w:pPr>
    </w:p>
    <w:p w:rsidR="00D86A33" w:rsidRDefault="00D86A33" w:rsidP="00D86A33">
      <w:pPr>
        <w:ind w:left="566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Rada Miejska</w:t>
      </w:r>
    </w:p>
    <w:p w:rsidR="00D86A33" w:rsidRDefault="00D86A33" w:rsidP="00D86A33">
      <w:pPr>
        <w:ind w:left="566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 Ożarowie Mazowieckim</w:t>
      </w:r>
    </w:p>
    <w:p w:rsidR="00D86A33" w:rsidRDefault="00D86A33" w:rsidP="00D86A3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</w:rPr>
        <w:t>ul. Kolejowa 2</w:t>
      </w:r>
    </w:p>
    <w:p w:rsidR="00D86A33" w:rsidRDefault="00D86A33" w:rsidP="00D86A33">
      <w:pPr>
        <w:autoSpaceDE w:val="0"/>
        <w:autoSpaceDN w:val="0"/>
        <w:adjustRightInd w:val="0"/>
        <w:ind w:left="4955" w:firstLine="709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05-850 Ożarów Mazowiecki</w:t>
      </w:r>
    </w:p>
    <w:p w:rsidR="00D86A33" w:rsidRDefault="00D86A33" w:rsidP="00D86A3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D86A33" w:rsidRDefault="00D86A33" w:rsidP="00D86A33">
      <w:pPr>
        <w:rPr>
          <w:rFonts w:asciiTheme="minorHAnsi" w:hAnsiTheme="minorHAnsi" w:cstheme="minorHAnsi"/>
          <w:bCs/>
        </w:rPr>
      </w:pPr>
    </w:p>
    <w:p w:rsidR="00D86A33" w:rsidRDefault="00D86A33" w:rsidP="00D86A3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Rozstrzygnięcie</w:t>
      </w:r>
      <w:r w:rsidR="00393B5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nadzorcze</w:t>
      </w:r>
    </w:p>
    <w:p w:rsidR="00D86A33" w:rsidRDefault="00D86A33" w:rsidP="00D86A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ind w:left="2832" w:firstLine="708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ab/>
      </w:r>
      <w:r>
        <w:rPr>
          <w:rFonts w:asciiTheme="minorHAnsi" w:hAnsiTheme="minorHAnsi" w:cstheme="minorHAnsi"/>
          <w:bCs/>
          <w:i/>
          <w:sz w:val="28"/>
          <w:szCs w:val="28"/>
        </w:rPr>
        <w:tab/>
      </w:r>
    </w:p>
    <w:p w:rsidR="00D86A33" w:rsidRDefault="00D86A33" w:rsidP="001B5FF3">
      <w:pPr>
        <w:pStyle w:val="Tekstpodstawowy"/>
        <w:ind w:right="-1" w:firstLine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Na podstawie art. 91 ust. 1 ustawy z dnia 8 marca 1990 r. o samorządzie gminnym </w:t>
      </w:r>
      <w:r>
        <w:rPr>
          <w:rFonts w:asciiTheme="minorHAnsi" w:hAnsiTheme="minorHAnsi" w:cstheme="minorHAnsi"/>
          <w:sz w:val="24"/>
        </w:rPr>
        <w:br/>
        <w:t>(Dz. U. z 2019 r. poz. 506)</w:t>
      </w:r>
    </w:p>
    <w:p w:rsidR="00D86A33" w:rsidRDefault="00D86A33" w:rsidP="00FA2234">
      <w:pPr>
        <w:pStyle w:val="Tekstpodstawowy"/>
        <w:spacing w:line="320" w:lineRule="exact"/>
        <w:ind w:right="-1" w:firstLine="567"/>
        <w:rPr>
          <w:rFonts w:asciiTheme="minorHAnsi" w:hAnsiTheme="minorHAnsi" w:cstheme="minorHAnsi"/>
          <w:sz w:val="24"/>
        </w:rPr>
      </w:pPr>
    </w:p>
    <w:p w:rsidR="00D86A33" w:rsidRDefault="00FA2234" w:rsidP="00FA2234">
      <w:pPr>
        <w:pStyle w:val="Tekstpodstawowy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                                                            </w:t>
      </w:r>
      <w:r w:rsidR="00D86A33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D86A33" w:rsidRDefault="00D86A33" w:rsidP="00D86A33">
      <w:pPr>
        <w:jc w:val="both"/>
        <w:rPr>
          <w:rFonts w:asciiTheme="minorHAnsi" w:hAnsiTheme="minorHAnsi" w:cstheme="minorHAnsi"/>
          <w:bCs/>
        </w:rPr>
      </w:pPr>
    </w:p>
    <w:p w:rsidR="00D86A33" w:rsidRPr="00D86A33" w:rsidRDefault="00D86A33" w:rsidP="00D86A3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uchwały Nr XI/132/19 Rady Miejskiej w Ożarowie Mazowieckim z dnia 17 czerwca 2019 r.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/>
        </w:rPr>
        <w:t xml:space="preserve">w sprawie przyjęcia Regulaminu korzystania z parkingu </w:t>
      </w:r>
      <w:r w:rsidR="000860D0">
        <w:rPr>
          <w:rFonts w:asciiTheme="minorHAnsi" w:hAnsiTheme="minorHAnsi" w:cstheme="minorHAnsi"/>
          <w:i/>
        </w:rPr>
        <w:t xml:space="preserve">w systemie ,,PARKUJ I JEDŹ” </w:t>
      </w:r>
      <w:r w:rsidR="000860D0">
        <w:rPr>
          <w:rFonts w:asciiTheme="minorHAnsi" w:hAnsiTheme="minorHAnsi" w:cstheme="minorHAnsi"/>
          <w:i/>
        </w:rPr>
        <w:br/>
        <w:t>przy ul. Długiej w Płochocinie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w zakresie</w:t>
      </w:r>
      <w:r w:rsidR="000860D0">
        <w:rPr>
          <w:rFonts w:asciiTheme="minorHAnsi" w:hAnsiTheme="minorHAnsi" w:cstheme="minorHAnsi"/>
        </w:rPr>
        <w:t xml:space="preserve"> ustaleń </w:t>
      </w:r>
      <w:r w:rsidR="00B10D7F">
        <w:rPr>
          <w:rFonts w:asciiTheme="minorHAnsi" w:hAnsiTheme="minorHAnsi" w:cstheme="minorHAnsi"/>
        </w:rPr>
        <w:t>§ 3 załącznika Nr 1.</w:t>
      </w:r>
    </w:p>
    <w:p w:rsidR="00D86A33" w:rsidRDefault="00D86A33" w:rsidP="000860D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D86A33" w:rsidRDefault="00FA2234" w:rsidP="00D86A33">
      <w:pPr>
        <w:spacing w:line="360" w:lineRule="auto"/>
        <w:ind w:left="2832" w:firstLine="708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/>
          <w:bCs/>
        </w:rPr>
        <w:t xml:space="preserve">   </w:t>
      </w:r>
      <w:r w:rsidR="00D86A33">
        <w:rPr>
          <w:rFonts w:asciiTheme="minorHAnsi" w:hAnsiTheme="minorHAnsi" w:cstheme="minorHAnsi"/>
          <w:b/>
          <w:bCs/>
        </w:rPr>
        <w:t>Uzasadnienie</w:t>
      </w:r>
    </w:p>
    <w:p w:rsidR="00D86A33" w:rsidRDefault="00D86A33" w:rsidP="00D86A33">
      <w:pPr>
        <w:ind w:left="3540"/>
        <w:jc w:val="both"/>
        <w:rPr>
          <w:rFonts w:asciiTheme="minorHAnsi" w:hAnsiTheme="minorHAnsi" w:cstheme="minorHAnsi"/>
          <w:b/>
          <w:bCs/>
        </w:rPr>
      </w:pPr>
    </w:p>
    <w:p w:rsidR="00D86A33" w:rsidRDefault="000860D0" w:rsidP="00D86A33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Rada Miejska w Ożarowie</w:t>
      </w:r>
      <w:r w:rsidR="00D86A33">
        <w:rPr>
          <w:rFonts w:asciiTheme="minorHAnsi" w:hAnsiTheme="minorHAnsi" w:cstheme="minorHAnsi"/>
          <w:bCs/>
        </w:rPr>
        <w:t xml:space="preserve"> Mazowiecki</w:t>
      </w:r>
      <w:r>
        <w:rPr>
          <w:rFonts w:asciiTheme="minorHAnsi" w:hAnsiTheme="minorHAnsi" w:cstheme="minorHAnsi"/>
          <w:bCs/>
        </w:rPr>
        <w:t>m podjęła uchwałę</w:t>
      </w:r>
      <w:r w:rsidR="00D86A33">
        <w:rPr>
          <w:rFonts w:asciiTheme="minorHAnsi" w:hAnsiTheme="minorHAnsi" w:cstheme="minorHAnsi"/>
          <w:bCs/>
        </w:rPr>
        <w:t xml:space="preserve"> Nr</w:t>
      </w:r>
      <w:r>
        <w:rPr>
          <w:rFonts w:asciiTheme="minorHAnsi" w:hAnsiTheme="minorHAnsi" w:cstheme="minorHAnsi"/>
        </w:rPr>
        <w:t xml:space="preserve"> XI/132/19</w:t>
      </w:r>
      <w:r w:rsidR="00D86A33">
        <w:rPr>
          <w:rFonts w:asciiTheme="minorHAnsi" w:hAnsiTheme="minorHAnsi" w:cstheme="minorHAnsi"/>
        </w:rPr>
        <w:t xml:space="preserve"> </w:t>
      </w:r>
      <w:r w:rsidR="00D86A33">
        <w:rPr>
          <w:rFonts w:asciiTheme="minorHAnsi" w:hAnsiTheme="minorHAnsi" w:cstheme="minorHAnsi"/>
          <w:i/>
        </w:rPr>
        <w:t xml:space="preserve">w sprawie </w:t>
      </w:r>
      <w:r>
        <w:rPr>
          <w:rFonts w:asciiTheme="minorHAnsi" w:hAnsiTheme="minorHAnsi" w:cstheme="minorHAnsi"/>
          <w:i/>
        </w:rPr>
        <w:t xml:space="preserve">przyjęcia Regulaminu korzystania z parkingu w systemie ,,PARKUJ I JEDŹ” przy ul. Długiej </w:t>
      </w:r>
      <w:r>
        <w:rPr>
          <w:rFonts w:asciiTheme="minorHAnsi" w:hAnsiTheme="minorHAnsi" w:cstheme="minorHAnsi"/>
          <w:i/>
        </w:rPr>
        <w:br/>
        <w:t>w Płochocinie</w:t>
      </w:r>
      <w:r>
        <w:rPr>
          <w:rFonts w:asciiTheme="minorHAnsi" w:hAnsiTheme="minorHAnsi" w:cstheme="minorHAnsi"/>
        </w:rPr>
        <w:t>.</w:t>
      </w:r>
    </w:p>
    <w:p w:rsidR="00D86A33" w:rsidRPr="0070174A" w:rsidRDefault="000860D0" w:rsidP="00D86A33">
      <w:pPr>
        <w:tabs>
          <w:tab w:val="left" w:pos="567"/>
        </w:tabs>
        <w:spacing w:line="360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Podstawę prawą przedmiotowej</w:t>
      </w:r>
      <w:r w:rsidR="00D86A33">
        <w:rPr>
          <w:rFonts w:asciiTheme="minorHAnsi" w:hAnsiTheme="minorHAnsi" w:cstheme="minorHAnsi"/>
        </w:rPr>
        <w:t xml:space="preserve"> uchwał</w:t>
      </w:r>
      <w:r>
        <w:rPr>
          <w:rFonts w:asciiTheme="minorHAnsi" w:hAnsiTheme="minorHAnsi" w:cstheme="minorHAnsi"/>
        </w:rPr>
        <w:t>y</w:t>
      </w:r>
      <w:r w:rsidR="00D86A33">
        <w:rPr>
          <w:rFonts w:asciiTheme="minorHAnsi" w:hAnsiTheme="minorHAnsi" w:cstheme="minorHAnsi"/>
        </w:rPr>
        <w:t xml:space="preserve"> stanowił </w:t>
      </w:r>
      <w:r w:rsidR="00FA2234">
        <w:rPr>
          <w:rFonts w:asciiTheme="minorHAnsi" w:hAnsiTheme="minorHAnsi" w:cstheme="minorHAnsi"/>
        </w:rPr>
        <w:t xml:space="preserve">m.in. </w:t>
      </w:r>
      <w:r w:rsidR="00D86A33">
        <w:rPr>
          <w:rFonts w:asciiTheme="minorHAnsi" w:hAnsiTheme="minorHAnsi" w:cstheme="minorHAnsi"/>
        </w:rPr>
        <w:t xml:space="preserve">art. 40 ust. 2 pkt 4 ustawy </w:t>
      </w:r>
      <w:r w:rsidR="00D86A33">
        <w:rPr>
          <w:rFonts w:asciiTheme="minorHAnsi" w:hAnsiTheme="minorHAnsi" w:cstheme="minorHAnsi"/>
        </w:rPr>
        <w:br/>
        <w:t>o samorządzie gminnym.</w:t>
      </w:r>
      <w:r w:rsidR="00630744" w:rsidRPr="00630744">
        <w:rPr>
          <w:sz w:val="21"/>
          <w:szCs w:val="21"/>
        </w:rPr>
        <w:t xml:space="preserve"> </w:t>
      </w:r>
      <w:r w:rsidR="00630744" w:rsidRPr="00630744">
        <w:rPr>
          <w:rFonts w:asciiTheme="minorHAnsi" w:hAnsiTheme="minorHAnsi" w:cstheme="minorHAnsi"/>
        </w:rPr>
        <w:t>Rada na podstawie normy kompetencyjnej zawartej w tym przepisie zobowiązana była do uregulowania zasad i trybu korzystania z gminnych obiektów i urządzeń użyteczności publicznej. Użyte w artykule pojęcie „zasady i tryb korzystania” zawiera w sobie kompetencję organu stanowiącego gminy do formułowania w stosunku do terenów i urządzeń użyteczności publicznej norm i zasad prawidłowego postępowania</w:t>
      </w:r>
      <w:r w:rsidR="00630744" w:rsidRPr="0070174A">
        <w:rPr>
          <w:rFonts w:asciiTheme="minorHAnsi" w:hAnsiTheme="minorHAnsi" w:cstheme="minorHAnsi"/>
        </w:rPr>
        <w:t>.</w:t>
      </w:r>
      <w:r w:rsidR="00482CCD">
        <w:rPr>
          <w:rFonts w:asciiTheme="minorHAnsi" w:hAnsiTheme="minorHAnsi" w:cstheme="minorHAnsi"/>
        </w:rPr>
        <w:t xml:space="preserve"> R</w:t>
      </w:r>
      <w:r w:rsidR="0070174A" w:rsidRPr="0070174A">
        <w:rPr>
          <w:rFonts w:asciiTheme="minorHAnsi" w:hAnsiTheme="minorHAnsi" w:cstheme="minorHAnsi"/>
        </w:rPr>
        <w:t xml:space="preserve">ada gminy na podstawie tej regulacji nie jest uprawniona do wprowadzania do takiego aktu </w:t>
      </w:r>
      <w:r w:rsidR="0070174A" w:rsidRPr="0070174A">
        <w:rPr>
          <w:rFonts w:asciiTheme="minorHAnsi" w:hAnsiTheme="minorHAnsi" w:cstheme="minorHAnsi"/>
        </w:rPr>
        <w:lastRenderedPageBreak/>
        <w:t xml:space="preserve">prawa miejscowego jakichkolwiek przepisów ustalających lub modyfikujących odpowiedzialność cywilną. </w:t>
      </w:r>
    </w:p>
    <w:p w:rsidR="00D86A33" w:rsidRDefault="0070174A" w:rsidP="0070174A">
      <w:pPr>
        <w:tabs>
          <w:tab w:val="left" w:pos="0"/>
        </w:tabs>
        <w:spacing w:line="360" w:lineRule="auto"/>
        <w:ind w:right="-142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kwestionowanym przez o</w:t>
      </w:r>
      <w:r w:rsidR="001D67F0">
        <w:rPr>
          <w:rFonts w:asciiTheme="minorHAnsi" w:hAnsiTheme="minorHAnsi" w:cstheme="minorHAnsi"/>
        </w:rPr>
        <w:t xml:space="preserve">rgan </w:t>
      </w:r>
      <w:r>
        <w:rPr>
          <w:rFonts w:asciiTheme="minorHAnsi" w:hAnsiTheme="minorHAnsi" w:cstheme="minorHAnsi"/>
        </w:rPr>
        <w:t>nadzoru</w:t>
      </w:r>
      <w:r w:rsidR="00D86A33">
        <w:rPr>
          <w:rFonts w:asciiTheme="minorHAnsi" w:hAnsiTheme="minorHAnsi" w:cstheme="minorHAnsi"/>
        </w:rPr>
        <w:t xml:space="preserve"> § 3 zał</w:t>
      </w:r>
      <w:r w:rsidR="00482CCD">
        <w:rPr>
          <w:rFonts w:asciiTheme="minorHAnsi" w:hAnsiTheme="minorHAnsi" w:cstheme="minorHAnsi"/>
        </w:rPr>
        <w:t>ącznika Nr 1 uchwały N</w:t>
      </w:r>
      <w:r w:rsidR="000860D0">
        <w:rPr>
          <w:rFonts w:asciiTheme="minorHAnsi" w:hAnsiTheme="minorHAnsi" w:cstheme="minorHAnsi"/>
        </w:rPr>
        <w:t>r XI/132/19</w:t>
      </w:r>
      <w:r>
        <w:rPr>
          <w:rFonts w:asciiTheme="minorHAnsi" w:hAnsiTheme="minorHAnsi" w:cstheme="minorHAnsi"/>
        </w:rPr>
        <w:t xml:space="preserve"> </w:t>
      </w:r>
      <w:r w:rsidR="00D86A33">
        <w:rPr>
          <w:rFonts w:asciiTheme="minorHAnsi" w:hAnsiTheme="minorHAnsi" w:cstheme="minorHAnsi"/>
        </w:rPr>
        <w:t>zawarto następujące regulacje:</w:t>
      </w:r>
      <w:r w:rsidR="00393B51">
        <w:rPr>
          <w:rFonts w:asciiTheme="minorHAnsi" w:hAnsiTheme="minorHAnsi" w:cstheme="minorHAnsi"/>
        </w:rPr>
        <w:t xml:space="preserve"> </w:t>
      </w:r>
    </w:p>
    <w:p w:rsidR="00D86A33" w:rsidRDefault="00393B51" w:rsidP="00630744">
      <w:pPr>
        <w:pStyle w:val="Teksttreci20"/>
        <w:shd w:val="clear" w:color="auto" w:fill="auto"/>
        <w:spacing w:line="360" w:lineRule="auto"/>
        <w:ind w:firstLine="28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="00D86A33">
        <w:rPr>
          <w:rFonts w:asciiTheme="minorHAnsi" w:hAnsiTheme="minorHAnsi" w:cstheme="minorHAnsi"/>
        </w:rPr>
        <w:tab/>
        <w:t xml:space="preserve"> „</w:t>
      </w:r>
      <w:r w:rsidR="000860D0">
        <w:rPr>
          <w:rFonts w:asciiTheme="minorHAnsi" w:hAnsiTheme="minorHAnsi" w:cstheme="minorHAnsi"/>
          <w:i/>
          <w:sz w:val="24"/>
          <w:szCs w:val="24"/>
        </w:rPr>
        <w:t>Ust. 1.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860D0">
        <w:rPr>
          <w:rFonts w:asciiTheme="minorHAnsi" w:hAnsiTheme="minorHAnsi" w:cstheme="minorHAnsi"/>
          <w:i/>
          <w:sz w:val="24"/>
          <w:szCs w:val="24"/>
        </w:rPr>
        <w:t>Odpowiedzialność Zarządcy</w:t>
      </w:r>
      <w:r w:rsidR="00D86A33">
        <w:rPr>
          <w:rFonts w:asciiTheme="minorHAnsi" w:hAnsiTheme="minorHAnsi" w:cstheme="minorHAnsi"/>
          <w:i/>
          <w:sz w:val="24"/>
          <w:szCs w:val="24"/>
        </w:rPr>
        <w:t>:</w:t>
      </w:r>
    </w:p>
    <w:p w:rsidR="00D86A33" w:rsidRDefault="000860D0" w:rsidP="00393B51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Zarządca nie ponosi odpowiedzialności za jakiekolwiek szkody powstałe </w:t>
      </w:r>
      <w:r w:rsidR="00630744">
        <w:rPr>
          <w:rFonts w:asciiTheme="minorHAnsi" w:hAnsiTheme="minorHAnsi" w:cstheme="minorHAnsi"/>
          <w:i/>
          <w:sz w:val="24"/>
          <w:szCs w:val="24"/>
        </w:rPr>
        <w:t xml:space="preserve">w wyniku siły </w:t>
      </w:r>
      <w:r w:rsidR="00B3439D">
        <w:rPr>
          <w:rFonts w:asciiTheme="minorHAnsi" w:hAnsiTheme="minorHAnsi" w:cstheme="minorHAnsi"/>
          <w:i/>
          <w:sz w:val="24"/>
          <w:szCs w:val="24"/>
        </w:rPr>
        <w:t>wyższej, żywiołów</w:t>
      </w:r>
      <w:r w:rsidR="00D86A33">
        <w:rPr>
          <w:rFonts w:asciiTheme="minorHAnsi" w:hAnsiTheme="minorHAnsi" w:cstheme="minorHAnsi"/>
          <w:i/>
          <w:sz w:val="24"/>
          <w:szCs w:val="24"/>
        </w:rPr>
        <w:t>,</w:t>
      </w:r>
      <w:r w:rsidR="00B3439D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kradzieży (włamania, rozboju itp.) rabunku, zniszczenia lub uszkodzenia pojazdów znajdujących się na terenie parkingu, jak również za rzeczy w nich pozostawione </w:t>
      </w:r>
      <w:r w:rsidR="0070174A">
        <w:rPr>
          <w:rFonts w:asciiTheme="minorHAnsi" w:hAnsiTheme="minorHAnsi" w:cstheme="minorHAnsi"/>
          <w:i/>
          <w:sz w:val="24"/>
          <w:szCs w:val="24"/>
        </w:rPr>
        <w:br/>
      </w:r>
      <w:r>
        <w:rPr>
          <w:rFonts w:asciiTheme="minorHAnsi" w:hAnsiTheme="minorHAnsi" w:cstheme="minorHAnsi"/>
          <w:i/>
          <w:sz w:val="24"/>
          <w:szCs w:val="24"/>
        </w:rPr>
        <w:t>lub stanowiące ich wyposażenie,</w:t>
      </w:r>
    </w:p>
    <w:p w:rsidR="00D86A33" w:rsidRDefault="000860D0" w:rsidP="00393B51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wyłącza się odpowiedzialność Zarządcy z tytułu szkód komunikacyjnych</w:t>
      </w:r>
      <w:r w:rsidR="00DC060D">
        <w:rPr>
          <w:rFonts w:asciiTheme="minorHAnsi" w:hAnsiTheme="minorHAnsi" w:cstheme="minorHAnsi"/>
          <w:i/>
          <w:sz w:val="24"/>
          <w:szCs w:val="24"/>
        </w:rPr>
        <w:t xml:space="preserve"> i parkingowych dotyczących pojazdów i osób korzystających z parkingu</w:t>
      </w:r>
      <w:r w:rsidR="00D86A33">
        <w:rPr>
          <w:rFonts w:asciiTheme="minorHAnsi" w:hAnsiTheme="minorHAnsi" w:cstheme="minorHAnsi"/>
          <w:i/>
          <w:sz w:val="24"/>
          <w:szCs w:val="24"/>
        </w:rPr>
        <w:t>,</w:t>
      </w:r>
    </w:p>
    <w:p w:rsidR="00D86A33" w:rsidRDefault="00DC060D" w:rsidP="00393B51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parking jest monitorowany w sposób ciągły, w </w:t>
      </w:r>
      <w:r w:rsidR="00393B51">
        <w:rPr>
          <w:rFonts w:asciiTheme="minorHAnsi" w:hAnsiTheme="minorHAnsi" w:cstheme="minorHAnsi"/>
          <w:i/>
          <w:sz w:val="24"/>
          <w:szCs w:val="24"/>
        </w:rPr>
        <w:t xml:space="preserve">celu sprawdzenia przestrzegania </w:t>
      </w:r>
      <w:r>
        <w:rPr>
          <w:rFonts w:asciiTheme="minorHAnsi" w:hAnsiTheme="minorHAnsi" w:cstheme="minorHAnsi"/>
          <w:i/>
          <w:sz w:val="24"/>
          <w:szCs w:val="24"/>
        </w:rPr>
        <w:t>postanowień regulaminu przez Użytkowników parkingu, w szczególności na potrzeby weryfikacji sposobu korzystania z parkingu.</w:t>
      </w:r>
    </w:p>
    <w:p w:rsidR="00D86A33" w:rsidRDefault="00DC060D" w:rsidP="00393B51">
      <w:pPr>
        <w:tabs>
          <w:tab w:val="left" w:pos="0"/>
          <w:tab w:val="left" w:pos="1050"/>
        </w:tabs>
        <w:spacing w:line="360" w:lineRule="auto"/>
        <w:ind w:firstLine="708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Ust.</w:t>
      </w:r>
      <w:r w:rsidR="00393B51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2</w:t>
      </w:r>
      <w:r w:rsidR="00D86A33">
        <w:rPr>
          <w:rFonts w:asciiTheme="minorHAnsi" w:hAnsiTheme="minorHAnsi" w:cstheme="minorHAnsi"/>
          <w:i/>
        </w:rPr>
        <w:t xml:space="preserve">. </w:t>
      </w:r>
      <w:r>
        <w:rPr>
          <w:rFonts w:asciiTheme="minorHAnsi" w:hAnsiTheme="minorHAnsi" w:cstheme="minorHAnsi"/>
          <w:i/>
        </w:rPr>
        <w:t>Odpowiedzialność Użytkownika:</w:t>
      </w:r>
    </w:p>
    <w:p w:rsidR="00DC060D" w:rsidRDefault="00DC060D" w:rsidP="00393B51">
      <w:pPr>
        <w:tabs>
          <w:tab w:val="left" w:pos="1050"/>
        </w:tabs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a) Użytkownik we własnym zakresie zabezpie</w:t>
      </w:r>
      <w:r w:rsidR="000D5F86">
        <w:rPr>
          <w:rFonts w:asciiTheme="minorHAnsi" w:hAnsiTheme="minorHAnsi" w:cstheme="minorHAnsi"/>
          <w:i/>
        </w:rPr>
        <w:t xml:space="preserve">cza swój pojazd przed kradzieżą </w:t>
      </w:r>
      <w:r w:rsidR="0070174A">
        <w:rPr>
          <w:rFonts w:asciiTheme="minorHAnsi" w:hAnsiTheme="minorHAnsi" w:cstheme="minorHAnsi"/>
          <w:i/>
        </w:rPr>
        <w:br/>
      </w:r>
      <w:r>
        <w:rPr>
          <w:rFonts w:asciiTheme="minorHAnsi" w:hAnsiTheme="minorHAnsi" w:cstheme="minorHAnsi"/>
          <w:i/>
        </w:rPr>
        <w:t>lub</w:t>
      </w:r>
      <w:r w:rsidR="00B64E1C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uszkodzeniem,</w:t>
      </w:r>
    </w:p>
    <w:p w:rsidR="00DC060D" w:rsidRDefault="00DC060D" w:rsidP="00393B51">
      <w:pPr>
        <w:tabs>
          <w:tab w:val="left" w:pos="1050"/>
        </w:tabs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b)</w:t>
      </w:r>
      <w:r w:rsidR="00393B51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Użytkownik ponosi odpowiedzialność za wszelkie szkody spowodowane przez pojazd, </w:t>
      </w:r>
      <w:r w:rsidR="00630744">
        <w:rPr>
          <w:rFonts w:asciiTheme="minorHAnsi" w:hAnsiTheme="minorHAnsi" w:cstheme="minorHAnsi"/>
          <w:i/>
        </w:rPr>
        <w:br/>
      </w:r>
      <w:r w:rsidR="00393B51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lub</w:t>
      </w:r>
      <w:r w:rsidR="00393B51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powstałe w związku z korzystaniem z miejsca parkingowego</w:t>
      </w:r>
      <w:r w:rsidR="009F49F2">
        <w:rPr>
          <w:rFonts w:asciiTheme="minorHAnsi" w:hAnsiTheme="minorHAnsi" w:cstheme="minorHAnsi"/>
          <w:i/>
        </w:rPr>
        <w:t>, w szczególności z tytułu zanieczyszczenia elementów infrastruktury parkingu lub powierzchni parkingu na skutek wycieku płynów z pojazdu (wyciek oleju, płynu hamulcowego itp.)</w:t>
      </w:r>
      <w:r w:rsidR="00B3439D">
        <w:rPr>
          <w:rFonts w:asciiTheme="minorHAnsi" w:hAnsiTheme="minorHAnsi" w:cstheme="minorHAnsi"/>
          <w:i/>
        </w:rPr>
        <w:t>,</w:t>
      </w:r>
    </w:p>
    <w:p w:rsidR="009F49F2" w:rsidRDefault="009F49F2" w:rsidP="00393B51">
      <w:pPr>
        <w:tabs>
          <w:tab w:val="left" w:pos="1050"/>
        </w:tabs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c)</w:t>
      </w:r>
      <w:r w:rsidR="00393B51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w przypadku naruszenia przez Użytkownika postanowień niniejszego regulaminu Zarządca może zastosować środki niezbędne dla przywrócenia stanu zgodnego z regulaminem, w tym również poprzez usunięcie pojazdu,</w:t>
      </w:r>
    </w:p>
    <w:p w:rsidR="009F49F2" w:rsidRDefault="009F49F2" w:rsidP="00393B51">
      <w:pPr>
        <w:tabs>
          <w:tab w:val="left" w:pos="105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d)</w:t>
      </w:r>
      <w:r w:rsidR="00393B51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w przypadkach określonych w ust. b) lub c) Użytkownik zobowiązany jest do pokrycia kosztów związanych z usunięciem pojazdu oraz przywrócenia parkingu do pierwotnego stanu.</w:t>
      </w:r>
      <w:r w:rsidR="00B3439D">
        <w:rPr>
          <w:rFonts w:asciiTheme="minorHAnsi" w:hAnsiTheme="minorHAnsi" w:cstheme="minorHAnsi"/>
          <w:i/>
        </w:rPr>
        <w:t>”</w:t>
      </w:r>
    </w:p>
    <w:p w:rsidR="00D86A33" w:rsidRDefault="00D86A33" w:rsidP="00D86A33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630744">
        <w:rPr>
          <w:rFonts w:asciiTheme="minorHAnsi" w:hAnsiTheme="minorHAnsi" w:cstheme="minorHAnsi"/>
        </w:rPr>
        <w:t>Należ</w:t>
      </w:r>
      <w:r w:rsidR="009F49F2" w:rsidRPr="00630744">
        <w:rPr>
          <w:rFonts w:asciiTheme="minorHAnsi" w:hAnsiTheme="minorHAnsi" w:cstheme="minorHAnsi"/>
        </w:rPr>
        <w:t>y wskazać, że ujęte w powyżej uchwale</w:t>
      </w:r>
      <w:r w:rsidRPr="00630744">
        <w:rPr>
          <w:rFonts w:asciiTheme="minorHAnsi" w:hAnsiTheme="minorHAnsi" w:cstheme="minorHAnsi"/>
        </w:rPr>
        <w:t xml:space="preserve"> </w:t>
      </w:r>
      <w:r w:rsidRPr="001D67F0">
        <w:rPr>
          <w:rFonts w:asciiTheme="minorHAnsi" w:hAnsiTheme="minorHAnsi" w:cstheme="minorHAnsi"/>
          <w:b/>
        </w:rPr>
        <w:t>za</w:t>
      </w:r>
      <w:r w:rsidR="0014795D" w:rsidRPr="001D67F0">
        <w:rPr>
          <w:rFonts w:asciiTheme="minorHAnsi" w:hAnsiTheme="minorHAnsi" w:cstheme="minorHAnsi"/>
          <w:b/>
        </w:rPr>
        <w:t>sady odpowiedzialności mają</w:t>
      </w:r>
      <w:r w:rsidRPr="001D67F0">
        <w:rPr>
          <w:rFonts w:asciiTheme="minorHAnsi" w:hAnsiTheme="minorHAnsi" w:cstheme="minorHAnsi"/>
          <w:b/>
        </w:rPr>
        <w:t xml:space="preserve"> charak</w:t>
      </w:r>
      <w:r w:rsidR="0014795D" w:rsidRPr="001D67F0">
        <w:rPr>
          <w:rFonts w:asciiTheme="minorHAnsi" w:hAnsiTheme="minorHAnsi" w:cstheme="minorHAnsi"/>
          <w:b/>
        </w:rPr>
        <w:t>ter odpowiedzialności</w:t>
      </w:r>
      <w:r w:rsidR="00630744" w:rsidRPr="001D67F0">
        <w:rPr>
          <w:rFonts w:asciiTheme="minorHAnsi" w:hAnsiTheme="minorHAnsi" w:cstheme="minorHAnsi"/>
          <w:b/>
        </w:rPr>
        <w:t xml:space="preserve"> cywilnej</w:t>
      </w:r>
      <w:r w:rsidR="00630744" w:rsidRPr="00630744">
        <w:rPr>
          <w:rFonts w:asciiTheme="minorHAnsi" w:hAnsiTheme="minorHAnsi" w:cstheme="minorHAnsi"/>
        </w:rPr>
        <w:t xml:space="preserve"> i zostały uregulowane w Tytule VI Księgi Trzeciej ustawy z dnia 23 kwietnia 1964 </w:t>
      </w:r>
      <w:r w:rsidR="00630744">
        <w:rPr>
          <w:rFonts w:asciiTheme="minorHAnsi" w:hAnsiTheme="minorHAnsi" w:cstheme="minorHAnsi"/>
        </w:rPr>
        <w:t>r. Kodeks c</w:t>
      </w:r>
      <w:r w:rsidR="00630744" w:rsidRPr="00630744">
        <w:rPr>
          <w:rFonts w:asciiTheme="minorHAnsi" w:hAnsiTheme="minorHAnsi" w:cstheme="minorHAnsi"/>
        </w:rPr>
        <w:t>ywilny (Dz. U. z 2019 r. poz. 1145)</w:t>
      </w:r>
      <w:r w:rsidR="00B64E1C">
        <w:rPr>
          <w:rFonts w:asciiTheme="minorHAnsi" w:hAnsiTheme="minorHAnsi" w:cstheme="minorHAnsi"/>
        </w:rPr>
        <w:t xml:space="preserve">, zwanej dalej </w:t>
      </w:r>
      <w:r w:rsidR="001D67F0">
        <w:rPr>
          <w:rFonts w:asciiTheme="minorHAnsi" w:hAnsiTheme="minorHAnsi" w:cstheme="minorHAnsi"/>
        </w:rPr>
        <w:br/>
      </w:r>
      <w:r w:rsidR="00482CCD">
        <w:rPr>
          <w:rFonts w:asciiTheme="minorHAnsi" w:hAnsiTheme="minorHAnsi" w:cstheme="minorHAnsi"/>
        </w:rPr>
        <w:t>,,</w:t>
      </w:r>
      <w:proofErr w:type="spellStart"/>
      <w:r w:rsidR="00B64E1C">
        <w:rPr>
          <w:rFonts w:asciiTheme="minorHAnsi" w:hAnsiTheme="minorHAnsi" w:cstheme="minorHAnsi"/>
        </w:rPr>
        <w:t>kc</w:t>
      </w:r>
      <w:proofErr w:type="spellEnd"/>
      <w:r w:rsidR="00482CCD">
        <w:rPr>
          <w:rFonts w:asciiTheme="minorHAnsi" w:hAnsiTheme="minorHAnsi" w:cstheme="minorHAnsi"/>
        </w:rPr>
        <w:t>”</w:t>
      </w:r>
      <w:r w:rsidR="00630744" w:rsidRPr="00630744">
        <w:rPr>
          <w:rFonts w:asciiTheme="minorHAnsi" w:hAnsiTheme="minorHAnsi" w:cstheme="minorHAnsi"/>
        </w:rPr>
        <w:t xml:space="preserve"> oraz nie podlegają modyfikacji w drodze aktu prawa miejscowego. Co istotne, prawodawca konstruując regułę odpowiedzialności za wyrządzoną szkodę uzależnia </w:t>
      </w:r>
      <w:r w:rsidR="00482CCD">
        <w:rPr>
          <w:rFonts w:asciiTheme="minorHAnsi" w:hAnsiTheme="minorHAnsi" w:cstheme="minorHAnsi"/>
        </w:rPr>
        <w:br/>
      </w:r>
      <w:r w:rsidR="00630744" w:rsidRPr="00630744">
        <w:rPr>
          <w:rFonts w:asciiTheme="minorHAnsi" w:hAnsiTheme="minorHAnsi" w:cstheme="minorHAnsi"/>
        </w:rPr>
        <w:lastRenderedPageBreak/>
        <w:t xml:space="preserve">ją np. od wystąpienia elementu winy (art. 415 </w:t>
      </w:r>
      <w:proofErr w:type="spellStart"/>
      <w:r w:rsidR="00630744" w:rsidRPr="00630744">
        <w:rPr>
          <w:rFonts w:asciiTheme="minorHAnsi" w:hAnsiTheme="minorHAnsi" w:cstheme="minorHAnsi"/>
        </w:rPr>
        <w:t>kc</w:t>
      </w:r>
      <w:proofErr w:type="spellEnd"/>
      <w:r w:rsidR="00630744" w:rsidRPr="00630744">
        <w:rPr>
          <w:rFonts w:asciiTheme="minorHAnsi" w:hAnsiTheme="minorHAnsi" w:cstheme="minorHAnsi"/>
        </w:rPr>
        <w:t xml:space="preserve">) albo opiera ją na zasadzie ryzyka </w:t>
      </w:r>
      <w:r w:rsidR="00482CCD">
        <w:rPr>
          <w:rFonts w:asciiTheme="minorHAnsi" w:hAnsiTheme="minorHAnsi" w:cstheme="minorHAnsi"/>
        </w:rPr>
        <w:br/>
      </w:r>
      <w:r w:rsidR="00630744" w:rsidRPr="00630744">
        <w:rPr>
          <w:rFonts w:asciiTheme="minorHAnsi" w:hAnsiTheme="minorHAnsi" w:cstheme="minorHAnsi"/>
        </w:rPr>
        <w:t xml:space="preserve">(art. 435 § 1 </w:t>
      </w:r>
      <w:proofErr w:type="spellStart"/>
      <w:r w:rsidR="00630744" w:rsidRPr="00630744">
        <w:rPr>
          <w:rFonts w:asciiTheme="minorHAnsi" w:hAnsiTheme="minorHAnsi" w:cstheme="minorHAnsi"/>
        </w:rPr>
        <w:t>kc</w:t>
      </w:r>
      <w:proofErr w:type="spellEnd"/>
      <w:r w:rsidR="00630744" w:rsidRPr="00630744">
        <w:rPr>
          <w:rFonts w:asciiTheme="minorHAnsi" w:hAnsiTheme="minorHAnsi" w:cstheme="minorHAnsi"/>
        </w:rPr>
        <w:t xml:space="preserve">), poza tym przewiduje od tej reguły odstępstwa, wskazując sytuacje, w których odpowiedzialność za szkodę zostaje wyłączona (art. 424 </w:t>
      </w:r>
      <w:proofErr w:type="spellStart"/>
      <w:r w:rsidR="00630744" w:rsidRPr="00630744">
        <w:rPr>
          <w:rFonts w:asciiTheme="minorHAnsi" w:hAnsiTheme="minorHAnsi" w:cstheme="minorHAnsi"/>
        </w:rPr>
        <w:t>kc</w:t>
      </w:r>
      <w:proofErr w:type="spellEnd"/>
      <w:r w:rsidR="00630744" w:rsidRPr="00630744">
        <w:rPr>
          <w:rFonts w:asciiTheme="minorHAnsi" w:hAnsiTheme="minorHAnsi" w:cstheme="minorHAnsi"/>
        </w:rPr>
        <w:t xml:space="preserve">), bądź w których spoczywa </w:t>
      </w:r>
      <w:r w:rsidR="00234382">
        <w:rPr>
          <w:rFonts w:asciiTheme="minorHAnsi" w:hAnsiTheme="minorHAnsi" w:cstheme="minorHAnsi"/>
        </w:rPr>
        <w:br/>
      </w:r>
      <w:r w:rsidR="00630744" w:rsidRPr="00630744">
        <w:rPr>
          <w:rFonts w:asciiTheme="minorHAnsi" w:hAnsiTheme="minorHAnsi" w:cstheme="minorHAnsi"/>
        </w:rPr>
        <w:t>ona również na osobach, które bezpośrednio szkody nie wyrządziły.</w:t>
      </w:r>
    </w:p>
    <w:p w:rsidR="001D67F0" w:rsidRDefault="00B64E1C" w:rsidP="001D67F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kolei z</w:t>
      </w:r>
      <w:r w:rsidR="00630744" w:rsidRPr="00630744">
        <w:rPr>
          <w:rFonts w:asciiTheme="minorHAnsi" w:hAnsiTheme="minorHAnsi" w:cstheme="minorHAnsi"/>
        </w:rPr>
        <w:t>asady odpowiedzialności kontraktowej</w:t>
      </w:r>
      <w:r w:rsidR="00903EF4">
        <w:rPr>
          <w:rFonts w:asciiTheme="minorHAnsi" w:hAnsiTheme="minorHAnsi" w:cstheme="minorHAnsi"/>
        </w:rPr>
        <w:t xml:space="preserve"> </w:t>
      </w:r>
      <w:r w:rsidR="001D67F0">
        <w:rPr>
          <w:rFonts w:asciiTheme="minorHAnsi" w:hAnsiTheme="minorHAnsi" w:cstheme="minorHAnsi"/>
        </w:rPr>
        <w:t xml:space="preserve">(ex contractu) </w:t>
      </w:r>
      <w:r w:rsidR="00903EF4">
        <w:rPr>
          <w:rFonts w:asciiTheme="minorHAnsi" w:hAnsiTheme="minorHAnsi" w:cstheme="minorHAnsi"/>
        </w:rPr>
        <w:t xml:space="preserve">określają art. 471 </w:t>
      </w:r>
      <w:r w:rsidR="001D67F0">
        <w:rPr>
          <w:rFonts w:asciiTheme="minorHAnsi" w:hAnsiTheme="minorHAnsi" w:cstheme="minorHAnsi"/>
        </w:rPr>
        <w:br/>
      </w:r>
      <w:r w:rsidR="00903EF4">
        <w:rPr>
          <w:rFonts w:asciiTheme="minorHAnsi" w:hAnsiTheme="minorHAnsi" w:cstheme="minorHAnsi"/>
        </w:rPr>
        <w:t xml:space="preserve">i nast. </w:t>
      </w:r>
      <w:proofErr w:type="spellStart"/>
      <w:r w:rsidR="001D67F0">
        <w:rPr>
          <w:rFonts w:asciiTheme="minorHAnsi" w:hAnsiTheme="minorHAnsi" w:cstheme="minorHAnsi"/>
        </w:rPr>
        <w:t>kc</w:t>
      </w:r>
      <w:proofErr w:type="spellEnd"/>
      <w:r w:rsidR="001D67F0">
        <w:rPr>
          <w:rFonts w:asciiTheme="minorHAnsi" w:hAnsiTheme="minorHAnsi" w:cstheme="minorHAnsi"/>
        </w:rPr>
        <w:t>. „</w:t>
      </w:r>
      <w:r w:rsidR="001D67F0">
        <w:rPr>
          <w:rFonts w:asciiTheme="minorHAnsi" w:hAnsiTheme="minorHAnsi" w:cstheme="minorHAnsi"/>
          <w:i/>
        </w:rPr>
        <w:t>Przeciwieństwem reżimu odpowiedzialności deliktowej jest reżim odpowiedzialności kontraktowej (</w:t>
      </w:r>
      <w:r w:rsidR="001D67F0">
        <w:rPr>
          <w:rFonts w:asciiTheme="minorHAnsi" w:hAnsiTheme="minorHAnsi" w:cstheme="minorHAnsi"/>
          <w:bCs/>
          <w:i/>
        </w:rPr>
        <w:t xml:space="preserve">odpowiedzialność </w:t>
      </w:r>
      <w:r w:rsidR="001D67F0">
        <w:rPr>
          <w:rFonts w:asciiTheme="minorHAnsi" w:hAnsiTheme="minorHAnsi" w:cstheme="minorHAnsi"/>
          <w:bCs/>
          <w:i/>
          <w:iCs/>
        </w:rPr>
        <w:t>ex contractu</w:t>
      </w:r>
      <w:r w:rsidR="001D67F0">
        <w:rPr>
          <w:rFonts w:asciiTheme="minorHAnsi" w:hAnsiTheme="minorHAnsi" w:cstheme="minorHAnsi"/>
          <w:i/>
        </w:rPr>
        <w:t xml:space="preserve">), w którym powinność naprawienia szkody zastępuje już istniejący między stronami obowiązek innego świadczenia, względnie z nim współistnieje, ilekroć świadczenie pierwotne nie zostało wykonane albo zostało wykonane nienależycie </w:t>
      </w:r>
      <w:r w:rsidR="001D67F0" w:rsidRPr="001D67F0">
        <w:rPr>
          <w:rFonts w:asciiTheme="minorHAnsi" w:hAnsiTheme="minorHAnsi" w:cstheme="minorHAnsi"/>
          <w:i/>
        </w:rPr>
        <w:t>(</w:t>
      </w:r>
      <w:hyperlink r:id="rId8" w:history="1">
        <w:r w:rsidR="001D67F0" w:rsidRPr="001D67F0">
          <w:rPr>
            <w:rStyle w:val="Hipercze"/>
            <w:rFonts w:asciiTheme="minorHAnsi" w:hAnsiTheme="minorHAnsi" w:cstheme="minorHAnsi"/>
            <w:i/>
            <w:color w:val="auto"/>
            <w:u w:val="none"/>
          </w:rPr>
          <w:t>art. 471</w:t>
        </w:r>
      </w:hyperlink>
      <w:r w:rsidR="001D67F0" w:rsidRPr="001D67F0">
        <w:rPr>
          <w:rFonts w:asciiTheme="minorHAnsi" w:hAnsiTheme="minorHAnsi" w:cstheme="minorHAnsi"/>
          <w:i/>
        </w:rPr>
        <w:t xml:space="preserve"> i nast.). </w:t>
      </w:r>
      <w:r w:rsidR="001D67F0">
        <w:rPr>
          <w:rFonts w:asciiTheme="minorHAnsi" w:hAnsiTheme="minorHAnsi" w:cstheme="minorHAnsi"/>
          <w:i/>
        </w:rPr>
        <w:t xml:space="preserve">Powinność świadczenia odszkodowania ma więc charakter pochodny, gdy tymczasem </w:t>
      </w:r>
      <w:r w:rsidR="001D67F0">
        <w:rPr>
          <w:rFonts w:asciiTheme="minorHAnsi" w:hAnsiTheme="minorHAnsi" w:cstheme="minorHAnsi"/>
          <w:i/>
          <w:u w:val="single"/>
        </w:rPr>
        <w:t xml:space="preserve">w przypadku odpowiedzialności deliktowej ma ona charakter pierwotny – będąc elementem powstającego </w:t>
      </w:r>
      <w:r w:rsidR="001D67F0">
        <w:rPr>
          <w:rFonts w:asciiTheme="minorHAnsi" w:hAnsiTheme="minorHAnsi" w:cstheme="minorHAnsi"/>
          <w:b/>
          <w:i/>
          <w:iCs/>
          <w:u w:val="single"/>
        </w:rPr>
        <w:t>ex lege</w:t>
      </w:r>
      <w:r w:rsidR="001D67F0">
        <w:rPr>
          <w:rFonts w:asciiTheme="minorHAnsi" w:hAnsiTheme="minorHAnsi" w:cstheme="minorHAnsi"/>
          <w:i/>
          <w:u w:val="single"/>
        </w:rPr>
        <w:t xml:space="preserve"> stosunku obligacyjnego</w:t>
      </w:r>
      <w:r w:rsidR="001D67F0">
        <w:rPr>
          <w:rFonts w:asciiTheme="minorHAnsi" w:hAnsiTheme="minorHAnsi" w:cstheme="minorHAnsi"/>
        </w:rPr>
        <w:t xml:space="preserve">” </w:t>
      </w:r>
      <w:r w:rsidR="001D67F0">
        <w:rPr>
          <w:rFonts w:asciiTheme="minorHAnsi" w:hAnsiTheme="minorHAnsi" w:cstheme="minorHAnsi"/>
        </w:rPr>
        <w:br/>
        <w:t xml:space="preserve">(por. </w:t>
      </w:r>
      <w:r w:rsidR="001D67F0">
        <w:rPr>
          <w:rFonts w:asciiTheme="minorHAnsi" w:hAnsiTheme="minorHAnsi" w:cstheme="minorHAnsi"/>
          <w:i/>
          <w:iCs/>
        </w:rPr>
        <w:t>Brzozowski, Jastrzębski, Kaliński, Skowrońska-Bocian</w:t>
      </w:r>
      <w:r w:rsidR="001D67F0">
        <w:rPr>
          <w:rFonts w:asciiTheme="minorHAnsi" w:hAnsiTheme="minorHAnsi" w:cstheme="minorHAnsi"/>
        </w:rPr>
        <w:t>, Zobowiązania 2016, s. 71).</w:t>
      </w:r>
    </w:p>
    <w:p w:rsidR="001D67F0" w:rsidRPr="0070174A" w:rsidRDefault="001D67F0" w:rsidP="001D67F0">
      <w:pPr>
        <w:tabs>
          <w:tab w:val="left" w:pos="567"/>
        </w:tabs>
        <w:spacing w:line="360" w:lineRule="auto"/>
        <w:ind w:firstLine="567"/>
        <w:jc w:val="both"/>
        <w:rPr>
          <w:rFonts w:asciiTheme="minorHAnsi" w:hAnsiTheme="minorHAnsi" w:cstheme="minorHAnsi"/>
        </w:rPr>
      </w:pPr>
      <w:r w:rsidRPr="001D67F0">
        <w:rPr>
          <w:rFonts w:asciiTheme="minorHAnsi" w:hAnsiTheme="minorHAnsi" w:cstheme="minorHAnsi"/>
        </w:rPr>
        <w:t>Zatem</w:t>
      </w:r>
      <w:r>
        <w:rPr>
          <w:rFonts w:asciiTheme="minorHAnsi" w:hAnsiTheme="minorHAnsi" w:cstheme="minorHAnsi"/>
          <w:b/>
        </w:rPr>
        <w:t xml:space="preserve"> k</w:t>
      </w:r>
      <w:r w:rsidR="00630744" w:rsidRPr="00B64E1C">
        <w:rPr>
          <w:rFonts w:asciiTheme="minorHAnsi" w:hAnsiTheme="minorHAnsi" w:cstheme="minorHAnsi"/>
          <w:b/>
        </w:rPr>
        <w:t xml:space="preserve">odeks cywilny w sposób wyczerpujący normuje kwestię odpowiedzialności cywilnej i roszczeń odszkodowawczych. </w:t>
      </w:r>
      <w:r w:rsidR="00630744" w:rsidRPr="001D67F0">
        <w:rPr>
          <w:rFonts w:asciiTheme="minorHAnsi" w:hAnsiTheme="minorHAnsi" w:cstheme="minorHAnsi"/>
          <w:b/>
        </w:rPr>
        <w:t>Niedopuszczalne jest zatem regulowanie w drodze przepisów prawa miejscowego materii objętej przepisami hierarchicznie wyższymi</w:t>
      </w:r>
      <w:r w:rsidR="00903EF4" w:rsidRPr="001D67F0">
        <w:rPr>
          <w:rFonts w:asciiTheme="minorHAnsi" w:hAnsiTheme="minorHAnsi" w:cstheme="minorHAnsi"/>
          <w:b/>
        </w:rPr>
        <w:t>.</w:t>
      </w:r>
      <w:r w:rsidRPr="001D67F0">
        <w:rPr>
          <w:rFonts w:asciiTheme="minorHAnsi" w:hAnsiTheme="minorHAnsi" w:cstheme="minorHAnsi"/>
        </w:rPr>
        <w:t xml:space="preserve"> </w:t>
      </w:r>
      <w:r w:rsidRPr="0070174A">
        <w:rPr>
          <w:rFonts w:asciiTheme="minorHAnsi" w:hAnsiTheme="minorHAnsi" w:cstheme="minorHAnsi"/>
        </w:rPr>
        <w:t>Powyższy pogląd potwierdza aktualne orze</w:t>
      </w:r>
      <w:r>
        <w:rPr>
          <w:rFonts w:asciiTheme="minorHAnsi" w:hAnsiTheme="minorHAnsi" w:cstheme="minorHAnsi"/>
        </w:rPr>
        <w:t>cznictwo sądowe (por. wyrok WSA</w:t>
      </w:r>
      <w:r w:rsidRPr="0070174A">
        <w:rPr>
          <w:rFonts w:asciiTheme="minorHAnsi" w:hAnsiTheme="minorHAnsi" w:cstheme="minorHAnsi"/>
        </w:rPr>
        <w:t xml:space="preserve"> w Poznaniu </w:t>
      </w:r>
      <w:r w:rsidR="00234382">
        <w:rPr>
          <w:rFonts w:asciiTheme="minorHAnsi" w:hAnsiTheme="minorHAnsi" w:cstheme="minorHAnsi"/>
        </w:rPr>
        <w:br/>
      </w:r>
      <w:r w:rsidRPr="0070174A">
        <w:rPr>
          <w:rFonts w:asciiTheme="minorHAnsi" w:hAnsiTheme="minorHAnsi" w:cstheme="minorHAnsi"/>
        </w:rPr>
        <w:t xml:space="preserve">z dnia 16 listopada 2011 r., </w:t>
      </w:r>
      <w:r>
        <w:rPr>
          <w:rFonts w:asciiTheme="minorHAnsi" w:hAnsiTheme="minorHAnsi" w:cstheme="minorHAnsi"/>
        </w:rPr>
        <w:t xml:space="preserve">sygn. akt </w:t>
      </w:r>
      <w:r w:rsidRPr="0070174A">
        <w:rPr>
          <w:rFonts w:asciiTheme="minorHAnsi" w:hAnsiTheme="minorHAnsi" w:cstheme="minorHAnsi"/>
        </w:rPr>
        <w:t xml:space="preserve">IV SA/Po 672/11, wyrok </w:t>
      </w:r>
      <w:r>
        <w:rPr>
          <w:rFonts w:asciiTheme="minorHAnsi" w:hAnsiTheme="minorHAnsi" w:cstheme="minorHAnsi"/>
        </w:rPr>
        <w:t xml:space="preserve">WSA </w:t>
      </w:r>
      <w:r w:rsidRPr="0070174A">
        <w:rPr>
          <w:rFonts w:asciiTheme="minorHAnsi" w:hAnsiTheme="minorHAnsi" w:cstheme="minorHAnsi"/>
        </w:rPr>
        <w:t>w Gorzowie Wiel</w:t>
      </w:r>
      <w:r>
        <w:rPr>
          <w:rFonts w:asciiTheme="minorHAnsi" w:hAnsiTheme="minorHAnsi" w:cstheme="minorHAnsi"/>
        </w:rPr>
        <w:t xml:space="preserve">kopolskim z dnia 6 maja 2010 r., sygn. akt </w:t>
      </w:r>
      <w:r w:rsidRPr="0070174A">
        <w:rPr>
          <w:rFonts w:asciiTheme="minorHAnsi" w:hAnsiTheme="minorHAnsi" w:cstheme="minorHAnsi"/>
        </w:rPr>
        <w:t xml:space="preserve">II SA/Go 225/10, wyrok </w:t>
      </w:r>
      <w:r>
        <w:rPr>
          <w:rFonts w:asciiTheme="minorHAnsi" w:hAnsiTheme="minorHAnsi" w:cstheme="minorHAnsi"/>
        </w:rPr>
        <w:t xml:space="preserve"> WSA </w:t>
      </w:r>
      <w:r w:rsidRPr="0070174A">
        <w:rPr>
          <w:rFonts w:asciiTheme="minorHAnsi" w:hAnsiTheme="minorHAnsi" w:cstheme="minorHAnsi"/>
        </w:rPr>
        <w:t>w Olsztynie z dnia 2 września 2010 r.</w:t>
      </w:r>
      <w:r>
        <w:rPr>
          <w:rFonts w:asciiTheme="minorHAnsi" w:hAnsiTheme="minorHAnsi" w:cstheme="minorHAnsi"/>
        </w:rPr>
        <w:t>, sygn. akt</w:t>
      </w:r>
      <w:r w:rsidRPr="0070174A">
        <w:rPr>
          <w:rFonts w:asciiTheme="minorHAnsi" w:hAnsiTheme="minorHAnsi" w:cstheme="minorHAnsi"/>
        </w:rPr>
        <w:t xml:space="preserve"> II SA/Ol 659/10).</w:t>
      </w:r>
    </w:p>
    <w:p w:rsidR="00D86A33" w:rsidRDefault="001D67F0" w:rsidP="001D67F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</w:t>
      </w:r>
      <w:r w:rsidR="00323D9C">
        <w:rPr>
          <w:rFonts w:asciiTheme="minorHAnsi" w:hAnsiTheme="minorHAnsi" w:cstheme="minorHAnsi"/>
        </w:rPr>
        <w:t xml:space="preserve"> </w:t>
      </w:r>
      <w:r w:rsidR="00D86A33">
        <w:rPr>
          <w:rStyle w:val="info-list-value-uzasadnienie"/>
          <w:rFonts w:asciiTheme="minorHAnsi" w:hAnsiTheme="minorHAnsi" w:cstheme="minorHAnsi"/>
        </w:rPr>
        <w:t>„</w:t>
      </w:r>
      <w:r w:rsidR="00D86A33">
        <w:rPr>
          <w:rStyle w:val="info-list-value-uzasadnienie"/>
          <w:rFonts w:asciiTheme="minorHAnsi" w:hAnsiTheme="minorHAnsi" w:cstheme="minorHAnsi"/>
          <w:i/>
        </w:rPr>
        <w:t>Materialnoprawna podstawa do działania rady gminy w zakresie stanowienia aktów prawa miejscowego musi bowiem wynikać wprost z zapisó</w:t>
      </w:r>
      <w:r w:rsidR="00903EF4">
        <w:rPr>
          <w:rStyle w:val="info-list-value-uzasadnienie"/>
          <w:rFonts w:asciiTheme="minorHAnsi" w:hAnsiTheme="minorHAnsi" w:cstheme="minorHAnsi"/>
          <w:i/>
        </w:rPr>
        <w:t xml:space="preserve">w ustawy (delegacji ustawowej) </w:t>
      </w:r>
      <w:r w:rsidR="00323D9C">
        <w:rPr>
          <w:rStyle w:val="info-list-value-uzasadnienie"/>
          <w:rFonts w:asciiTheme="minorHAnsi" w:hAnsiTheme="minorHAnsi" w:cstheme="minorHAnsi"/>
          <w:i/>
        </w:rPr>
        <w:br/>
      </w:r>
      <w:r w:rsidR="00D86A33">
        <w:rPr>
          <w:rStyle w:val="info-list-value-uzasadnienie"/>
          <w:rFonts w:asciiTheme="minorHAnsi" w:hAnsiTheme="minorHAnsi" w:cstheme="minorHAnsi"/>
          <w:i/>
        </w:rPr>
        <w:t xml:space="preserve">i nie może być oparta na ogólnych przepisach zawartych w ustawach. Zgodnie </w:t>
      </w:r>
      <w:r w:rsidR="00903EF4">
        <w:rPr>
          <w:rStyle w:val="info-list-value-uzasadnienie"/>
          <w:rFonts w:asciiTheme="minorHAnsi" w:hAnsiTheme="minorHAnsi" w:cstheme="minorHAnsi"/>
          <w:i/>
        </w:rPr>
        <w:br/>
      </w:r>
      <w:r w:rsidR="00D86A33">
        <w:rPr>
          <w:rStyle w:val="info-list-value-uzasadnienie"/>
          <w:rFonts w:asciiTheme="minorHAnsi" w:hAnsiTheme="minorHAnsi" w:cstheme="minorHAnsi"/>
          <w:i/>
        </w:rPr>
        <w:t xml:space="preserve">z zasadą legalności (art. 7 Konstytucji RP), organy władzy publicznej działają na podstawie </w:t>
      </w:r>
      <w:r w:rsidR="00D86A33">
        <w:rPr>
          <w:rStyle w:val="info-list-value-uzasadnienie"/>
          <w:rFonts w:asciiTheme="minorHAnsi" w:hAnsiTheme="minorHAnsi" w:cstheme="minorHAnsi"/>
          <w:i/>
        </w:rPr>
        <w:br/>
        <w:t>i w granicach prawa. Rada gminy obowiązana jest, zatem przestrzegać zakresu upoważniania ustawowego udzielonego jej przez ustawę w zakresie tworzenia aktów prawa miejscowego,</w:t>
      </w:r>
      <w:r w:rsidR="00B3439D">
        <w:rPr>
          <w:rStyle w:val="info-list-value-uzasadnienie"/>
          <w:rFonts w:asciiTheme="minorHAnsi" w:hAnsiTheme="minorHAnsi" w:cstheme="minorHAnsi"/>
          <w:i/>
        </w:rPr>
        <w:br/>
      </w:r>
      <w:r w:rsidR="00D86A33">
        <w:rPr>
          <w:rStyle w:val="info-list-value-uzasadnienie"/>
          <w:rFonts w:asciiTheme="minorHAnsi" w:hAnsiTheme="minorHAnsi" w:cstheme="minorHAnsi"/>
          <w:i/>
        </w:rPr>
        <w:t xml:space="preserve"> a w ramach udzielonej jej delegacji w tych działaniach </w:t>
      </w:r>
      <w:r w:rsidR="002D4223">
        <w:rPr>
          <w:rStyle w:val="info-list-value-uzasadnienie"/>
          <w:rFonts w:asciiTheme="minorHAnsi" w:hAnsiTheme="minorHAnsi" w:cstheme="minorHAnsi"/>
          <w:i/>
          <w:u w:val="single"/>
        </w:rPr>
        <w:t xml:space="preserve">nie może wykraczać </w:t>
      </w:r>
      <w:r w:rsidR="00D86A33">
        <w:rPr>
          <w:rStyle w:val="info-list-value-uzasadnienie"/>
          <w:rFonts w:asciiTheme="minorHAnsi" w:hAnsiTheme="minorHAnsi" w:cstheme="minorHAnsi"/>
          <w:i/>
          <w:u w:val="single"/>
        </w:rPr>
        <w:t>w materię uregulowaną ustawą</w:t>
      </w:r>
      <w:r w:rsidR="00D86A33">
        <w:rPr>
          <w:rStyle w:val="info-list-value-uzasadnienie"/>
          <w:rFonts w:asciiTheme="minorHAnsi" w:hAnsiTheme="minorHAnsi" w:cstheme="minorHAnsi"/>
          <w:i/>
        </w:rPr>
        <w:t xml:space="preserve">. W stosunku do aktów prawa miejscowego zasady te wyraża art. 94 Konstytucji RP, który stanowi, że organy samorządu terytorialnego i organy administracji rządowej ustanawiają akty prawa miejscowego na podstawie i w granicach upoważnień </w:t>
      </w:r>
      <w:r w:rsidR="00D86A33">
        <w:rPr>
          <w:rStyle w:val="info-list-value-uzasadnienie"/>
          <w:rFonts w:asciiTheme="minorHAnsi" w:hAnsiTheme="minorHAnsi" w:cstheme="minorHAnsi"/>
          <w:i/>
        </w:rPr>
        <w:lastRenderedPageBreak/>
        <w:t>zawartych w ustawie, przy czym ustawa określa zasady i tryb ich wydawania</w:t>
      </w:r>
      <w:r w:rsidR="00D86A33">
        <w:rPr>
          <w:rStyle w:val="info-list-value-uzasadnienie"/>
          <w:rFonts w:asciiTheme="minorHAnsi" w:hAnsiTheme="minorHAnsi" w:cstheme="minorHAnsi"/>
        </w:rPr>
        <w:t>”.</w:t>
      </w:r>
      <w:r w:rsidR="00323D9C" w:rsidRPr="00323D9C">
        <w:rPr>
          <w:rFonts w:asciiTheme="minorHAnsi" w:hAnsiTheme="minorHAnsi" w:cstheme="minorHAnsi"/>
        </w:rPr>
        <w:t xml:space="preserve"> </w:t>
      </w:r>
      <w:r w:rsidR="00323D9C">
        <w:rPr>
          <w:rFonts w:asciiTheme="minorHAnsi" w:hAnsiTheme="minorHAnsi" w:cstheme="minorHAnsi"/>
        </w:rPr>
        <w:br/>
        <w:t xml:space="preserve">( por. wyrok WSA w Olsztynie z dnia 12 stycznia 2016 r., sygn. akt </w:t>
      </w:r>
      <w:r w:rsidR="00323D9C">
        <w:rPr>
          <w:rStyle w:val="warheader"/>
          <w:rFonts w:asciiTheme="minorHAnsi" w:hAnsiTheme="minorHAnsi" w:cstheme="minorHAnsi"/>
        </w:rPr>
        <w:t>II SA/Ol 1269/15).</w:t>
      </w:r>
      <w:r w:rsidR="00D86A33">
        <w:rPr>
          <w:rFonts w:asciiTheme="minorHAnsi" w:hAnsiTheme="minorHAnsi" w:cstheme="minorHAnsi"/>
        </w:rPr>
        <w:t xml:space="preserve"> </w:t>
      </w:r>
      <w:r w:rsidR="00903EF4">
        <w:rPr>
          <w:rFonts w:asciiTheme="minorHAnsi" w:hAnsiTheme="minorHAnsi" w:cstheme="minorHAnsi"/>
        </w:rPr>
        <w:t xml:space="preserve"> </w:t>
      </w:r>
    </w:p>
    <w:p w:rsidR="00D86A33" w:rsidRDefault="00393B51" w:rsidP="00B3439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903EF4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="00D86A33">
        <w:rPr>
          <w:rFonts w:asciiTheme="minorHAnsi" w:hAnsiTheme="minorHAnsi" w:cstheme="minorHAnsi"/>
        </w:rPr>
        <w:t xml:space="preserve">Jak wynika </w:t>
      </w:r>
      <w:r w:rsidR="00B45F47">
        <w:rPr>
          <w:rFonts w:asciiTheme="minorHAnsi" w:hAnsiTheme="minorHAnsi" w:cstheme="minorHAnsi"/>
        </w:rPr>
        <w:t>z powyższego, kwestie</w:t>
      </w:r>
      <w:r w:rsidR="00D86A33">
        <w:rPr>
          <w:rFonts w:asciiTheme="minorHAnsi" w:hAnsiTheme="minorHAnsi" w:cstheme="minorHAnsi"/>
        </w:rPr>
        <w:t xml:space="preserve"> odpowi</w:t>
      </w:r>
      <w:r w:rsidR="000475F1">
        <w:rPr>
          <w:rFonts w:asciiTheme="minorHAnsi" w:hAnsiTheme="minorHAnsi" w:cstheme="minorHAnsi"/>
        </w:rPr>
        <w:t xml:space="preserve">edzialności </w:t>
      </w:r>
      <w:r w:rsidR="00B45F47">
        <w:rPr>
          <w:rFonts w:asciiTheme="minorHAnsi" w:hAnsiTheme="minorHAnsi" w:cstheme="minorHAnsi"/>
        </w:rPr>
        <w:t>odszko</w:t>
      </w:r>
      <w:r w:rsidR="00D24B51">
        <w:rPr>
          <w:rFonts w:asciiTheme="minorHAnsi" w:hAnsiTheme="minorHAnsi" w:cstheme="minorHAnsi"/>
        </w:rPr>
        <w:t>dowawczej U</w:t>
      </w:r>
      <w:r w:rsidR="00C93CD4">
        <w:rPr>
          <w:rFonts w:asciiTheme="minorHAnsi" w:hAnsiTheme="minorHAnsi" w:cstheme="minorHAnsi"/>
        </w:rPr>
        <w:t>żytkowników parkingu</w:t>
      </w:r>
      <w:r w:rsidR="00B45F47">
        <w:rPr>
          <w:rFonts w:asciiTheme="minorHAnsi" w:hAnsiTheme="minorHAnsi" w:cstheme="minorHAnsi"/>
        </w:rPr>
        <w:t>, kwestie wyłączenia odpowiedzialności odszkodowawczej</w:t>
      </w:r>
      <w:r w:rsidR="00E45B29">
        <w:rPr>
          <w:rFonts w:asciiTheme="minorHAnsi" w:hAnsiTheme="minorHAnsi" w:cstheme="minorHAnsi"/>
        </w:rPr>
        <w:t xml:space="preserve"> </w:t>
      </w:r>
      <w:r w:rsidR="00D24B51">
        <w:rPr>
          <w:rFonts w:asciiTheme="minorHAnsi" w:hAnsiTheme="minorHAnsi" w:cstheme="minorHAnsi"/>
        </w:rPr>
        <w:t>Zarządcy</w:t>
      </w:r>
      <w:r w:rsidR="00B64E1C">
        <w:rPr>
          <w:rFonts w:asciiTheme="minorHAnsi" w:hAnsiTheme="minorHAnsi" w:cstheme="minorHAnsi"/>
        </w:rPr>
        <w:t>,</w:t>
      </w:r>
      <w:r w:rsidR="00B3439D">
        <w:rPr>
          <w:rFonts w:asciiTheme="minorHAnsi" w:hAnsiTheme="minorHAnsi" w:cstheme="minorHAnsi"/>
        </w:rPr>
        <w:t xml:space="preserve"> czy </w:t>
      </w:r>
      <w:r w:rsidR="00B45F47">
        <w:rPr>
          <w:rFonts w:asciiTheme="minorHAnsi" w:hAnsiTheme="minorHAnsi" w:cstheme="minorHAnsi"/>
        </w:rPr>
        <w:t>kwestie kosztów związanych z usunięciem pojazdu z parkingu</w:t>
      </w:r>
      <w:r w:rsidR="008752B0">
        <w:rPr>
          <w:rFonts w:asciiTheme="minorHAnsi" w:hAnsiTheme="minorHAnsi" w:cstheme="minorHAnsi"/>
        </w:rPr>
        <w:t xml:space="preserve"> </w:t>
      </w:r>
      <w:r w:rsidR="00D86A33">
        <w:rPr>
          <w:rFonts w:asciiTheme="minorHAnsi" w:hAnsiTheme="minorHAnsi" w:cstheme="minorHAnsi"/>
        </w:rPr>
        <w:t xml:space="preserve">regulowane są przez przepisy ustaw </w:t>
      </w:r>
      <w:r w:rsidR="008752B0">
        <w:rPr>
          <w:rFonts w:asciiTheme="minorHAnsi" w:hAnsiTheme="minorHAnsi" w:cstheme="minorHAnsi"/>
        </w:rPr>
        <w:br/>
      </w:r>
      <w:r w:rsidR="00D86A33">
        <w:rPr>
          <w:rFonts w:asciiTheme="minorHAnsi" w:hAnsiTheme="minorHAnsi" w:cstheme="minorHAnsi"/>
        </w:rPr>
        <w:t>i tylko akty prawne tej rangi mogą przewidywać poniesienie odpowiedzialności za dany czyn lub zwolnienie</w:t>
      </w:r>
      <w:r w:rsidR="00D24B51">
        <w:rPr>
          <w:rFonts w:asciiTheme="minorHAnsi" w:hAnsiTheme="minorHAnsi" w:cstheme="minorHAnsi"/>
        </w:rPr>
        <w:t xml:space="preserve"> od jej ponoszenia. Rada Miejska </w:t>
      </w:r>
      <w:r w:rsidR="00D86A33">
        <w:rPr>
          <w:rFonts w:asciiTheme="minorHAnsi" w:hAnsiTheme="minorHAnsi" w:cstheme="minorHAnsi"/>
        </w:rPr>
        <w:t xml:space="preserve">ustanawiając zasady i wyłączenia odpowiedzialności za określone czyny, wkroczyła w materię przeznaczoną do uregulowania przez ustawodawcę, co w świetle powyższych rozważań jest niedopuszczalne. </w:t>
      </w:r>
    </w:p>
    <w:p w:rsidR="00D86A33" w:rsidRDefault="00323D9C" w:rsidP="00323D9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D86A33">
        <w:rPr>
          <w:rFonts w:asciiTheme="minorHAnsi" w:hAnsiTheme="minorHAnsi" w:cstheme="minorHAnsi"/>
        </w:rPr>
        <w:t>Mając na uwadze powyższe, stwierd</w:t>
      </w:r>
      <w:r w:rsidR="00D24B51">
        <w:rPr>
          <w:rFonts w:asciiTheme="minorHAnsi" w:hAnsiTheme="minorHAnsi" w:cstheme="minorHAnsi"/>
        </w:rPr>
        <w:t>zenie nieważności przedmiotowej</w:t>
      </w:r>
      <w:r w:rsidR="00D86A33">
        <w:rPr>
          <w:rFonts w:asciiTheme="minorHAnsi" w:hAnsiTheme="minorHAnsi" w:cstheme="minorHAnsi"/>
        </w:rPr>
        <w:t xml:space="preserve"> </w:t>
      </w:r>
      <w:r w:rsidR="00D86A33">
        <w:rPr>
          <w:rFonts w:asciiTheme="minorHAnsi" w:hAnsiTheme="minorHAnsi" w:cstheme="minorHAnsi"/>
          <w:bCs/>
        </w:rPr>
        <w:t>uchwał</w:t>
      </w:r>
      <w:r w:rsidR="00D24B51">
        <w:rPr>
          <w:rFonts w:asciiTheme="minorHAnsi" w:hAnsiTheme="minorHAnsi" w:cstheme="minorHAnsi"/>
          <w:bCs/>
        </w:rPr>
        <w:t>y</w:t>
      </w:r>
      <w:r w:rsidR="00D86A33">
        <w:rPr>
          <w:rFonts w:asciiTheme="minorHAnsi" w:hAnsiTheme="minorHAnsi" w:cstheme="minorHAnsi"/>
          <w:bCs/>
        </w:rPr>
        <w:t xml:space="preserve"> </w:t>
      </w:r>
      <w:r w:rsidR="004C2435">
        <w:rPr>
          <w:rFonts w:asciiTheme="minorHAnsi" w:hAnsiTheme="minorHAnsi" w:cstheme="minorHAnsi"/>
        </w:rPr>
        <w:t>Rady Miejskiej w Ożarowie</w:t>
      </w:r>
      <w:r w:rsidR="00D86A33">
        <w:rPr>
          <w:rFonts w:asciiTheme="minorHAnsi" w:hAnsiTheme="minorHAnsi" w:cstheme="minorHAnsi"/>
        </w:rPr>
        <w:t xml:space="preserve"> Mazowieckim, we wskazanej w petitum części, jest w pełni uzasadnione.</w:t>
      </w:r>
    </w:p>
    <w:p w:rsidR="00D86A33" w:rsidRDefault="00D86A33" w:rsidP="00D86A33">
      <w:pPr>
        <w:spacing w:line="360" w:lineRule="auto"/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niniejsze rozstrzygnięcie nadzorcze Miastu przysługuje skarga do Wojewódzkiego Sądu Administracyjnego w Warszawie w terminie 30 dni od daty jego doręczenia, wnoszona </w:t>
      </w:r>
      <w:r>
        <w:rPr>
          <w:rFonts w:asciiTheme="minorHAnsi" w:hAnsiTheme="minorHAnsi" w:cstheme="minorHAnsi"/>
        </w:rPr>
        <w:br/>
        <w:t>za pośrednictwem organu, który skarżone orzeczenie wydał.</w:t>
      </w:r>
    </w:p>
    <w:p w:rsidR="00D86A33" w:rsidRDefault="00D86A33" w:rsidP="00D86A33">
      <w:pPr>
        <w:pStyle w:val="Tekstpodstawowy"/>
        <w:ind w:right="-1" w:firstLine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Informuję, że rozstrzygnięcie nadzorcze wstrzymuje wykonanie uchwał z mocy prawa, </w:t>
      </w:r>
      <w:r w:rsidR="004C2435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>w części objętej orzeczeniem, z dniem jego doręczenia.</w:t>
      </w:r>
    </w:p>
    <w:p w:rsidR="00D86A33" w:rsidRDefault="00D86A33" w:rsidP="00D86A33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F810E9" w:rsidRDefault="00F810E9"/>
    <w:sectPr w:rsidR="00F81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B7A"/>
    <w:multiLevelType w:val="multilevel"/>
    <w:tmpl w:val="88C0B018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33"/>
    <w:rsid w:val="000475F1"/>
    <w:rsid w:val="000860D0"/>
    <w:rsid w:val="000D5F86"/>
    <w:rsid w:val="0014795D"/>
    <w:rsid w:val="001B5FF3"/>
    <w:rsid w:val="001C7BD1"/>
    <w:rsid w:val="001D67F0"/>
    <w:rsid w:val="00234382"/>
    <w:rsid w:val="002D4223"/>
    <w:rsid w:val="00323D9C"/>
    <w:rsid w:val="00393B51"/>
    <w:rsid w:val="003F5E79"/>
    <w:rsid w:val="00482CCD"/>
    <w:rsid w:val="004C2435"/>
    <w:rsid w:val="00541DB1"/>
    <w:rsid w:val="00630744"/>
    <w:rsid w:val="0070174A"/>
    <w:rsid w:val="00713F8F"/>
    <w:rsid w:val="008752B0"/>
    <w:rsid w:val="00903EF4"/>
    <w:rsid w:val="009F49F2"/>
    <w:rsid w:val="00A149E0"/>
    <w:rsid w:val="00B10D7F"/>
    <w:rsid w:val="00B3439D"/>
    <w:rsid w:val="00B45F47"/>
    <w:rsid w:val="00B64E1C"/>
    <w:rsid w:val="00B97AA8"/>
    <w:rsid w:val="00C03659"/>
    <w:rsid w:val="00C93CD4"/>
    <w:rsid w:val="00D24B51"/>
    <w:rsid w:val="00D86A33"/>
    <w:rsid w:val="00DC060D"/>
    <w:rsid w:val="00E45B29"/>
    <w:rsid w:val="00F22407"/>
    <w:rsid w:val="00F810E9"/>
    <w:rsid w:val="00F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D86A33"/>
    <w:rPr>
      <w:rFonts w:ascii="Times New Roman" w:hAnsi="Times New Roman" w:cs="Times New Roman" w:hint="default"/>
      <w:bCs w:val="0"/>
    </w:rPr>
  </w:style>
  <w:style w:type="paragraph" w:styleId="Tekstpodstawowy">
    <w:name w:val="Body Text"/>
    <w:basedOn w:val="Normalny"/>
    <w:link w:val="TekstpodstawowyZnak"/>
    <w:semiHidden/>
    <w:unhideWhenUsed/>
    <w:rsid w:val="00D86A33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6A3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locked/>
    <w:rsid w:val="00D86A3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6A33"/>
    <w:pPr>
      <w:widowControl w:val="0"/>
      <w:shd w:val="clear" w:color="auto" w:fill="FFFFFF"/>
      <w:spacing w:line="508" w:lineRule="exact"/>
      <w:ind w:hanging="300"/>
    </w:pPr>
    <w:rPr>
      <w:sz w:val="21"/>
      <w:szCs w:val="21"/>
      <w:lang w:eastAsia="en-US"/>
    </w:rPr>
  </w:style>
  <w:style w:type="character" w:customStyle="1" w:styleId="highlight">
    <w:name w:val="highlight"/>
    <w:basedOn w:val="Domylnaczcionkaakapitu"/>
    <w:rsid w:val="00D86A33"/>
  </w:style>
  <w:style w:type="character" w:customStyle="1" w:styleId="info-list-value-uzasadnienie">
    <w:name w:val="info-list-value-uzasadnienie"/>
    <w:basedOn w:val="Domylnaczcionkaakapitu"/>
    <w:rsid w:val="00D86A33"/>
  </w:style>
  <w:style w:type="character" w:customStyle="1" w:styleId="warheader">
    <w:name w:val="war_header"/>
    <w:basedOn w:val="Domylnaczcionkaakapitu"/>
    <w:rsid w:val="00D86A33"/>
  </w:style>
  <w:style w:type="character" w:styleId="Hipercze">
    <w:name w:val="Hyperlink"/>
    <w:basedOn w:val="Domylnaczcionkaakapitu"/>
    <w:uiPriority w:val="99"/>
    <w:semiHidden/>
    <w:unhideWhenUsed/>
    <w:rsid w:val="00D86A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06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F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FF3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D86A33"/>
    <w:rPr>
      <w:rFonts w:ascii="Times New Roman" w:hAnsi="Times New Roman" w:cs="Times New Roman" w:hint="default"/>
      <w:bCs w:val="0"/>
    </w:rPr>
  </w:style>
  <w:style w:type="paragraph" w:styleId="Tekstpodstawowy">
    <w:name w:val="Body Text"/>
    <w:basedOn w:val="Normalny"/>
    <w:link w:val="TekstpodstawowyZnak"/>
    <w:semiHidden/>
    <w:unhideWhenUsed/>
    <w:rsid w:val="00D86A33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6A3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treci2">
    <w:name w:val="Tekst treści (2)_"/>
    <w:basedOn w:val="Domylnaczcionkaakapitu"/>
    <w:link w:val="Teksttreci20"/>
    <w:locked/>
    <w:rsid w:val="00D86A3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86A33"/>
    <w:pPr>
      <w:widowControl w:val="0"/>
      <w:shd w:val="clear" w:color="auto" w:fill="FFFFFF"/>
      <w:spacing w:line="508" w:lineRule="exact"/>
      <w:ind w:hanging="300"/>
    </w:pPr>
    <w:rPr>
      <w:sz w:val="21"/>
      <w:szCs w:val="21"/>
      <w:lang w:eastAsia="en-US"/>
    </w:rPr>
  </w:style>
  <w:style w:type="character" w:customStyle="1" w:styleId="highlight">
    <w:name w:val="highlight"/>
    <w:basedOn w:val="Domylnaczcionkaakapitu"/>
    <w:rsid w:val="00D86A33"/>
  </w:style>
  <w:style w:type="character" w:customStyle="1" w:styleId="info-list-value-uzasadnienie">
    <w:name w:val="info-list-value-uzasadnienie"/>
    <w:basedOn w:val="Domylnaczcionkaakapitu"/>
    <w:rsid w:val="00D86A33"/>
  </w:style>
  <w:style w:type="character" w:customStyle="1" w:styleId="warheader">
    <w:name w:val="war_header"/>
    <w:basedOn w:val="Domylnaczcionkaakapitu"/>
    <w:rsid w:val="00D86A33"/>
  </w:style>
  <w:style w:type="character" w:styleId="Hipercze">
    <w:name w:val="Hyperlink"/>
    <w:basedOn w:val="Domylnaczcionkaakapitu"/>
    <w:uiPriority w:val="99"/>
    <w:semiHidden/>
    <w:unhideWhenUsed/>
    <w:rsid w:val="00D86A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06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F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F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wgu2taltqmfyc4nbtga4dqmzqh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67E1-0E72-46D6-84A3-21BCC751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2019-07-12T12:16:00Z</cp:lastPrinted>
  <dcterms:created xsi:type="dcterms:W3CDTF">2019-11-21T10:26:00Z</dcterms:created>
  <dcterms:modified xsi:type="dcterms:W3CDTF">2019-11-21T10:26:00Z</dcterms:modified>
</cp:coreProperties>
</file>