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3851" w14:textId="3C7D37CA" w:rsidR="00021A18" w:rsidRPr="0018142A" w:rsidRDefault="00DF4527" w:rsidP="00893C20">
      <w:pPr>
        <w:pStyle w:val="Bezodstpw"/>
        <w:spacing w:line="276" w:lineRule="auto"/>
        <w:jc w:val="center"/>
        <w:rPr>
          <w:rFonts w:ascii="Times New Roman" w:hAnsi="Times New Roman" w:cs="Times New Roman"/>
          <w:b/>
          <w:bCs/>
        </w:rPr>
      </w:pPr>
      <w:r w:rsidRPr="0018142A">
        <w:rPr>
          <w:rFonts w:ascii="Times New Roman" w:hAnsi="Times New Roman"/>
          <w:b/>
          <w:bCs/>
        </w:rPr>
        <w:t>Tabela uwag z</w:t>
      </w:r>
      <w:r w:rsidR="00110686" w:rsidRPr="0018142A">
        <w:rPr>
          <w:rFonts w:ascii="Times New Roman" w:hAnsi="Times New Roman"/>
          <w:b/>
          <w:bCs/>
        </w:rPr>
        <w:t>głoszonych w ramach</w:t>
      </w:r>
      <w:r w:rsidRPr="0018142A">
        <w:rPr>
          <w:rFonts w:ascii="Times New Roman" w:hAnsi="Times New Roman"/>
          <w:b/>
          <w:bCs/>
        </w:rPr>
        <w:t xml:space="preserve"> </w:t>
      </w:r>
      <w:r w:rsidR="008347E5" w:rsidRPr="0018142A">
        <w:rPr>
          <w:rFonts w:ascii="Times New Roman" w:hAnsi="Times New Roman"/>
          <w:b/>
          <w:bCs/>
        </w:rPr>
        <w:t>konsultacji publicznych</w:t>
      </w:r>
      <w:r w:rsidR="00125604">
        <w:rPr>
          <w:rFonts w:ascii="Times New Roman" w:hAnsi="Times New Roman"/>
          <w:b/>
          <w:bCs/>
        </w:rPr>
        <w:t xml:space="preserve"> do</w:t>
      </w:r>
      <w:r w:rsidR="00396DAE" w:rsidRPr="0018142A">
        <w:rPr>
          <w:rFonts w:ascii="Times New Roman" w:hAnsi="Times New Roman"/>
          <w:b/>
          <w:bCs/>
        </w:rPr>
        <w:t xml:space="preserve"> </w:t>
      </w:r>
      <w:r w:rsidRPr="0018142A">
        <w:rPr>
          <w:rFonts w:ascii="Times New Roman" w:hAnsi="Times New Roman"/>
          <w:b/>
          <w:bCs/>
        </w:rPr>
        <w:t xml:space="preserve">projektu rozporządzenia </w:t>
      </w:r>
      <w:bookmarkStart w:id="0" w:name="bookmark1"/>
      <w:r w:rsidR="00A15263" w:rsidRPr="0018142A">
        <w:rPr>
          <w:rFonts w:ascii="Times New Roman" w:hAnsi="Times New Roman"/>
          <w:b/>
          <w:bCs/>
        </w:rPr>
        <w:t>Rady Ministrów</w:t>
      </w:r>
      <w:bookmarkEnd w:id="0"/>
      <w:r w:rsidR="00893C20">
        <w:rPr>
          <w:rFonts w:ascii="Times New Roman" w:hAnsi="Times New Roman" w:cs="Times New Roman"/>
          <w:b/>
          <w:bCs/>
        </w:rPr>
        <w:t xml:space="preserve"> </w:t>
      </w:r>
      <w:r w:rsidR="00E83D5D" w:rsidRPr="0018142A">
        <w:rPr>
          <w:rFonts w:ascii="Times New Roman" w:hAnsi="Times New Roman" w:cs="Times New Roman"/>
          <w:b/>
          <w:bCs/>
        </w:rPr>
        <w:t xml:space="preserve">w sprawie wymagań technicznych i eksploatacyjnych dla interfejsów </w:t>
      </w:r>
      <w:r w:rsidR="00D17F79" w:rsidRPr="0018142A">
        <w:rPr>
          <w:rFonts w:ascii="Times New Roman" w:hAnsi="Times New Roman" w:cs="Times New Roman"/>
          <w:b/>
          <w:bCs/>
        </w:rPr>
        <w:t>(</w:t>
      </w:r>
      <w:r w:rsidR="00A15263" w:rsidRPr="0018142A">
        <w:rPr>
          <w:rFonts w:ascii="Times New Roman" w:hAnsi="Times New Roman" w:cs="Times New Roman"/>
          <w:b/>
          <w:bCs/>
        </w:rPr>
        <w:t>RD21</w:t>
      </w:r>
      <w:r w:rsidR="00E83D5D" w:rsidRPr="0018142A">
        <w:rPr>
          <w:rFonts w:ascii="Times New Roman" w:hAnsi="Times New Roman" w:cs="Times New Roman"/>
          <w:b/>
          <w:bCs/>
        </w:rPr>
        <w:t>5</w:t>
      </w:r>
      <w:r w:rsidR="00D17F79" w:rsidRPr="0018142A">
        <w:rPr>
          <w:rFonts w:ascii="Times New Roman" w:hAnsi="Times New Roman" w:cs="Times New Roman"/>
          <w:b/>
          <w:bCs/>
        </w:rPr>
        <w:t>)</w:t>
      </w:r>
    </w:p>
    <w:p w14:paraId="4B2CD379" w14:textId="77777777" w:rsidR="00DF4527" w:rsidRPr="0018142A" w:rsidRDefault="00DF4527" w:rsidP="00DF4527">
      <w:pPr>
        <w:pStyle w:val="Bezodstpw"/>
        <w:spacing w:line="276" w:lineRule="auto"/>
        <w:jc w:val="center"/>
        <w:rPr>
          <w:rFonts w:ascii="Times New Roman" w:hAnsi="Times New Roman" w:cs="Times New Roman"/>
          <w:b/>
          <w:bCs/>
        </w:rPr>
      </w:pPr>
    </w:p>
    <w:tbl>
      <w:tblPr>
        <w:tblStyle w:val="Tabela-Siatka"/>
        <w:tblW w:w="15163" w:type="dxa"/>
        <w:tblLook w:val="04A0" w:firstRow="1" w:lastRow="0" w:firstColumn="1" w:lastColumn="0" w:noHBand="0" w:noVBand="1"/>
      </w:tblPr>
      <w:tblGrid>
        <w:gridCol w:w="596"/>
        <w:gridCol w:w="1395"/>
        <w:gridCol w:w="1785"/>
        <w:gridCol w:w="7508"/>
        <w:gridCol w:w="3879"/>
      </w:tblGrid>
      <w:tr w:rsidR="006F492C" w:rsidRPr="00893C20" w14:paraId="35087CD2" w14:textId="77777777" w:rsidTr="0018142A">
        <w:trPr>
          <w:cantSplit/>
          <w:trHeight w:val="840"/>
        </w:trPr>
        <w:tc>
          <w:tcPr>
            <w:tcW w:w="596" w:type="dxa"/>
            <w:tcBorders>
              <w:bottom w:val="single" w:sz="4" w:space="0" w:color="auto"/>
            </w:tcBorders>
            <w:shd w:val="clear" w:color="auto" w:fill="D9D9D9" w:themeFill="background1" w:themeFillShade="D9"/>
            <w:vAlign w:val="center"/>
          </w:tcPr>
          <w:p w14:paraId="40DC3DC8" w14:textId="27CBB89A" w:rsidR="00DF4527" w:rsidRPr="0018142A" w:rsidRDefault="009753A3" w:rsidP="0057644A">
            <w:pPr>
              <w:pStyle w:val="Bezodstpw"/>
              <w:jc w:val="center"/>
              <w:rPr>
                <w:rFonts w:ascii="Times New Roman" w:hAnsi="Times New Roman" w:cs="Times New Roman"/>
              </w:rPr>
            </w:pPr>
            <w:r w:rsidRPr="0018142A">
              <w:rPr>
                <w:rFonts w:ascii="Times New Roman" w:hAnsi="Times New Roman" w:cs="Times New Roman"/>
                <w:b/>
              </w:rPr>
              <w:t>L.p.</w:t>
            </w:r>
          </w:p>
        </w:tc>
        <w:tc>
          <w:tcPr>
            <w:tcW w:w="1399" w:type="dxa"/>
            <w:tcBorders>
              <w:bottom w:val="single" w:sz="4" w:space="0" w:color="auto"/>
            </w:tcBorders>
            <w:shd w:val="clear" w:color="auto" w:fill="D9D9D9" w:themeFill="background1" w:themeFillShade="D9"/>
            <w:vAlign w:val="center"/>
          </w:tcPr>
          <w:p w14:paraId="5C3AEFCE" w14:textId="246D43B8" w:rsidR="00DF4527" w:rsidRPr="0018142A" w:rsidRDefault="009753A3" w:rsidP="00822E68">
            <w:pPr>
              <w:pStyle w:val="Bezodstpw"/>
              <w:jc w:val="center"/>
              <w:rPr>
                <w:rFonts w:ascii="Times New Roman" w:hAnsi="Times New Roman" w:cs="Times New Roman"/>
              </w:rPr>
            </w:pPr>
            <w:r w:rsidRPr="0018142A">
              <w:rPr>
                <w:rFonts w:ascii="Times New Roman" w:hAnsi="Times New Roman" w:cs="Times New Roman"/>
                <w:b/>
              </w:rPr>
              <w:t>Jednostka redakcyjna projektu</w:t>
            </w:r>
          </w:p>
        </w:tc>
        <w:tc>
          <w:tcPr>
            <w:tcW w:w="1692" w:type="dxa"/>
            <w:tcBorders>
              <w:bottom w:val="single" w:sz="4" w:space="0" w:color="auto"/>
            </w:tcBorders>
            <w:shd w:val="clear" w:color="auto" w:fill="D9D9D9" w:themeFill="background1" w:themeFillShade="D9"/>
            <w:vAlign w:val="center"/>
          </w:tcPr>
          <w:p w14:paraId="5C0E9CFB" w14:textId="45DC01C4" w:rsidR="00DF4527" w:rsidRPr="0018142A" w:rsidRDefault="00110686" w:rsidP="00822E68">
            <w:pPr>
              <w:pStyle w:val="Bezodstpw"/>
              <w:jc w:val="center"/>
              <w:rPr>
                <w:rFonts w:ascii="Times New Roman" w:hAnsi="Times New Roman" w:cs="Times New Roman"/>
              </w:rPr>
            </w:pPr>
            <w:r w:rsidRPr="0018142A">
              <w:rPr>
                <w:rFonts w:ascii="Times New Roman" w:hAnsi="Times New Roman" w:cs="Times New Roman"/>
                <w:b/>
              </w:rPr>
              <w:t>Podmiot z</w:t>
            </w:r>
            <w:r w:rsidR="009753A3" w:rsidRPr="0018142A">
              <w:rPr>
                <w:rFonts w:ascii="Times New Roman" w:hAnsi="Times New Roman" w:cs="Times New Roman"/>
                <w:b/>
              </w:rPr>
              <w:t>głaszający</w:t>
            </w:r>
          </w:p>
        </w:tc>
        <w:tc>
          <w:tcPr>
            <w:tcW w:w="7535" w:type="dxa"/>
            <w:tcBorders>
              <w:bottom w:val="single" w:sz="4" w:space="0" w:color="auto"/>
            </w:tcBorders>
            <w:shd w:val="clear" w:color="auto" w:fill="D9D9D9" w:themeFill="background1" w:themeFillShade="D9"/>
            <w:vAlign w:val="center"/>
          </w:tcPr>
          <w:p w14:paraId="37A93FA5" w14:textId="0EBA8F04" w:rsidR="00DF4527" w:rsidRPr="0018142A" w:rsidRDefault="009753A3" w:rsidP="00822E68">
            <w:pPr>
              <w:pStyle w:val="Bezodstpw"/>
              <w:jc w:val="center"/>
              <w:rPr>
                <w:rFonts w:ascii="Times New Roman" w:hAnsi="Times New Roman" w:cs="Times New Roman"/>
              </w:rPr>
            </w:pPr>
            <w:r w:rsidRPr="0018142A">
              <w:rPr>
                <w:rFonts w:ascii="Times New Roman" w:hAnsi="Times New Roman" w:cs="Times New Roman"/>
                <w:b/>
              </w:rPr>
              <w:t>Treść uwagi</w:t>
            </w:r>
          </w:p>
        </w:tc>
        <w:tc>
          <w:tcPr>
            <w:tcW w:w="3941" w:type="dxa"/>
            <w:tcBorders>
              <w:bottom w:val="single" w:sz="4" w:space="0" w:color="auto"/>
            </w:tcBorders>
            <w:shd w:val="clear" w:color="auto" w:fill="D9D9D9" w:themeFill="background1" w:themeFillShade="D9"/>
            <w:vAlign w:val="center"/>
          </w:tcPr>
          <w:p w14:paraId="72FB7D72" w14:textId="243C8A95" w:rsidR="00DF4527" w:rsidRPr="0018142A" w:rsidRDefault="009753A3" w:rsidP="00822E68">
            <w:pPr>
              <w:pStyle w:val="Bezodstpw"/>
              <w:jc w:val="center"/>
              <w:rPr>
                <w:rFonts w:ascii="Times New Roman" w:hAnsi="Times New Roman" w:cs="Times New Roman"/>
              </w:rPr>
            </w:pPr>
            <w:r w:rsidRPr="0018142A">
              <w:rPr>
                <w:rFonts w:ascii="Times New Roman" w:hAnsi="Times New Roman" w:cs="Times New Roman"/>
                <w:b/>
              </w:rPr>
              <w:t>Stanowisko M</w:t>
            </w:r>
            <w:r w:rsidR="00110686" w:rsidRPr="0018142A">
              <w:rPr>
                <w:rFonts w:ascii="Times New Roman" w:hAnsi="Times New Roman" w:cs="Times New Roman"/>
                <w:b/>
              </w:rPr>
              <w:t>inistra Cyfryzacji</w:t>
            </w:r>
          </w:p>
        </w:tc>
      </w:tr>
      <w:tr w:rsidR="00396DAE" w:rsidRPr="00893C20" w14:paraId="1D586EC5" w14:textId="77777777" w:rsidTr="00396DAE">
        <w:trPr>
          <w:cantSplit/>
        </w:trPr>
        <w:tc>
          <w:tcPr>
            <w:tcW w:w="15163" w:type="dxa"/>
            <w:gridSpan w:val="5"/>
            <w:shd w:val="pct10" w:color="auto" w:fill="auto"/>
            <w:vAlign w:val="center"/>
          </w:tcPr>
          <w:p w14:paraId="1DA6A6C4" w14:textId="4E65B30B" w:rsidR="00396DAE" w:rsidRPr="0018142A" w:rsidRDefault="00396DAE" w:rsidP="00FB4350">
            <w:pPr>
              <w:spacing w:before="120" w:after="120"/>
              <w:jc w:val="center"/>
              <w:rPr>
                <w:b/>
                <w:bCs/>
                <w:sz w:val="22"/>
                <w:szCs w:val="22"/>
                <w:highlight w:val="green"/>
              </w:rPr>
            </w:pPr>
            <w:r w:rsidRPr="0018142A">
              <w:rPr>
                <w:b/>
                <w:bCs/>
                <w:sz w:val="22"/>
                <w:szCs w:val="22"/>
              </w:rPr>
              <w:t>UWAGI OGÓLNE DO PROJEKTU</w:t>
            </w:r>
          </w:p>
        </w:tc>
      </w:tr>
      <w:tr w:rsidR="00F2651F" w:rsidRPr="00893C20" w14:paraId="5C4BA031" w14:textId="77777777" w:rsidTr="0018142A">
        <w:trPr>
          <w:cantSplit/>
        </w:trPr>
        <w:tc>
          <w:tcPr>
            <w:tcW w:w="596" w:type="dxa"/>
            <w:tcBorders>
              <w:bottom w:val="single" w:sz="4" w:space="0" w:color="auto"/>
            </w:tcBorders>
            <w:vAlign w:val="center"/>
          </w:tcPr>
          <w:p w14:paraId="69C72FBD" w14:textId="43301CD9" w:rsidR="00F2651F" w:rsidRPr="0018142A" w:rsidRDefault="00F2651F" w:rsidP="00F2651F">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shd w:val="pct5" w:color="auto" w:fill="auto"/>
            <w:vAlign w:val="center"/>
          </w:tcPr>
          <w:p w14:paraId="197F681D" w14:textId="25FD681A" w:rsidR="00F2651F" w:rsidRPr="0018142A" w:rsidRDefault="00F2651F" w:rsidP="00F2651F">
            <w:pPr>
              <w:pStyle w:val="Bezodstpw"/>
              <w:jc w:val="center"/>
              <w:rPr>
                <w:rFonts w:ascii="Times New Roman" w:hAnsi="Times New Roman" w:cs="Times New Roman"/>
              </w:rPr>
            </w:pPr>
          </w:p>
        </w:tc>
        <w:tc>
          <w:tcPr>
            <w:tcW w:w="1692" w:type="dxa"/>
            <w:tcBorders>
              <w:bottom w:val="single" w:sz="4" w:space="0" w:color="auto"/>
            </w:tcBorders>
          </w:tcPr>
          <w:p w14:paraId="47C9DD14" w14:textId="273DD153" w:rsidR="00F2651F" w:rsidRPr="005D6380" w:rsidRDefault="00F2651F" w:rsidP="00F2651F">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9942310" w14:textId="4540510F" w:rsidR="00F2651F" w:rsidRPr="0018142A" w:rsidRDefault="00F2651F" w:rsidP="00142F55">
            <w:pPr>
              <w:ind w:left="-5"/>
              <w:jc w:val="both"/>
              <w:rPr>
                <w:sz w:val="22"/>
                <w:szCs w:val="22"/>
              </w:rPr>
            </w:pPr>
            <w:r w:rsidRPr="0018142A">
              <w:rPr>
                <w:sz w:val="22"/>
                <w:szCs w:val="22"/>
              </w:rPr>
              <w:t>Według wiedzy przedsiębiorców zrzeszonych w Izbie</w:t>
            </w:r>
            <w:r w:rsidRPr="0018142A">
              <w:rPr>
                <w:rFonts w:eastAsia="Calibri"/>
                <w:sz w:val="22"/>
                <w:szCs w:val="22"/>
              </w:rPr>
              <w:t xml:space="preserve">, </w:t>
            </w:r>
            <w:r w:rsidRPr="0018142A">
              <w:rPr>
                <w:sz w:val="22"/>
                <w:szCs w:val="22"/>
              </w:rPr>
              <w:t>pomimo obowiązywania rozporządzenia Rady Ministrów z dnia 20 stycznia 2012 r. w sprawie wymagań technicznych i eksploatacyjnych dla interfejsów umożliwiających wykonywanie zadań i obowiązków na rzecz obronności, bezpieczeństwa państwa oraz bezpieczeństwa i porządku publicznego</w:t>
            </w:r>
            <w:r w:rsidRPr="0018142A">
              <w:rPr>
                <w:rFonts w:eastAsia="Calibri"/>
                <w:b/>
                <w:sz w:val="22"/>
                <w:szCs w:val="22"/>
              </w:rPr>
              <w:t xml:space="preserve">, </w:t>
            </w:r>
            <w:r w:rsidRPr="0018142A">
              <w:rPr>
                <w:sz w:val="22"/>
                <w:szCs w:val="22"/>
              </w:rPr>
              <w:t>które przewidywało możliwość zastosowania interfejsu HI A</w:t>
            </w:r>
            <w:r w:rsidRPr="0018142A">
              <w:rPr>
                <w:rFonts w:eastAsia="Calibri"/>
                <w:sz w:val="22"/>
                <w:szCs w:val="22"/>
              </w:rPr>
              <w:t xml:space="preserve">-B </w:t>
            </w:r>
            <w:r w:rsidRPr="0018142A">
              <w:rPr>
                <w:sz w:val="22"/>
                <w:szCs w:val="22"/>
              </w:rPr>
              <w:t>ani uprawnione podmioty ani przedsiębiorcy telekomunikacyjni nie wdrożyli i nie wykorzystują w celu udostępniania danych określonych w art. 45 ust. 1 PKE zaproponowanego interfejsu. W ramach uzgodnień pomiędzy uprawnionymi podmiotami oraz przedsiębiorcami telekomunikacyjnymi zostały wyspecyfikowane i wdrożone zgodnie z aktualną wiedza techniczną i najlepszymi standardami systemy teleinformatyczne, które są wykorzystywane przez podmioty uprawnione do uzyskiwania dostępu do danych. Wobec powyższego Izba postuluje usunięcie z treści obu rozporządzeń przepisów referujących i definiujących ww. interfejsy.</w:t>
            </w:r>
            <w:r w:rsidR="004A2F4B">
              <w:rPr>
                <w:sz w:val="22"/>
                <w:szCs w:val="22"/>
              </w:rPr>
              <w:t xml:space="preserve"> </w:t>
            </w:r>
          </w:p>
          <w:p w14:paraId="1311E259" w14:textId="4F728EE8" w:rsidR="00F2651F" w:rsidRPr="0018142A" w:rsidRDefault="00F2651F" w:rsidP="00142F55">
            <w:pPr>
              <w:spacing w:before="120"/>
              <w:ind w:left="-6" w:right="5296"/>
              <w:jc w:val="both"/>
              <w:rPr>
                <w:sz w:val="22"/>
                <w:szCs w:val="22"/>
              </w:rPr>
            </w:pPr>
            <w:r w:rsidRPr="0018142A">
              <w:rPr>
                <w:rFonts w:eastAsia="Calibri"/>
                <w:sz w:val="22"/>
                <w:szCs w:val="22"/>
                <w:u w:val="single" w:color="000000"/>
              </w:rPr>
              <w:t>Propozycja PIIT:</w:t>
            </w:r>
            <w:r w:rsidR="004A2F4B">
              <w:rPr>
                <w:rFonts w:eastAsia="Calibri"/>
                <w:sz w:val="22"/>
                <w:szCs w:val="22"/>
              </w:rPr>
              <w:t xml:space="preserve"> </w:t>
            </w:r>
          </w:p>
          <w:p w14:paraId="2633191D" w14:textId="70BC3066" w:rsidR="00F2651F" w:rsidRPr="0018142A" w:rsidRDefault="00F2651F" w:rsidP="00142F55">
            <w:pPr>
              <w:ind w:left="-5"/>
              <w:jc w:val="both"/>
              <w:rPr>
                <w:sz w:val="22"/>
                <w:szCs w:val="22"/>
              </w:rPr>
            </w:pPr>
            <w:r w:rsidRPr="0018142A">
              <w:rPr>
                <w:rFonts w:eastAsia="Calibri"/>
                <w:sz w:val="22"/>
                <w:szCs w:val="22"/>
              </w:rPr>
              <w:t xml:space="preserve">- </w:t>
            </w:r>
            <w:r w:rsidRPr="0018142A">
              <w:rPr>
                <w:sz w:val="22"/>
                <w:szCs w:val="22"/>
              </w:rPr>
              <w:t>usunięcie przepisów definiujących interfejs HI A</w:t>
            </w:r>
            <w:r w:rsidRPr="0018142A">
              <w:rPr>
                <w:rFonts w:eastAsia="Calibri"/>
                <w:sz w:val="22"/>
                <w:szCs w:val="22"/>
              </w:rPr>
              <w:t>-</w:t>
            </w:r>
            <w:r w:rsidRPr="0018142A">
              <w:rPr>
                <w:sz w:val="22"/>
                <w:szCs w:val="22"/>
              </w:rPr>
              <w:t>B oraz referujących do tych interfejsów z treści obu przepisów rozporządzeń.</w:t>
            </w:r>
            <w:r w:rsidR="004A2F4B">
              <w:rPr>
                <w:sz w:val="22"/>
                <w:szCs w:val="22"/>
              </w:rPr>
              <w:t xml:space="preserve"> </w:t>
            </w:r>
          </w:p>
        </w:tc>
        <w:tc>
          <w:tcPr>
            <w:tcW w:w="3941" w:type="dxa"/>
            <w:tcBorders>
              <w:bottom w:val="single" w:sz="4" w:space="0" w:color="auto"/>
            </w:tcBorders>
          </w:tcPr>
          <w:p w14:paraId="6604BA18" w14:textId="77777777" w:rsidR="00F85964" w:rsidRPr="0018142A" w:rsidRDefault="00F85964"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5E6423BA" w14:textId="77777777" w:rsidR="00F85964" w:rsidRPr="0018142A" w:rsidRDefault="00F85964"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11574701" w14:textId="2C9B0869" w:rsidR="00F2651F" w:rsidRPr="0018142A" w:rsidRDefault="00F85964"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F2651F" w:rsidRPr="00893C20" w14:paraId="3909BC9D" w14:textId="77777777" w:rsidTr="0018142A">
        <w:trPr>
          <w:cantSplit/>
        </w:trPr>
        <w:tc>
          <w:tcPr>
            <w:tcW w:w="596" w:type="dxa"/>
            <w:tcBorders>
              <w:bottom w:val="single" w:sz="4" w:space="0" w:color="auto"/>
            </w:tcBorders>
            <w:vAlign w:val="center"/>
          </w:tcPr>
          <w:p w14:paraId="0385CFDC" w14:textId="77777777" w:rsidR="00F2651F" w:rsidRPr="0018142A" w:rsidRDefault="00F2651F" w:rsidP="00F2651F">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shd w:val="pct5" w:color="auto" w:fill="auto"/>
            <w:vAlign w:val="center"/>
          </w:tcPr>
          <w:p w14:paraId="3F83D1BC" w14:textId="77777777" w:rsidR="00F2651F" w:rsidRPr="0018142A" w:rsidRDefault="00F2651F" w:rsidP="00F2651F">
            <w:pPr>
              <w:pStyle w:val="Bezodstpw"/>
              <w:jc w:val="center"/>
              <w:rPr>
                <w:rFonts w:ascii="Times New Roman" w:hAnsi="Times New Roman" w:cs="Times New Roman"/>
              </w:rPr>
            </w:pPr>
          </w:p>
        </w:tc>
        <w:tc>
          <w:tcPr>
            <w:tcW w:w="1692" w:type="dxa"/>
            <w:tcBorders>
              <w:bottom w:val="single" w:sz="4" w:space="0" w:color="auto"/>
            </w:tcBorders>
          </w:tcPr>
          <w:p w14:paraId="3F11F695" w14:textId="7B1EC5BF" w:rsidR="00F2651F" w:rsidRPr="005D6380" w:rsidRDefault="00F2651F" w:rsidP="00F2651F">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2F2D9170" w14:textId="1B3F8DB4" w:rsidR="00F2651F" w:rsidRPr="0018142A" w:rsidRDefault="002C6980" w:rsidP="00142F55">
            <w:pPr>
              <w:ind w:left="-5"/>
              <w:jc w:val="both"/>
              <w:rPr>
                <w:sz w:val="22"/>
                <w:szCs w:val="22"/>
              </w:rPr>
            </w:pPr>
            <w:r>
              <w:rPr>
                <w:rFonts w:eastAsia="Calibri"/>
                <w:b/>
                <w:sz w:val="22"/>
                <w:szCs w:val="22"/>
              </w:rPr>
              <w:t>(</w:t>
            </w:r>
            <w:r w:rsidR="00F2651F" w:rsidRPr="0018142A">
              <w:rPr>
                <w:rFonts w:eastAsia="Calibri"/>
                <w:b/>
                <w:sz w:val="22"/>
                <w:szCs w:val="22"/>
              </w:rPr>
              <w:t>…</w:t>
            </w:r>
            <w:r>
              <w:rPr>
                <w:rFonts w:eastAsia="Calibri"/>
                <w:b/>
                <w:sz w:val="22"/>
                <w:szCs w:val="22"/>
              </w:rPr>
              <w:t>)</w:t>
            </w:r>
            <w:r w:rsidR="00F2651F" w:rsidRPr="0018142A">
              <w:rPr>
                <w:rFonts w:eastAsia="Calibri"/>
                <w:b/>
                <w:sz w:val="22"/>
                <w:szCs w:val="22"/>
              </w:rPr>
              <w:t xml:space="preserve"> zwracamy się z uprzejmą prośbą</w:t>
            </w:r>
            <w:r w:rsidR="00F2651F" w:rsidRPr="0018142A">
              <w:rPr>
                <w:rFonts w:eastAsia="Calibri"/>
                <w:sz w:val="22"/>
                <w:szCs w:val="22"/>
              </w:rPr>
              <w:t xml:space="preserve"> </w:t>
            </w:r>
            <w:r w:rsidR="00F2651F" w:rsidRPr="0018142A">
              <w:rPr>
                <w:rFonts w:eastAsia="Calibri"/>
                <w:b/>
                <w:sz w:val="22"/>
                <w:szCs w:val="22"/>
              </w:rPr>
              <w:t>o niezwłoczną organizację spotkania w formule warsztatowej</w:t>
            </w:r>
            <w:r w:rsidR="00F2651F" w:rsidRPr="0018142A">
              <w:rPr>
                <w:sz w:val="22"/>
                <w:szCs w:val="22"/>
              </w:rPr>
              <w:t xml:space="preserve">, które umożliwi wymianę wątpliwości </w:t>
            </w:r>
            <w:r w:rsidR="00F2651F" w:rsidRPr="0018142A">
              <w:rPr>
                <w:rFonts w:eastAsia="Calibri"/>
                <w:sz w:val="22"/>
                <w:szCs w:val="22"/>
              </w:rPr>
              <w:t xml:space="preserve">i </w:t>
            </w:r>
            <w:r w:rsidR="00F2651F" w:rsidRPr="0018142A">
              <w:rPr>
                <w:sz w:val="22"/>
                <w:szCs w:val="22"/>
              </w:rPr>
              <w:t xml:space="preserve">spostrzeżeń praktycznych dotyczących procesów opartych na projektowanych rozporządzeniach, pomiędzy przedstawicielami Ministerstwa Cyfryzacji odpowiedzialnymi za proponowane rozporządzenia, przedstawicielami upoważnionych służb, w tym prokuratury, które są odbiorcami danych oraz ekspertami z zakresu bezpieczeństwa usług telekomunikacyjnych. Liczymy, że dyskusja uwzględniająca wskazanie oczekiwań, co do procesu ze strony administracji publicznej oraz wiedzę ekspercką przedstawicieli sektora telekomunikacyjnego, co do możliwości technicznych i obsługowych przedsiębiorców, umożliwi wypracowanie projektów rozporządzeń, których przepisy będą możliwe do </w:t>
            </w:r>
            <w:r w:rsidR="00F2651F" w:rsidRPr="0018142A">
              <w:rPr>
                <w:rFonts w:eastAsia="Calibri"/>
                <w:sz w:val="22"/>
                <w:szCs w:val="22"/>
              </w:rPr>
              <w:t>realizacji.</w:t>
            </w:r>
            <w:r w:rsidR="004A2F4B">
              <w:rPr>
                <w:rFonts w:eastAsia="Calibri"/>
                <w:sz w:val="22"/>
                <w:szCs w:val="22"/>
              </w:rPr>
              <w:t xml:space="preserve"> </w:t>
            </w:r>
          </w:p>
        </w:tc>
        <w:tc>
          <w:tcPr>
            <w:tcW w:w="3941" w:type="dxa"/>
            <w:tcBorders>
              <w:bottom w:val="single" w:sz="4" w:space="0" w:color="auto"/>
            </w:tcBorders>
          </w:tcPr>
          <w:p w14:paraId="036150E4" w14:textId="30298B18" w:rsidR="00F2651F" w:rsidRPr="0018142A" w:rsidRDefault="00903D65"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uwzględniona</w:t>
            </w:r>
          </w:p>
          <w:p w14:paraId="02315154" w14:textId="1B5CE30C" w:rsidR="0026503B" w:rsidRPr="0018142A" w:rsidRDefault="00125604" w:rsidP="0018142A">
            <w:pPr>
              <w:pStyle w:val="Bezodstpw"/>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Projektodawca</w:t>
            </w:r>
            <w:r w:rsidR="0026503B" w:rsidRPr="0018142A">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z</w:t>
            </w:r>
            <w:r w:rsidR="00F85964" w:rsidRPr="0018142A">
              <w:rPr>
                <w:rFonts w:ascii="Times New Roman" w:eastAsia="Times New Roman" w:hAnsi="Times New Roman" w:cs="Times New Roman"/>
                <w:lang w:eastAsia="pl-PL"/>
              </w:rPr>
              <w:t>organizował</w:t>
            </w:r>
            <w:r w:rsidR="0026503B" w:rsidRPr="0018142A">
              <w:rPr>
                <w:rFonts w:ascii="Times New Roman" w:eastAsia="Times New Roman" w:hAnsi="Times New Roman" w:cs="Times New Roman"/>
                <w:lang w:eastAsia="pl-PL"/>
              </w:rPr>
              <w:t xml:space="preserve"> spotkani</w:t>
            </w:r>
            <w:r>
              <w:rPr>
                <w:rFonts w:ascii="Times New Roman" w:eastAsia="Times New Roman" w:hAnsi="Times New Roman" w:cs="Times New Roman"/>
                <w:lang w:eastAsia="pl-PL"/>
              </w:rPr>
              <w:t>e</w:t>
            </w:r>
            <w:r w:rsidR="0026503B" w:rsidRPr="0018142A">
              <w:rPr>
                <w:rFonts w:ascii="Times New Roman" w:eastAsia="Times New Roman" w:hAnsi="Times New Roman" w:cs="Times New Roman"/>
                <w:lang w:eastAsia="pl-PL"/>
              </w:rPr>
              <w:t xml:space="preserve"> </w:t>
            </w:r>
            <w:r w:rsidR="00F85964" w:rsidRPr="0018142A">
              <w:rPr>
                <w:rFonts w:ascii="Times New Roman" w:eastAsia="Times New Roman" w:hAnsi="Times New Roman" w:cs="Times New Roman"/>
                <w:lang w:eastAsia="pl-PL"/>
              </w:rPr>
              <w:t>w</w:t>
            </w:r>
            <w:r>
              <w:rPr>
                <w:rFonts w:ascii="Times New Roman" w:eastAsia="Times New Roman" w:hAnsi="Times New Roman" w:cs="Times New Roman"/>
                <w:lang w:eastAsia="pl-PL"/>
              </w:rPr>
              <w:t> </w:t>
            </w:r>
            <w:r w:rsidR="00F85964" w:rsidRPr="0018142A">
              <w:rPr>
                <w:rFonts w:ascii="Times New Roman" w:eastAsia="Times New Roman" w:hAnsi="Times New Roman" w:cs="Times New Roman"/>
                <w:lang w:eastAsia="pl-PL"/>
              </w:rPr>
              <w:t xml:space="preserve">formie warsztatów </w:t>
            </w:r>
            <w:r w:rsidR="004B12F0" w:rsidRPr="0018142A">
              <w:rPr>
                <w:rFonts w:ascii="Times New Roman" w:eastAsia="Times New Roman" w:hAnsi="Times New Roman" w:cs="Times New Roman"/>
                <w:lang w:eastAsia="pl-PL"/>
              </w:rPr>
              <w:t>z</w:t>
            </w:r>
            <w:r w:rsidR="004A2F4B">
              <w:rPr>
                <w:rFonts w:ascii="Times New Roman" w:eastAsia="Times New Roman" w:hAnsi="Times New Roman" w:cs="Times New Roman"/>
                <w:lang w:eastAsia="pl-PL"/>
              </w:rPr>
              <w:t xml:space="preserve"> </w:t>
            </w:r>
            <w:r w:rsidR="004B12F0" w:rsidRPr="0018142A">
              <w:rPr>
                <w:rFonts w:ascii="Times New Roman" w:eastAsia="Times New Roman" w:hAnsi="Times New Roman" w:cs="Times New Roman"/>
                <w:lang w:eastAsia="pl-PL"/>
              </w:rPr>
              <w:t>udziałem przedstawicieli uprawnionych podmiotów i</w:t>
            </w:r>
            <w:r w:rsidR="004A2F4B">
              <w:rPr>
                <w:rFonts w:ascii="Times New Roman" w:eastAsia="Times New Roman" w:hAnsi="Times New Roman" w:cs="Times New Roman"/>
                <w:lang w:eastAsia="pl-PL"/>
              </w:rPr>
              <w:t xml:space="preserve"> </w:t>
            </w:r>
            <w:r w:rsidR="004B12F0" w:rsidRPr="0018142A">
              <w:rPr>
                <w:rFonts w:ascii="Times New Roman" w:eastAsia="Times New Roman" w:hAnsi="Times New Roman" w:cs="Times New Roman"/>
                <w:lang w:eastAsia="pl-PL"/>
              </w:rPr>
              <w:t>przedsiębiorców telekomunikacyjnych</w:t>
            </w:r>
            <w:r w:rsidR="002D7742">
              <w:rPr>
                <w:rFonts w:ascii="Times New Roman" w:eastAsia="Times New Roman" w:hAnsi="Times New Roman" w:cs="Times New Roman"/>
                <w:lang w:eastAsia="pl-PL"/>
              </w:rPr>
              <w:t>, w tym z Polską Izbą Informatyki i</w:t>
            </w:r>
            <w:r w:rsidR="0018142A">
              <w:rPr>
                <w:rFonts w:ascii="Times New Roman" w:eastAsia="Times New Roman" w:hAnsi="Times New Roman" w:cs="Times New Roman"/>
                <w:lang w:eastAsia="pl-PL"/>
              </w:rPr>
              <w:t> </w:t>
            </w:r>
            <w:r w:rsidR="002D7742">
              <w:rPr>
                <w:rFonts w:ascii="Times New Roman" w:eastAsia="Times New Roman" w:hAnsi="Times New Roman" w:cs="Times New Roman"/>
                <w:lang w:eastAsia="pl-PL"/>
              </w:rPr>
              <w:t>Telekomunikacji</w:t>
            </w:r>
            <w:r w:rsidR="004B12F0" w:rsidRPr="0018142A">
              <w:rPr>
                <w:rFonts w:ascii="Times New Roman" w:eastAsia="Times New Roman" w:hAnsi="Times New Roman" w:cs="Times New Roman"/>
                <w:lang w:eastAsia="pl-PL"/>
              </w:rPr>
              <w:t xml:space="preserve"> </w:t>
            </w:r>
            <w:r w:rsidR="0026503B" w:rsidRPr="0018142A">
              <w:rPr>
                <w:rFonts w:ascii="Times New Roman" w:eastAsia="Times New Roman" w:hAnsi="Times New Roman" w:cs="Times New Roman"/>
                <w:lang w:eastAsia="pl-PL"/>
              </w:rPr>
              <w:t>celem wyjaśnienia wszystkich uwag i</w:t>
            </w:r>
            <w:r>
              <w:rPr>
                <w:rFonts w:ascii="Times New Roman" w:eastAsia="Times New Roman" w:hAnsi="Times New Roman" w:cs="Times New Roman"/>
                <w:lang w:eastAsia="pl-PL"/>
              </w:rPr>
              <w:t> </w:t>
            </w:r>
            <w:r w:rsidR="0026503B" w:rsidRPr="0018142A">
              <w:rPr>
                <w:rFonts w:ascii="Times New Roman" w:eastAsia="Times New Roman" w:hAnsi="Times New Roman" w:cs="Times New Roman"/>
                <w:lang w:eastAsia="pl-PL"/>
              </w:rPr>
              <w:t>wątpliwości</w:t>
            </w:r>
            <w:r w:rsidR="005D6380">
              <w:rPr>
                <w:rFonts w:ascii="Times New Roman" w:eastAsia="Times New Roman" w:hAnsi="Times New Roman" w:cs="Times New Roman"/>
                <w:lang w:eastAsia="pl-PL"/>
              </w:rPr>
              <w:t>.</w:t>
            </w:r>
          </w:p>
        </w:tc>
      </w:tr>
      <w:tr w:rsidR="00396DAE" w:rsidRPr="00893C20" w14:paraId="7385FCD3" w14:textId="77777777" w:rsidTr="00396DAE">
        <w:trPr>
          <w:cantSplit/>
        </w:trPr>
        <w:tc>
          <w:tcPr>
            <w:tcW w:w="15163" w:type="dxa"/>
            <w:gridSpan w:val="5"/>
            <w:shd w:val="pct10" w:color="auto" w:fill="auto"/>
            <w:vAlign w:val="center"/>
          </w:tcPr>
          <w:p w14:paraId="2A289FC4" w14:textId="6C5A881C" w:rsidR="00396DAE" w:rsidRPr="005D6380" w:rsidRDefault="00396DAE" w:rsidP="008978B5">
            <w:pPr>
              <w:pStyle w:val="Bezodstpw"/>
              <w:spacing w:before="120" w:after="120"/>
              <w:jc w:val="center"/>
              <w:rPr>
                <w:rFonts w:ascii="Times New Roman" w:hAnsi="Times New Roman" w:cs="Times New Roman"/>
                <w:b/>
                <w:bCs/>
              </w:rPr>
            </w:pPr>
            <w:r w:rsidRPr="005D6380">
              <w:rPr>
                <w:rFonts w:ascii="Times New Roman" w:hAnsi="Times New Roman" w:cs="Times New Roman"/>
                <w:b/>
                <w:bCs/>
              </w:rPr>
              <w:t>UWAGI SZCZEGÓŁOWE DO PROJEKTU</w:t>
            </w:r>
            <w:r w:rsidR="0026503B" w:rsidRPr="005D6380">
              <w:rPr>
                <w:rFonts w:ascii="Times New Roman" w:hAnsi="Times New Roman" w:cs="Times New Roman"/>
                <w:b/>
                <w:bCs/>
              </w:rPr>
              <w:t xml:space="preserve"> / ZAŁĄCZNIKA</w:t>
            </w:r>
          </w:p>
        </w:tc>
      </w:tr>
      <w:tr w:rsidR="00DA4915" w:rsidRPr="00893C20" w14:paraId="309D44B7" w14:textId="77777777" w:rsidTr="0018142A">
        <w:tc>
          <w:tcPr>
            <w:tcW w:w="596" w:type="dxa"/>
            <w:tcBorders>
              <w:bottom w:val="single" w:sz="4" w:space="0" w:color="auto"/>
            </w:tcBorders>
            <w:vAlign w:val="center"/>
          </w:tcPr>
          <w:p w14:paraId="2C75960A" w14:textId="77777777" w:rsidR="00DA4915" w:rsidRPr="0018142A" w:rsidRDefault="00DA4915" w:rsidP="00DA491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3609D30D" w14:textId="70CE0E5C" w:rsidR="00DA4915" w:rsidRPr="0018142A" w:rsidRDefault="00DA4915" w:rsidP="005D26E1">
            <w:pPr>
              <w:pStyle w:val="Bezodstpw"/>
              <w:jc w:val="center"/>
              <w:rPr>
                <w:rFonts w:ascii="Times New Roman" w:hAnsi="Times New Roman" w:cs="Times New Roman"/>
              </w:rPr>
            </w:pPr>
            <w:r w:rsidRPr="0018142A">
              <w:rPr>
                <w:rFonts w:ascii="Times New Roman" w:hAnsi="Times New Roman" w:cs="Times New Roman"/>
              </w:rPr>
              <w:t>§ 2</w:t>
            </w:r>
          </w:p>
        </w:tc>
        <w:tc>
          <w:tcPr>
            <w:tcW w:w="1692" w:type="dxa"/>
            <w:tcBorders>
              <w:bottom w:val="single" w:sz="4" w:space="0" w:color="auto"/>
            </w:tcBorders>
          </w:tcPr>
          <w:p w14:paraId="31F27643" w14:textId="61384456" w:rsidR="00DA4915" w:rsidRPr="005D6380" w:rsidRDefault="00DA4915" w:rsidP="00DA491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6A28B88" w14:textId="17D705D9" w:rsidR="00DA4915" w:rsidRPr="0018142A" w:rsidRDefault="00DA4915" w:rsidP="00142F55">
            <w:pPr>
              <w:spacing w:after="120"/>
              <w:ind w:left="-5"/>
              <w:jc w:val="both"/>
              <w:rPr>
                <w:sz w:val="22"/>
                <w:szCs w:val="22"/>
              </w:rPr>
            </w:pPr>
            <w:r w:rsidRPr="0018142A">
              <w:rPr>
                <w:sz w:val="22"/>
                <w:szCs w:val="22"/>
              </w:rPr>
              <w:t xml:space="preserve">Pragniemy zauważyć, że w przypadku braku uwzględnienia zgłaszanych uwag określony w </w:t>
            </w:r>
            <w:r w:rsidRPr="0018142A">
              <w:rPr>
                <w:rFonts w:eastAsia="Calibri"/>
                <w:i/>
                <w:sz w:val="22"/>
                <w:szCs w:val="22"/>
              </w:rPr>
              <w:t xml:space="preserve">§ 13 </w:t>
            </w:r>
            <w:r w:rsidRPr="0018142A">
              <w:rPr>
                <w:rFonts w:eastAsia="Calibri"/>
                <w:sz w:val="22"/>
                <w:szCs w:val="22"/>
              </w:rPr>
              <w:t xml:space="preserve">projektu </w:t>
            </w:r>
            <w:r w:rsidRPr="0018142A">
              <w:rPr>
                <w:sz w:val="22"/>
                <w:szCs w:val="22"/>
              </w:rPr>
              <w:t>rozporządzenia Rady Ministrów w sprawie zapewnienia przez przedsiębiorcę telekomunikacyjnego warunków dostępu i utrwalania oraz przygotowania technicznych i organizacyjnych warunków udostępniania danych (RD 217) oraz</w:t>
            </w:r>
            <w:r w:rsidRPr="0018142A">
              <w:rPr>
                <w:rFonts w:eastAsia="Calibri"/>
                <w:i/>
                <w:sz w:val="22"/>
                <w:szCs w:val="22"/>
              </w:rPr>
              <w:t xml:space="preserve"> § 2 </w:t>
            </w:r>
            <w:r w:rsidRPr="0018142A">
              <w:rPr>
                <w:sz w:val="22"/>
                <w:szCs w:val="22"/>
              </w:rPr>
              <w:t>projektu rozporządzenia Rady Ministrów w sprawie wymagań technicznych i eksploatacyjnych dla interfejsów (RD215) odpowiednio 3 miesięczny oraz 14</w:t>
            </w:r>
            <w:r w:rsidRPr="0018142A">
              <w:rPr>
                <w:rFonts w:eastAsia="Calibri"/>
                <w:sz w:val="22"/>
                <w:szCs w:val="22"/>
              </w:rPr>
              <w:t xml:space="preserve">-dniowy </w:t>
            </w:r>
            <w:r w:rsidRPr="0018142A">
              <w:rPr>
                <w:sz w:val="22"/>
                <w:szCs w:val="22"/>
              </w:rPr>
              <w:t xml:space="preserve">okres vacatio legis jest terminem zbyt krótkim, niemożliwym do realizacji z perspektywy ewentualnej konieczności modyfikacji obecnie funkcjonujących rozwiązań teleinformatycznych po stronie uprawnionych podmiotów jak również przedsiębiorców telekomunikacyjnych. Termin ten jest niemożliwy do zachowania chociażby z uwagi na konieczność obowiązkowej certyfikacji bezpieczeństwa teleinformatycznego nowo wdrażanego systemu, który jak w przypadku rozwiązań wykorzystywanych przy zapewnieniu warunków dostępu i utrwalania, przetwarzają informacje niejawne, nie wspomniawszy o innych aspektach procesu wdrożeń IT takich jak proces projektowania, zakupu </w:t>
            </w:r>
            <w:r w:rsidRPr="0018142A">
              <w:rPr>
                <w:rFonts w:eastAsia="Calibri"/>
                <w:sz w:val="22"/>
                <w:szCs w:val="22"/>
              </w:rPr>
              <w:t xml:space="preserve">i </w:t>
            </w:r>
            <w:r w:rsidRPr="0018142A">
              <w:rPr>
                <w:sz w:val="22"/>
                <w:szCs w:val="22"/>
              </w:rPr>
              <w:t>testowania rozwiązań.</w:t>
            </w:r>
            <w:r w:rsidR="004A2F4B">
              <w:rPr>
                <w:sz w:val="22"/>
                <w:szCs w:val="22"/>
              </w:rPr>
              <w:t xml:space="preserve"> </w:t>
            </w:r>
            <w:r w:rsidRPr="0018142A">
              <w:rPr>
                <w:rFonts w:eastAsia="Calibri"/>
                <w:sz w:val="22"/>
                <w:szCs w:val="22"/>
              </w:rPr>
              <w:t xml:space="preserve"> </w:t>
            </w:r>
          </w:p>
          <w:p w14:paraId="64CFB6A6" w14:textId="3AC2D57C" w:rsidR="00DA4915" w:rsidRPr="0018142A" w:rsidRDefault="00DA4915" w:rsidP="00142F55">
            <w:pPr>
              <w:spacing w:after="120"/>
              <w:ind w:left="-5"/>
              <w:jc w:val="both"/>
              <w:rPr>
                <w:sz w:val="22"/>
                <w:szCs w:val="22"/>
              </w:rPr>
            </w:pPr>
            <w:r w:rsidRPr="0018142A">
              <w:rPr>
                <w:sz w:val="22"/>
                <w:szCs w:val="22"/>
              </w:rPr>
              <w:t>W ocenie Izby termin wejścia w życie rozporządzeń nie powinien być wcześniejszy niż termin</w:t>
            </w:r>
            <w:r w:rsidRPr="0018142A">
              <w:rPr>
                <w:rFonts w:eastAsia="Calibri"/>
                <w:sz w:val="22"/>
                <w:szCs w:val="22"/>
              </w:rPr>
              <w:t xml:space="preserve"> </w:t>
            </w:r>
            <w:r w:rsidRPr="0018142A">
              <w:rPr>
                <w:sz w:val="22"/>
                <w:szCs w:val="22"/>
              </w:rPr>
              <w:t xml:space="preserve">11 listopada 2026 r. i w zależności od ostatecznego kształtu projektowanych zmian i uwzględniania zgłaszanych w toku prac uwag odpowiednio dostosowany przy uwzględnieniu zakresu wymaganych </w:t>
            </w:r>
            <w:r w:rsidRPr="0018142A">
              <w:rPr>
                <w:rFonts w:eastAsia="Calibri"/>
                <w:sz w:val="22"/>
                <w:szCs w:val="22"/>
              </w:rPr>
              <w:t xml:space="preserve">modyfikacji. </w:t>
            </w:r>
          </w:p>
          <w:p w14:paraId="0F9EDAC5" w14:textId="77777777" w:rsidR="00DA4915" w:rsidRPr="0018142A" w:rsidRDefault="00DA4915" w:rsidP="00142F55">
            <w:pPr>
              <w:spacing w:after="120"/>
              <w:ind w:left="-5"/>
              <w:jc w:val="both"/>
              <w:rPr>
                <w:sz w:val="22"/>
                <w:szCs w:val="22"/>
              </w:rPr>
            </w:pPr>
            <w:r w:rsidRPr="0018142A">
              <w:rPr>
                <w:sz w:val="22"/>
                <w:szCs w:val="22"/>
              </w:rPr>
              <w:t xml:space="preserve">W przypadku przyjęcia rozporządzenia w obecnym kształcie spełnienie w terminie do 11 listopada </w:t>
            </w:r>
            <w:r w:rsidRPr="0018142A">
              <w:rPr>
                <w:rFonts w:eastAsia="Calibri"/>
                <w:sz w:val="22"/>
                <w:szCs w:val="22"/>
              </w:rPr>
              <w:t xml:space="preserve">2026 </w:t>
            </w:r>
            <w:r w:rsidRPr="0018142A">
              <w:rPr>
                <w:sz w:val="22"/>
                <w:szCs w:val="22"/>
              </w:rPr>
              <w:t>r. wymagań technicznych i</w:t>
            </w:r>
            <w:r w:rsidRPr="0018142A">
              <w:rPr>
                <w:rFonts w:eastAsia="Calibri"/>
                <w:sz w:val="22"/>
                <w:szCs w:val="22"/>
              </w:rPr>
              <w:t xml:space="preserve"> </w:t>
            </w:r>
            <w:r w:rsidRPr="0018142A">
              <w:rPr>
                <w:sz w:val="22"/>
                <w:szCs w:val="22"/>
              </w:rPr>
              <w:t>eksploatacyjnych dla interfejsów określonych w załączniku do projektu rozporządzenia w sprawie wymagań technicznych i eksploatacyjnych dla interfejsów (RD215) jest obecnie już niemożliwe. Projekt rozporządzenia modyfikuje i wprowadza wersje nowszych norm, jednocześnie podkreślając, że „</w:t>
            </w:r>
            <w:r w:rsidRPr="0018142A">
              <w:rPr>
                <w:rFonts w:eastAsia="Calibri"/>
                <w:i/>
                <w:sz w:val="22"/>
                <w:szCs w:val="22"/>
              </w:rPr>
              <w:t>Wymagania techniczne i eksploatacyjne określone w załączniku do rozporządzenia uznaje się za spełnione, gdy interfejsy są zgodne z normami i dokumentami, o których mowa w pkt 2 załącznika, w zakresie wskazanym w załączniku</w:t>
            </w:r>
            <w:r w:rsidRPr="0018142A">
              <w:rPr>
                <w:sz w:val="22"/>
                <w:szCs w:val="22"/>
              </w:rPr>
              <w:t>”.</w:t>
            </w:r>
            <w:r w:rsidRPr="0018142A">
              <w:rPr>
                <w:rFonts w:eastAsia="Calibri"/>
                <w:sz w:val="22"/>
                <w:szCs w:val="22"/>
              </w:rPr>
              <w:t xml:space="preserve"> </w:t>
            </w:r>
          </w:p>
          <w:p w14:paraId="5C3B7096" w14:textId="6592E841" w:rsidR="00DA4915" w:rsidRPr="0018142A" w:rsidRDefault="00DA4915" w:rsidP="00142F55">
            <w:pPr>
              <w:spacing w:after="120"/>
              <w:jc w:val="both"/>
              <w:rPr>
                <w:sz w:val="22"/>
                <w:szCs w:val="22"/>
              </w:rPr>
            </w:pPr>
            <w:r w:rsidRPr="0018142A">
              <w:rPr>
                <w:rFonts w:eastAsia="Calibri"/>
                <w:sz w:val="22"/>
                <w:szCs w:val="22"/>
              </w:rPr>
              <w:t xml:space="preserve"> </w:t>
            </w:r>
            <w:r w:rsidRPr="0018142A">
              <w:rPr>
                <w:sz w:val="22"/>
                <w:szCs w:val="22"/>
              </w:rPr>
              <w:t xml:space="preserve">W praktyce, aby zdążyć w tym terminie przedsiębiorcy powinni zamykać projekty wdrożeniowe </w:t>
            </w:r>
            <w:r w:rsidRPr="0018142A">
              <w:rPr>
                <w:rFonts w:eastAsia="Calibri"/>
                <w:sz w:val="22"/>
                <w:szCs w:val="22"/>
              </w:rPr>
              <w:t xml:space="preserve">i </w:t>
            </w:r>
            <w:r w:rsidRPr="0018142A">
              <w:rPr>
                <w:sz w:val="22"/>
                <w:szCs w:val="22"/>
              </w:rPr>
              <w:t xml:space="preserve">rozpoczynać obowiązkową certyfikację bezpieczeństwa teleinformatycznego nowo wdrażanego systemu (która na bazie dotychczasowych doświadczeń średnio może zająć ok. 12 miesięcy). Na chwilę obecną nie ma jednak ostatecznego kształtu rozporządzania (a więc brak pewności prawnej), nie zostały </w:t>
            </w:r>
            <w:r w:rsidRPr="0018142A">
              <w:rPr>
                <w:rFonts w:eastAsia="Calibri"/>
                <w:sz w:val="22"/>
                <w:szCs w:val="22"/>
              </w:rPr>
              <w:t xml:space="preserve">uruchomione projekty implementacyjne, </w:t>
            </w:r>
            <w:r w:rsidRPr="0018142A">
              <w:rPr>
                <w:sz w:val="22"/>
                <w:szCs w:val="22"/>
              </w:rPr>
              <w:t xml:space="preserve">a także zabezpieczone środki na ich wdrożenie, nie zostały przenegocjowane umowy z podmiotami uprawnionymi w zakresie podniesionych wymagań technicznych i eksploatacyjnych. Z tych z tych względów jako Izba repezentująca największych przedsiębiorców telekomunikacyjnych kategorycznie wskazujemy, iż nie jest już możliwe wdrożenie </w:t>
            </w:r>
            <w:r w:rsidRPr="0018142A">
              <w:rPr>
                <w:sz w:val="22"/>
                <w:szCs w:val="22"/>
              </w:rPr>
              <w:lastRenderedPageBreak/>
              <w:t>podniesionych wymagań technicznych i</w:t>
            </w:r>
            <w:r w:rsidRPr="0018142A">
              <w:rPr>
                <w:rFonts w:eastAsia="Calibri"/>
                <w:sz w:val="22"/>
                <w:szCs w:val="22"/>
              </w:rPr>
              <w:t xml:space="preserve"> </w:t>
            </w:r>
            <w:r w:rsidRPr="0018142A">
              <w:rPr>
                <w:sz w:val="22"/>
                <w:szCs w:val="22"/>
              </w:rPr>
              <w:t>eksploatacyjnych dla interfejsów na 11 listopada 2026 r.</w:t>
            </w:r>
            <w:r w:rsidR="004A2F4B">
              <w:rPr>
                <w:sz w:val="22"/>
                <w:szCs w:val="22"/>
              </w:rPr>
              <w:t xml:space="preserve"> </w:t>
            </w:r>
          </w:p>
          <w:p w14:paraId="3DAFA854" w14:textId="6F5B0D18" w:rsidR="00DA4915" w:rsidRPr="0018142A" w:rsidRDefault="00DA4915" w:rsidP="00142F55">
            <w:pPr>
              <w:spacing w:after="100"/>
              <w:jc w:val="both"/>
              <w:rPr>
                <w:sz w:val="22"/>
                <w:szCs w:val="22"/>
              </w:rPr>
            </w:pPr>
            <w:r w:rsidRPr="0018142A">
              <w:rPr>
                <w:sz w:val="22"/>
                <w:szCs w:val="22"/>
              </w:rPr>
              <w:t>Ponadto wejście w życie rozporządzenia w przedstawionym kształcie może pozbawić uprawnione podmioty możliwości prowadzenia kontroli operacyjnej z uwagi na brak certyfikacji i spełnienia wymagań technicznych i eksploatacyjnych dla interfejsów, w konsekwencji może nawet doprowadzić do podważania dowodów operacyjnych przed sądem.</w:t>
            </w:r>
          </w:p>
        </w:tc>
        <w:tc>
          <w:tcPr>
            <w:tcW w:w="3941" w:type="dxa"/>
            <w:tcBorders>
              <w:bottom w:val="single" w:sz="4" w:space="0" w:color="auto"/>
            </w:tcBorders>
          </w:tcPr>
          <w:p w14:paraId="64080FB7" w14:textId="77777777" w:rsidR="00F85964" w:rsidRPr="0018142A" w:rsidRDefault="00F85964"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uwzględniona</w:t>
            </w:r>
          </w:p>
          <w:p w14:paraId="244FD079" w14:textId="0400F3B6" w:rsidR="00F85964"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 xml:space="preserve">W </w:t>
            </w:r>
            <w:r w:rsidRPr="00DD56AD">
              <w:rPr>
                <w:rFonts w:ascii="Times New Roman" w:hAnsi="Times New Roman" w:cs="Times New Roman"/>
              </w:rPr>
              <w:t xml:space="preserve">przypadku </w:t>
            </w:r>
            <w:r w:rsidR="00DD56AD" w:rsidRPr="00DD56AD">
              <w:rPr>
                <w:rFonts w:ascii="Times New Roman" w:hAnsi="Times New Roman" w:cs="Times New Roman"/>
              </w:rPr>
              <w:t xml:space="preserve">projektu </w:t>
            </w:r>
            <w:r w:rsidR="00667993" w:rsidRPr="00DD56AD">
              <w:rPr>
                <w:rFonts w:ascii="Times New Roman" w:hAnsi="Times New Roman" w:cs="Times New Roman"/>
              </w:rPr>
              <w:t xml:space="preserve">rozporządzenia </w:t>
            </w:r>
            <w:r w:rsidR="00DD56AD" w:rsidRPr="008978B5">
              <w:rPr>
                <w:rFonts w:ascii="Times New Roman" w:hAnsi="Times New Roman" w:cs="Times New Roman"/>
              </w:rPr>
              <w:t>Rady Ministrów w sprawie zapewnienia przez przedsiębiorcę telekomunikacyjnego warunków dostępu i utrwalania oraz przygotowania technicznych i organizacyjnych warunków udostępniania danych (RD 217</w:t>
            </w:r>
            <w:r w:rsidR="00DD56AD" w:rsidRPr="0018142A">
              <w:t>)</w:t>
            </w:r>
            <w:r w:rsidRPr="0018142A">
              <w:rPr>
                <w:rFonts w:ascii="Times New Roman" w:hAnsi="Times New Roman" w:cs="Times New Roman"/>
              </w:rPr>
              <w:t xml:space="preserve"> przewidywany termin wejścia w</w:t>
            </w:r>
            <w:r w:rsidR="00125604">
              <w:rPr>
                <w:rFonts w:ascii="Times New Roman" w:hAnsi="Times New Roman" w:cs="Times New Roman"/>
              </w:rPr>
              <w:t> </w:t>
            </w:r>
            <w:r w:rsidRPr="0018142A">
              <w:rPr>
                <w:rFonts w:ascii="Times New Roman" w:hAnsi="Times New Roman" w:cs="Times New Roman"/>
              </w:rPr>
              <w:t xml:space="preserve">życie to </w:t>
            </w:r>
            <w:r w:rsidR="005D6380">
              <w:rPr>
                <w:rFonts w:ascii="Times New Roman" w:hAnsi="Times New Roman" w:cs="Times New Roman"/>
              </w:rPr>
              <w:t xml:space="preserve">dzień </w:t>
            </w:r>
            <w:r w:rsidRPr="0018142A">
              <w:rPr>
                <w:rFonts w:ascii="Times New Roman" w:hAnsi="Times New Roman" w:cs="Times New Roman"/>
              </w:rPr>
              <w:t>1 listopada 2026 r.</w:t>
            </w:r>
          </w:p>
          <w:p w14:paraId="5BA91295" w14:textId="0831E76A" w:rsidR="00F85964"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 xml:space="preserve">W przypadku </w:t>
            </w:r>
            <w:r w:rsidR="00DD56AD">
              <w:rPr>
                <w:rFonts w:ascii="Times New Roman" w:hAnsi="Times New Roman" w:cs="Times New Roman"/>
              </w:rPr>
              <w:t xml:space="preserve">przedmiotowego projektu </w:t>
            </w:r>
            <w:r w:rsidRPr="0018142A">
              <w:rPr>
                <w:rFonts w:ascii="Times New Roman" w:hAnsi="Times New Roman" w:cs="Times New Roman"/>
              </w:rPr>
              <w:t xml:space="preserve">rozporządzenia z termin wejścia w życie </w:t>
            </w:r>
            <w:r w:rsidR="005D6380">
              <w:rPr>
                <w:rFonts w:ascii="Times New Roman" w:hAnsi="Times New Roman" w:cs="Times New Roman"/>
              </w:rPr>
              <w:t xml:space="preserve">to </w:t>
            </w:r>
            <w:r w:rsidRPr="0018142A">
              <w:rPr>
                <w:rFonts w:ascii="Times New Roman" w:hAnsi="Times New Roman" w:cs="Times New Roman"/>
              </w:rPr>
              <w:t xml:space="preserve">również </w:t>
            </w:r>
            <w:r w:rsidR="005D6380">
              <w:rPr>
                <w:rFonts w:ascii="Times New Roman" w:hAnsi="Times New Roman" w:cs="Times New Roman"/>
              </w:rPr>
              <w:t>dzień</w:t>
            </w:r>
            <w:r w:rsidRPr="0018142A">
              <w:rPr>
                <w:rFonts w:ascii="Times New Roman" w:hAnsi="Times New Roman" w:cs="Times New Roman"/>
              </w:rPr>
              <w:t xml:space="preserve"> 1 listopada 2026</w:t>
            </w:r>
            <w:r w:rsidR="005D6380">
              <w:rPr>
                <w:rFonts w:ascii="Times New Roman" w:hAnsi="Times New Roman" w:cs="Times New Roman"/>
              </w:rPr>
              <w:t xml:space="preserve"> r</w:t>
            </w:r>
            <w:r w:rsidRPr="0018142A">
              <w:rPr>
                <w:rFonts w:ascii="Times New Roman" w:hAnsi="Times New Roman" w:cs="Times New Roman"/>
              </w:rPr>
              <w:t>. (z</w:t>
            </w:r>
            <w:r w:rsidR="0018142A">
              <w:rPr>
                <w:rFonts w:ascii="Times New Roman" w:hAnsi="Times New Roman" w:cs="Times New Roman"/>
              </w:rPr>
              <w:t> </w:t>
            </w:r>
            <w:r w:rsidRPr="0018142A">
              <w:rPr>
                <w:rFonts w:ascii="Times New Roman" w:hAnsi="Times New Roman" w:cs="Times New Roman"/>
              </w:rPr>
              <w:t>wyjątkiem jednego wymagania, które wchodzi w życie po upływie 12 miesięcy od dnia ogłoszenia).</w:t>
            </w:r>
          </w:p>
          <w:p w14:paraId="16D97D01" w14:textId="025E258E" w:rsidR="00DA4915"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Ponadto, dodano ustalony w trakcie warsztatów</w:t>
            </w:r>
            <w:r w:rsidR="004B12F0" w:rsidRPr="0018142A">
              <w:rPr>
                <w:rFonts w:ascii="Times New Roman" w:hAnsi="Times New Roman" w:cs="Times New Roman"/>
              </w:rPr>
              <w:t xml:space="preserve"> z udziałem przedstawicieli uprawnionych podmiotów i</w:t>
            </w:r>
            <w:r w:rsidR="0018142A">
              <w:rPr>
                <w:rFonts w:ascii="Times New Roman" w:hAnsi="Times New Roman" w:cs="Times New Roman"/>
              </w:rPr>
              <w:t> </w:t>
            </w:r>
            <w:r w:rsidR="004B12F0" w:rsidRPr="0018142A">
              <w:rPr>
                <w:rFonts w:ascii="Times New Roman" w:hAnsi="Times New Roman" w:cs="Times New Roman"/>
              </w:rPr>
              <w:t>przedsiębiorców telekomunikacyjnych</w:t>
            </w:r>
            <w:r w:rsidRPr="0018142A">
              <w:rPr>
                <w:rFonts w:ascii="Times New Roman" w:hAnsi="Times New Roman" w:cs="Times New Roman"/>
              </w:rPr>
              <w:t xml:space="preserve"> nowy przepis w § 2: „Przepisów rozporządzenia nie stosuje się do umów, o</w:t>
            </w:r>
            <w:r w:rsidR="0018142A">
              <w:rPr>
                <w:rFonts w:ascii="Times New Roman" w:hAnsi="Times New Roman" w:cs="Times New Roman"/>
              </w:rPr>
              <w:t> </w:t>
            </w:r>
            <w:r w:rsidRPr="0018142A">
              <w:rPr>
                <w:rFonts w:ascii="Times New Roman" w:hAnsi="Times New Roman" w:cs="Times New Roman"/>
              </w:rPr>
              <w:t xml:space="preserve">których mowa w art. 43 ust. 5 ustawy, zawartych przed dniem wejścia w życie rozporządzenia, w zakresie usług telekomunikacyjnych objętych tymi umowami, </w:t>
            </w:r>
            <w:r w:rsidR="00DD56AD">
              <w:rPr>
                <w:rFonts w:ascii="Times New Roman" w:hAnsi="Times New Roman" w:cs="Times New Roman"/>
              </w:rPr>
              <w:t xml:space="preserve">jednak </w:t>
            </w:r>
            <w:proofErr w:type="spellStart"/>
            <w:r w:rsidRPr="0018142A">
              <w:rPr>
                <w:rFonts w:ascii="Times New Roman" w:hAnsi="Times New Roman" w:cs="Times New Roman"/>
              </w:rPr>
              <w:t>niedłużej</w:t>
            </w:r>
            <w:proofErr w:type="spellEnd"/>
            <w:r w:rsidRPr="0018142A">
              <w:rPr>
                <w:rFonts w:ascii="Times New Roman" w:hAnsi="Times New Roman" w:cs="Times New Roman"/>
              </w:rPr>
              <w:t xml:space="preserve"> niż przez 36 miesięcy od dnia wejścia w życie </w:t>
            </w:r>
            <w:r w:rsidR="00DD56AD">
              <w:rPr>
                <w:rFonts w:ascii="Times New Roman" w:hAnsi="Times New Roman" w:cs="Times New Roman"/>
              </w:rPr>
              <w:t>rozporządzenia albo</w:t>
            </w:r>
            <w:r w:rsidR="00DD56AD" w:rsidRPr="0018142A">
              <w:rPr>
                <w:rFonts w:ascii="Times New Roman" w:hAnsi="Times New Roman" w:cs="Times New Roman"/>
              </w:rPr>
              <w:t xml:space="preserve"> </w:t>
            </w:r>
            <w:r w:rsidRPr="0018142A">
              <w:rPr>
                <w:rFonts w:ascii="Times New Roman" w:hAnsi="Times New Roman" w:cs="Times New Roman"/>
              </w:rPr>
              <w:t>do czasu</w:t>
            </w:r>
            <w:r w:rsidR="004A2F4B">
              <w:rPr>
                <w:rFonts w:ascii="Times New Roman" w:hAnsi="Times New Roman" w:cs="Times New Roman"/>
              </w:rPr>
              <w:t xml:space="preserve"> </w:t>
            </w:r>
            <w:r w:rsidRPr="0018142A">
              <w:rPr>
                <w:rFonts w:ascii="Times New Roman" w:hAnsi="Times New Roman" w:cs="Times New Roman"/>
              </w:rPr>
              <w:t>akredytacji bezpieczeństwa teleinformatycznego zmienianego interfejsu LI HI.”</w:t>
            </w:r>
            <w:r w:rsidR="00BA2ABB">
              <w:rPr>
                <w:rFonts w:ascii="Times New Roman" w:hAnsi="Times New Roman" w:cs="Times New Roman"/>
              </w:rPr>
              <w:t>.</w:t>
            </w:r>
          </w:p>
        </w:tc>
      </w:tr>
      <w:tr w:rsidR="006F492C" w:rsidRPr="00893C20" w14:paraId="49EEEA10" w14:textId="77777777" w:rsidTr="0018142A">
        <w:tc>
          <w:tcPr>
            <w:tcW w:w="596" w:type="dxa"/>
            <w:tcBorders>
              <w:bottom w:val="single" w:sz="4" w:space="0" w:color="auto"/>
            </w:tcBorders>
            <w:vAlign w:val="center"/>
          </w:tcPr>
          <w:p w14:paraId="2444E58B" w14:textId="77777777" w:rsidR="00EE7E41" w:rsidRPr="0018142A" w:rsidRDefault="00EE7E41" w:rsidP="00EE7E41">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0226CCD5" w14:textId="4B279ECD" w:rsidR="00EE7E41" w:rsidRPr="0018142A" w:rsidRDefault="00DA4915" w:rsidP="005D26E1">
            <w:pPr>
              <w:pStyle w:val="Bezodstpw"/>
              <w:jc w:val="center"/>
              <w:rPr>
                <w:rFonts w:ascii="Times New Roman" w:hAnsi="Times New Roman" w:cs="Times New Roman"/>
              </w:rPr>
            </w:pPr>
            <w:r w:rsidRPr="0018142A">
              <w:rPr>
                <w:rFonts w:ascii="Times New Roman" w:hAnsi="Times New Roman" w:cs="Times New Roman"/>
              </w:rPr>
              <w:t xml:space="preserve">nowy </w:t>
            </w:r>
            <w:r w:rsidR="003B1623" w:rsidRPr="0018142A">
              <w:rPr>
                <w:rFonts w:ascii="Times New Roman" w:hAnsi="Times New Roman" w:cs="Times New Roman"/>
              </w:rPr>
              <w:t>§</w:t>
            </w:r>
            <w:r w:rsidR="002C6980">
              <w:rPr>
                <w:rFonts w:ascii="Times New Roman" w:hAnsi="Times New Roman" w:cs="Times New Roman"/>
              </w:rPr>
              <w:t xml:space="preserve"> 2</w:t>
            </w:r>
          </w:p>
        </w:tc>
        <w:tc>
          <w:tcPr>
            <w:tcW w:w="1692" w:type="dxa"/>
            <w:tcBorders>
              <w:bottom w:val="single" w:sz="4" w:space="0" w:color="auto"/>
            </w:tcBorders>
          </w:tcPr>
          <w:p w14:paraId="258CB7DC" w14:textId="0D21747B" w:rsidR="00EE7E41" w:rsidRPr="005D6380" w:rsidRDefault="003B1623" w:rsidP="005D26E1">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6A22A74F" w14:textId="3E927614" w:rsidR="005D26E1" w:rsidRPr="0018142A" w:rsidRDefault="00142F55" w:rsidP="00142F55">
            <w:pPr>
              <w:spacing w:after="120"/>
              <w:ind w:left="-6"/>
              <w:jc w:val="both"/>
              <w:rPr>
                <w:sz w:val="22"/>
                <w:szCs w:val="22"/>
              </w:rPr>
            </w:pPr>
            <w:r w:rsidRPr="0018142A">
              <w:rPr>
                <w:sz w:val="22"/>
                <w:szCs w:val="22"/>
              </w:rPr>
              <w:t>Propozycja d</w:t>
            </w:r>
            <w:r w:rsidR="005D26E1" w:rsidRPr="0018142A">
              <w:rPr>
                <w:sz w:val="22"/>
                <w:szCs w:val="22"/>
              </w:rPr>
              <w:t>odani</w:t>
            </w:r>
            <w:r w:rsidRPr="0018142A">
              <w:rPr>
                <w:sz w:val="22"/>
                <w:szCs w:val="22"/>
              </w:rPr>
              <w:t>a</w:t>
            </w:r>
            <w:r w:rsidR="005D26E1" w:rsidRPr="0018142A">
              <w:rPr>
                <w:sz w:val="22"/>
                <w:szCs w:val="22"/>
              </w:rPr>
              <w:t xml:space="preserve"> </w:t>
            </w:r>
            <w:r w:rsidRPr="0018142A">
              <w:rPr>
                <w:sz w:val="22"/>
                <w:szCs w:val="22"/>
              </w:rPr>
              <w:t xml:space="preserve">nowego </w:t>
            </w:r>
            <w:r w:rsidR="005D26E1" w:rsidRPr="0018142A">
              <w:rPr>
                <w:rFonts w:eastAsia="Calibri"/>
                <w:i/>
                <w:sz w:val="22"/>
                <w:szCs w:val="22"/>
              </w:rPr>
              <w:t>§ 2</w:t>
            </w:r>
            <w:r w:rsidRPr="0018142A">
              <w:rPr>
                <w:rFonts w:eastAsia="Calibri"/>
                <w:sz w:val="22"/>
                <w:szCs w:val="22"/>
              </w:rPr>
              <w:t xml:space="preserve"> </w:t>
            </w:r>
            <w:r w:rsidR="005D26E1" w:rsidRPr="0018142A">
              <w:rPr>
                <w:sz w:val="22"/>
                <w:szCs w:val="22"/>
              </w:rPr>
              <w:t>o następującej treści:</w:t>
            </w:r>
            <w:r w:rsidR="005D26E1" w:rsidRPr="0018142A">
              <w:rPr>
                <w:rFonts w:eastAsia="Calibri"/>
                <w:sz w:val="22"/>
                <w:szCs w:val="22"/>
              </w:rPr>
              <w:t xml:space="preserve"> </w:t>
            </w:r>
          </w:p>
          <w:p w14:paraId="4E7962F5" w14:textId="70D36E62" w:rsidR="005D26E1" w:rsidRPr="0018142A" w:rsidRDefault="005D26E1" w:rsidP="00142F55">
            <w:pPr>
              <w:spacing w:after="108"/>
              <w:ind w:left="-5"/>
              <w:jc w:val="both"/>
              <w:rPr>
                <w:sz w:val="22"/>
                <w:szCs w:val="22"/>
              </w:rPr>
            </w:pPr>
            <w:r w:rsidRPr="0018142A">
              <w:rPr>
                <w:rFonts w:eastAsia="Calibri"/>
                <w:i/>
                <w:sz w:val="22"/>
                <w:szCs w:val="22"/>
              </w:rPr>
              <w:t>§ 2 Przepisów rozporządzenia nie stosuje się do umów, o których mowa w art. 43 ust. 5 ustawy z dnia 12 lipca 2024 r. Prawo komunikacji elektronicznej, zawartych przed dniem wejścia w życie rozporządzenia, w zakresie usług telekomunikacyjnych objętych tymi umowami, chyba, że strony tych umów postanowią inaczej.</w:t>
            </w:r>
            <w:r w:rsidR="004A2F4B">
              <w:rPr>
                <w:rFonts w:eastAsia="Calibri"/>
                <w:i/>
                <w:sz w:val="22"/>
                <w:szCs w:val="22"/>
              </w:rPr>
              <w:t xml:space="preserve"> </w:t>
            </w:r>
          </w:p>
          <w:p w14:paraId="21D62201" w14:textId="77777777" w:rsidR="005D26E1" w:rsidRPr="0018142A" w:rsidRDefault="005D26E1"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12C9FE04" w14:textId="2EE34167" w:rsidR="005D26E1" w:rsidRPr="0018142A" w:rsidRDefault="005D26E1" w:rsidP="00142F55">
            <w:pPr>
              <w:pStyle w:val="Bezodstpw"/>
              <w:jc w:val="both"/>
              <w:rPr>
                <w:rFonts w:ascii="Times New Roman" w:eastAsia="Calibri" w:hAnsi="Times New Roman" w:cs="Times New Roman"/>
                <w:i/>
              </w:rPr>
            </w:pPr>
            <w:r w:rsidRPr="0018142A">
              <w:rPr>
                <w:rFonts w:ascii="Times New Roman" w:hAnsi="Times New Roman" w:cs="Times New Roman"/>
              </w:rPr>
              <w:t>Proponowana zmiana ma na celu zagwarantowanie ciągłości realizacji obowiązków dot. zapewnienia przez przedsiębiorców telekomunikacyjnych warunków dostępu i utrwalania poprzez umożliwienie korzystania z obecnie funkcjonujących rozwiązań i wykorzystywanych przez podmioty uprawnione systemów teleinformatycznych.</w:t>
            </w:r>
          </w:p>
          <w:p w14:paraId="02C28304" w14:textId="77777777" w:rsidR="005D26E1" w:rsidRPr="0018142A" w:rsidRDefault="005D26E1" w:rsidP="00142F55">
            <w:pPr>
              <w:spacing w:after="100"/>
              <w:jc w:val="both"/>
              <w:rPr>
                <w:sz w:val="22"/>
                <w:szCs w:val="22"/>
              </w:rPr>
            </w:pPr>
          </w:p>
          <w:p w14:paraId="03249D26" w14:textId="7A3E8F79" w:rsidR="00270FF9" w:rsidRPr="0018142A" w:rsidRDefault="002C6980" w:rsidP="00142F55">
            <w:pPr>
              <w:spacing w:after="100"/>
              <w:jc w:val="both"/>
              <w:rPr>
                <w:sz w:val="22"/>
                <w:szCs w:val="22"/>
              </w:rPr>
            </w:pPr>
            <w:r>
              <w:rPr>
                <w:sz w:val="22"/>
                <w:szCs w:val="22"/>
              </w:rPr>
              <w:t>(</w:t>
            </w:r>
            <w:r w:rsidR="00270FF9" w:rsidRPr="0018142A">
              <w:rPr>
                <w:sz w:val="22"/>
                <w:szCs w:val="22"/>
              </w:rPr>
              <w:t>…</w:t>
            </w:r>
            <w:r>
              <w:rPr>
                <w:sz w:val="22"/>
                <w:szCs w:val="22"/>
              </w:rPr>
              <w:t>)</w:t>
            </w:r>
            <w:r w:rsidR="00270FF9" w:rsidRPr="0018142A">
              <w:rPr>
                <w:sz w:val="22"/>
                <w:szCs w:val="22"/>
              </w:rPr>
              <w:t xml:space="preserve"> zarówno warunki dostępu i utrwalania, o których mowa w art. 43 ust. 1 PKE jak również, techniczne i organizacyjne warunki udostępniania danych zgodnie z art. 45 ust. 1 PKE są określone w porozumieniach zawartych przez uprawnione podmioty z przedsiębiorcami telekomunikacyjnymi. Porozumienia te określają w szczególności sposób działania i komunikacji systemów teleinformatycznych i interfejsów wykorzystywanych przez zarówno przedsiębiorców telekomunikacyjnych oraz podmioty uprawnione zgodnie z wymaganiami określonymi w ustawie Prawo telekomunikacyjne oraz dotychczas obowiązujących rozporządzeniach. Kluczowe zatem w ocenie Izby jest zapewnienie w toku prac nad ww. projektami rozporządzeń, aby funkcjonujące w chwili obecnej zasady realizacji obowiązków określonych w art. 43 ust. 1 oraz art. 45 ust. 1 PKE, jak również wykorzystywane w tym celu systemy teleinformatyczne mogły być w dalszym ciągu wykorzystywane. Jest to w ocenie Izby warunkiem ciągłości realizacji obowiązków dot. bezpieczeństwa państwa oraz bezpieczeństwa i porządku publicznego.</w:t>
            </w:r>
            <w:r w:rsidR="004A2F4B">
              <w:rPr>
                <w:sz w:val="22"/>
                <w:szCs w:val="22"/>
              </w:rPr>
              <w:t xml:space="preserve"> </w:t>
            </w:r>
          </w:p>
          <w:p w14:paraId="22763A68" w14:textId="4D131F0D" w:rsidR="00270FF9" w:rsidRPr="0018142A" w:rsidRDefault="00270FF9" w:rsidP="00142F55">
            <w:pPr>
              <w:spacing w:after="100"/>
              <w:jc w:val="both"/>
            </w:pPr>
            <w:r w:rsidRPr="0018142A">
              <w:rPr>
                <w:sz w:val="22"/>
                <w:szCs w:val="22"/>
              </w:rPr>
              <w:t xml:space="preserve">Należy w szczególności wziąć pod uwagę, że systemy teleinformatyczne, w których są przetwarzane informacje niejawne, podlegają obowiązkowej certyfikacji bezpieczeństwa teleinformatycznego. Sam proces akredytacji przez organy uprawnione tj. Agencję Bezpieczeństwa Wewnętrznego jest procesem czasochłonnym i wymagającym szeregu uzgodnień pomiędzy przedsiębiorcą telekomunikacyjnym i organem uprawnionym. Konieczność wdrażania nowych </w:t>
            </w:r>
            <w:r w:rsidRPr="0018142A">
              <w:rPr>
                <w:sz w:val="22"/>
                <w:szCs w:val="22"/>
              </w:rPr>
              <w:lastRenderedPageBreak/>
              <w:t>systemów teleinformatycznych na skutek projektowanych zmian, z jednej strony w ocenie Izby mogłaby prowadzić do ponoszenia nieadekwatnych</w:t>
            </w:r>
            <w:r w:rsidR="004A2F4B">
              <w:rPr>
                <w:sz w:val="22"/>
                <w:szCs w:val="22"/>
              </w:rPr>
              <w:t xml:space="preserve"> </w:t>
            </w:r>
            <w:r w:rsidRPr="0018142A">
              <w:rPr>
                <w:sz w:val="22"/>
                <w:szCs w:val="22"/>
              </w:rPr>
              <w:t>do celów nakładów ze strony uprawnionych podmiotów oraz przedsiębiorców telekomunikacyjnych, z drugiej zaś wiązałaby się z koniecznością czasochłonnego procesu wdrożenia uwzględniającego realizację obowiązków wynikających m.in. z przepisów ustawy o ochronie informacji niejawnych.</w:t>
            </w:r>
          </w:p>
        </w:tc>
        <w:tc>
          <w:tcPr>
            <w:tcW w:w="3941" w:type="dxa"/>
            <w:tcBorders>
              <w:bottom w:val="single" w:sz="4" w:space="0" w:color="auto"/>
            </w:tcBorders>
          </w:tcPr>
          <w:p w14:paraId="785E4E4C" w14:textId="1FE9F6B5" w:rsidR="00EE7E41" w:rsidRPr="0018142A" w:rsidRDefault="00F85964" w:rsidP="00BA2ABB">
            <w:pPr>
              <w:pStyle w:val="Bezodstpw"/>
              <w:jc w:val="both"/>
              <w:rPr>
                <w:rFonts w:ascii="Times New Roman" w:hAnsi="Times New Roman" w:cs="Times New Roman"/>
                <w:b/>
                <w:bCs/>
              </w:rPr>
            </w:pPr>
            <w:r w:rsidRPr="0018142A">
              <w:rPr>
                <w:rFonts w:ascii="Times New Roman" w:hAnsi="Times New Roman" w:cs="Times New Roman"/>
                <w:b/>
                <w:bCs/>
              </w:rPr>
              <w:lastRenderedPageBreak/>
              <w:t>Uwaga uwzględniona</w:t>
            </w:r>
          </w:p>
          <w:p w14:paraId="2CAB7D33" w14:textId="0A609591" w:rsidR="00F85964" w:rsidRPr="0018142A" w:rsidRDefault="00F85964" w:rsidP="0018142A">
            <w:pPr>
              <w:pStyle w:val="Bezodstpw"/>
              <w:spacing w:after="120"/>
              <w:jc w:val="both"/>
              <w:rPr>
                <w:rFonts w:ascii="Times New Roman" w:hAnsi="Times New Roman" w:cs="Times New Roman"/>
              </w:rPr>
            </w:pPr>
            <w:r w:rsidRPr="0018142A">
              <w:rPr>
                <w:rFonts w:ascii="Times New Roman" w:hAnsi="Times New Roman" w:cs="Times New Roman"/>
              </w:rPr>
              <w:t xml:space="preserve">W trakcie warsztatów </w:t>
            </w:r>
            <w:r w:rsidR="004B12F0" w:rsidRPr="0018142A">
              <w:rPr>
                <w:rFonts w:ascii="Times New Roman" w:hAnsi="Times New Roman" w:cs="Times New Roman"/>
              </w:rPr>
              <w:t>z udziałem przedstawicieli uprawnionych podmiotów i przedsiębiorców telekomunikacyjnych</w:t>
            </w:r>
            <w:r w:rsidR="00A8505A">
              <w:rPr>
                <w:rFonts w:ascii="Times New Roman" w:hAnsi="Times New Roman" w:cs="Times New Roman"/>
              </w:rPr>
              <w:t xml:space="preserve">, w tym </w:t>
            </w:r>
            <w:r w:rsidR="00125604">
              <w:rPr>
                <w:rFonts w:ascii="Times New Roman" w:hAnsi="Times New Roman" w:cs="Times New Roman"/>
              </w:rPr>
              <w:t xml:space="preserve">z </w:t>
            </w:r>
            <w:r w:rsidR="00A8505A">
              <w:rPr>
                <w:rFonts w:ascii="Times New Roman" w:hAnsi="Times New Roman" w:cs="Times New Roman"/>
              </w:rPr>
              <w:t>Polsk</w:t>
            </w:r>
            <w:r w:rsidR="00125604">
              <w:rPr>
                <w:rFonts w:ascii="Times New Roman" w:hAnsi="Times New Roman" w:cs="Times New Roman"/>
              </w:rPr>
              <w:t>ą</w:t>
            </w:r>
            <w:r w:rsidR="00A8505A">
              <w:rPr>
                <w:rFonts w:ascii="Times New Roman" w:hAnsi="Times New Roman" w:cs="Times New Roman"/>
              </w:rPr>
              <w:t xml:space="preserve"> Izb</w:t>
            </w:r>
            <w:r w:rsidR="00125604">
              <w:rPr>
                <w:rFonts w:ascii="Times New Roman" w:hAnsi="Times New Roman" w:cs="Times New Roman"/>
              </w:rPr>
              <w:t>ą</w:t>
            </w:r>
            <w:r w:rsidR="00A8505A">
              <w:rPr>
                <w:rFonts w:ascii="Times New Roman" w:hAnsi="Times New Roman" w:cs="Times New Roman"/>
              </w:rPr>
              <w:t xml:space="preserve"> Informatyki i</w:t>
            </w:r>
            <w:r w:rsidR="0018142A">
              <w:rPr>
                <w:rFonts w:ascii="Times New Roman" w:hAnsi="Times New Roman" w:cs="Times New Roman"/>
              </w:rPr>
              <w:t> </w:t>
            </w:r>
            <w:r w:rsidR="00A8505A">
              <w:rPr>
                <w:rFonts w:ascii="Times New Roman" w:hAnsi="Times New Roman" w:cs="Times New Roman"/>
              </w:rPr>
              <w:t>Telekomunikacji,</w:t>
            </w:r>
            <w:r w:rsidR="004B12F0" w:rsidRPr="0018142A">
              <w:rPr>
                <w:rFonts w:ascii="Times New Roman" w:hAnsi="Times New Roman" w:cs="Times New Roman"/>
              </w:rPr>
              <w:t xml:space="preserve"> </w:t>
            </w:r>
            <w:r w:rsidRPr="0018142A">
              <w:rPr>
                <w:rFonts w:ascii="Times New Roman" w:hAnsi="Times New Roman" w:cs="Times New Roman"/>
              </w:rPr>
              <w:t>ustalono now</w:t>
            </w:r>
            <w:r w:rsidR="00A8505A">
              <w:rPr>
                <w:rFonts w:ascii="Times New Roman" w:hAnsi="Times New Roman" w:cs="Times New Roman"/>
              </w:rPr>
              <w:t>e brzmienie</w:t>
            </w:r>
            <w:r w:rsidRPr="0018142A">
              <w:rPr>
                <w:rFonts w:ascii="Times New Roman" w:hAnsi="Times New Roman" w:cs="Times New Roman"/>
              </w:rPr>
              <w:t xml:space="preserve"> przepis</w:t>
            </w:r>
            <w:r w:rsidR="00A8505A">
              <w:rPr>
                <w:rFonts w:ascii="Times New Roman" w:hAnsi="Times New Roman" w:cs="Times New Roman"/>
              </w:rPr>
              <w:t>u</w:t>
            </w:r>
            <w:r w:rsidRPr="0018142A">
              <w:rPr>
                <w:rFonts w:ascii="Times New Roman" w:hAnsi="Times New Roman" w:cs="Times New Roman"/>
              </w:rPr>
              <w:t xml:space="preserve"> w § 2: „Przepisów rozporządzenia nie stosuje się do umów, o</w:t>
            </w:r>
            <w:r w:rsidR="0018142A">
              <w:rPr>
                <w:rFonts w:ascii="Times New Roman" w:hAnsi="Times New Roman" w:cs="Times New Roman"/>
              </w:rPr>
              <w:t> </w:t>
            </w:r>
            <w:r w:rsidRPr="0018142A">
              <w:rPr>
                <w:rFonts w:ascii="Times New Roman" w:hAnsi="Times New Roman" w:cs="Times New Roman"/>
              </w:rPr>
              <w:t xml:space="preserve">których mowa w art. 43 ust. 5 ustawy, zawartych przed dniem wejścia w życie rozporządzenia, w zakresie usług telekomunikacyjnych objętych tymi umowami, </w:t>
            </w:r>
            <w:r w:rsidR="00DD56AD">
              <w:rPr>
                <w:rFonts w:ascii="Times New Roman" w:hAnsi="Times New Roman" w:cs="Times New Roman"/>
              </w:rPr>
              <w:t xml:space="preserve">jednak </w:t>
            </w:r>
            <w:proofErr w:type="spellStart"/>
            <w:r w:rsidRPr="0018142A">
              <w:rPr>
                <w:rFonts w:ascii="Times New Roman" w:hAnsi="Times New Roman" w:cs="Times New Roman"/>
              </w:rPr>
              <w:t>niedłużej</w:t>
            </w:r>
            <w:proofErr w:type="spellEnd"/>
            <w:r w:rsidRPr="0018142A">
              <w:rPr>
                <w:rFonts w:ascii="Times New Roman" w:hAnsi="Times New Roman" w:cs="Times New Roman"/>
              </w:rPr>
              <w:t xml:space="preserve"> niż przez 36 miesięcy od dnia wejścia w życie </w:t>
            </w:r>
            <w:r w:rsidR="00DD56AD">
              <w:rPr>
                <w:rFonts w:ascii="Times New Roman" w:hAnsi="Times New Roman" w:cs="Times New Roman"/>
              </w:rPr>
              <w:t>rozporządzenia albo</w:t>
            </w:r>
            <w:r w:rsidR="00DD56AD" w:rsidRPr="0018142A">
              <w:rPr>
                <w:rFonts w:ascii="Times New Roman" w:hAnsi="Times New Roman" w:cs="Times New Roman"/>
              </w:rPr>
              <w:t xml:space="preserve"> </w:t>
            </w:r>
            <w:r w:rsidRPr="0018142A">
              <w:rPr>
                <w:rFonts w:ascii="Times New Roman" w:hAnsi="Times New Roman" w:cs="Times New Roman"/>
              </w:rPr>
              <w:t>do czasu</w:t>
            </w:r>
            <w:r w:rsidR="004A2F4B">
              <w:rPr>
                <w:rFonts w:ascii="Times New Roman" w:hAnsi="Times New Roman" w:cs="Times New Roman"/>
              </w:rPr>
              <w:t xml:space="preserve"> </w:t>
            </w:r>
            <w:r w:rsidRPr="0018142A">
              <w:rPr>
                <w:rFonts w:ascii="Times New Roman" w:hAnsi="Times New Roman" w:cs="Times New Roman"/>
              </w:rPr>
              <w:t>akredytacji bezpieczeństwa teleinformatycznego zmienianego interfejsu LI HI.”</w:t>
            </w:r>
            <w:r w:rsidR="00BA2ABB">
              <w:rPr>
                <w:rFonts w:ascii="Times New Roman" w:hAnsi="Times New Roman" w:cs="Times New Roman"/>
              </w:rPr>
              <w:t>.</w:t>
            </w:r>
          </w:p>
        </w:tc>
      </w:tr>
      <w:tr w:rsidR="005D26E1" w:rsidRPr="00893C20" w14:paraId="3DA4BA65" w14:textId="77777777" w:rsidTr="0018142A">
        <w:tc>
          <w:tcPr>
            <w:tcW w:w="596" w:type="dxa"/>
            <w:tcBorders>
              <w:bottom w:val="single" w:sz="4" w:space="0" w:color="auto"/>
            </w:tcBorders>
            <w:vAlign w:val="center"/>
          </w:tcPr>
          <w:p w14:paraId="501F4A50" w14:textId="77777777" w:rsidR="005D26E1" w:rsidRPr="0018142A" w:rsidRDefault="005D26E1" w:rsidP="00EE7E41">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510ED2B9" w14:textId="665FAE86" w:rsidR="005D26E1" w:rsidRPr="0018142A" w:rsidRDefault="005D6380" w:rsidP="005D26E1">
            <w:pPr>
              <w:pStyle w:val="Bezodstpw"/>
              <w:jc w:val="center"/>
              <w:rPr>
                <w:rFonts w:ascii="Times New Roman" w:hAnsi="Times New Roman" w:cs="Times New Roman"/>
              </w:rPr>
            </w:pPr>
            <w:r>
              <w:rPr>
                <w:rFonts w:ascii="Times New Roman" w:hAnsi="Times New Roman" w:cs="Times New Roman"/>
              </w:rPr>
              <w:t>z</w:t>
            </w:r>
            <w:r w:rsidR="005D26E1" w:rsidRPr="0018142A">
              <w:rPr>
                <w:rFonts w:ascii="Times New Roman" w:hAnsi="Times New Roman" w:cs="Times New Roman"/>
              </w:rPr>
              <w:t>ałącznik</w:t>
            </w:r>
          </w:p>
          <w:p w14:paraId="5B72B920" w14:textId="1F3F0E28" w:rsidR="005D26E1" w:rsidRPr="0018142A" w:rsidRDefault="005D26E1" w:rsidP="005D26E1">
            <w:pPr>
              <w:pStyle w:val="Bezodstpw"/>
              <w:jc w:val="center"/>
              <w:rPr>
                <w:rFonts w:ascii="Times New Roman" w:hAnsi="Times New Roman" w:cs="Times New Roman"/>
              </w:rPr>
            </w:pPr>
            <w:r w:rsidRPr="0018142A">
              <w:rPr>
                <w:rFonts w:ascii="Times New Roman" w:hAnsi="Times New Roman" w:cs="Times New Roman"/>
              </w:rPr>
              <w:t>pkt 1</w:t>
            </w:r>
          </w:p>
        </w:tc>
        <w:tc>
          <w:tcPr>
            <w:tcW w:w="1692" w:type="dxa"/>
            <w:tcBorders>
              <w:bottom w:val="single" w:sz="4" w:space="0" w:color="auto"/>
            </w:tcBorders>
          </w:tcPr>
          <w:p w14:paraId="5B34E733" w14:textId="768B5144" w:rsidR="005D26E1" w:rsidRPr="005D6380" w:rsidRDefault="005D26E1" w:rsidP="005D26E1">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0FF80A3" w14:textId="395E4307" w:rsidR="005D26E1" w:rsidRPr="0018142A" w:rsidRDefault="005D26E1" w:rsidP="00142F55">
            <w:pPr>
              <w:spacing w:after="108"/>
              <w:ind w:left="-5"/>
              <w:jc w:val="both"/>
              <w:rPr>
                <w:rFonts w:eastAsia="Calibri"/>
                <w:iCs/>
                <w:sz w:val="22"/>
                <w:szCs w:val="22"/>
              </w:rPr>
            </w:pPr>
            <w:r w:rsidRPr="0018142A">
              <w:rPr>
                <w:rFonts w:eastAsia="Calibri"/>
                <w:iCs/>
                <w:sz w:val="22"/>
                <w:szCs w:val="22"/>
              </w:rPr>
              <w:t>Propozycja:</w:t>
            </w:r>
          </w:p>
          <w:p w14:paraId="60012D8B" w14:textId="40EC36CF" w:rsidR="005D26E1" w:rsidRPr="0018142A" w:rsidRDefault="005D26E1" w:rsidP="00142F55">
            <w:pPr>
              <w:spacing w:after="108"/>
              <w:ind w:left="-5"/>
              <w:jc w:val="both"/>
              <w:rPr>
                <w:sz w:val="22"/>
                <w:szCs w:val="22"/>
              </w:rPr>
            </w:pPr>
            <w:r w:rsidRPr="0018142A">
              <w:rPr>
                <w:rFonts w:eastAsia="Calibri"/>
                <w:i/>
                <w:sz w:val="22"/>
                <w:szCs w:val="22"/>
              </w:rPr>
              <w:t xml:space="preserve">Wymagania techniczne i eksploatacyjne określone w załączniku do rozporządzenia odnoszą się do interfejsów, o których mowa w art. 43 ust. 5 ustawy z dnia 12 lipca 2024 r. – Prawo komunikacji elektronicznej (Dz. U. poz. 1221 oraz z 2025 r. poz. 637 i 820). Interfejsy umożliwiają zapewnienie warunków technicznych i organizacyjnych dostępu i utrwalania oraz przygotowanie technicznych i organizacyjnych warunków udostępniania danych, oraz ich udostępniania. Wymagania techniczne i eksploatacyjne określone w załączniku do rozporządzenia uznaje się za spełnione, gdy interfejsy są zgodne z normami i dokumentami, o których mowa w pkt 2 załącznika, w zakresie wskazanym w załączniku </w:t>
            </w:r>
            <w:r w:rsidRPr="0018142A">
              <w:rPr>
                <w:rFonts w:eastAsia="Calibri"/>
                <w:b/>
                <w:i/>
                <w:sz w:val="22"/>
                <w:szCs w:val="22"/>
              </w:rPr>
              <w:t xml:space="preserve">albo równoważnymi normami, dokumentami lub uzgodnionymi standardami określonymi w umowie, o której mowa w art. 43 ust. 5 ustawy Prawo komunikacji elektronicznej. </w:t>
            </w:r>
          </w:p>
          <w:p w14:paraId="283D1C64" w14:textId="77777777" w:rsidR="005D26E1" w:rsidRPr="0018142A" w:rsidRDefault="005D26E1"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4B76FB93" w14:textId="34A6DE73" w:rsidR="005D26E1" w:rsidRPr="0018142A" w:rsidRDefault="005D26E1" w:rsidP="00142F55">
            <w:pPr>
              <w:spacing w:after="120"/>
              <w:ind w:left="-6"/>
              <w:jc w:val="both"/>
              <w:rPr>
                <w:sz w:val="22"/>
                <w:szCs w:val="22"/>
              </w:rPr>
            </w:pPr>
            <w:r w:rsidRPr="0018142A">
              <w:rPr>
                <w:sz w:val="22"/>
                <w:szCs w:val="22"/>
              </w:rPr>
              <w:t xml:space="preserve">Załącznik określa minimalne wymagania techniczne, które mają spełniać interfejsy wykorzystywane do zapewnienia warunków utrwalania i dostępu, określone w umowie zawartej pomiędzy podmiotami uprawnionymi a przedsiębiorcą telekomunikacyjnym. Wymagania techniczne i eksploatacyjne uznaje się za spełnione gdy są zgodne z normami i dokumentami wskazanymi w załączniku. W ocenie Izby tak zawężone podejście wydaje się nie gwarantować aktualności rozporządzenia w kontekście zmian w zakresie nowo wprowadzanych usług oraz technologii. Rozporządzenie w obecnym kształcie nie przewiduje, możliwości powstania nowych norm dotyczących nowych usług oraz technologii choć </w:t>
            </w:r>
            <w:r w:rsidRPr="0018142A">
              <w:rPr>
                <w:rFonts w:eastAsia="Calibri"/>
                <w:sz w:val="22"/>
                <w:szCs w:val="22"/>
              </w:rPr>
              <w:t xml:space="preserve">w </w:t>
            </w:r>
            <w:r w:rsidRPr="0018142A">
              <w:rPr>
                <w:sz w:val="22"/>
                <w:szCs w:val="22"/>
              </w:rPr>
              <w:t>praktyce na dynamicznie rozwijającym się rynku telekomunikacyjnych zmiany takie zachodzą.</w:t>
            </w:r>
            <w:r w:rsidR="004A2F4B">
              <w:rPr>
                <w:sz w:val="22"/>
                <w:szCs w:val="22"/>
              </w:rPr>
              <w:t xml:space="preserve"> </w:t>
            </w:r>
          </w:p>
          <w:p w14:paraId="179682EB" w14:textId="00B0A90A" w:rsidR="005D26E1" w:rsidRPr="0018142A" w:rsidRDefault="005D26E1" w:rsidP="00142F55">
            <w:pPr>
              <w:spacing w:after="120"/>
              <w:ind w:left="-6"/>
              <w:jc w:val="both"/>
              <w:rPr>
                <w:rFonts w:eastAsia="Calibri"/>
                <w:sz w:val="22"/>
                <w:szCs w:val="22"/>
              </w:rPr>
            </w:pPr>
            <w:r w:rsidRPr="0018142A">
              <w:rPr>
                <w:sz w:val="22"/>
                <w:szCs w:val="22"/>
              </w:rPr>
              <w:t xml:space="preserve">Ponadto w obecnym kształcie treść rozporządzenia uniemożliwia zastosowanie i wyspecyfikowania rozwiązań w umowach pomiędzy podmiotami uprawnionymi rozwiązań realizujących cele ustawy </w:t>
            </w:r>
            <w:r w:rsidRPr="0018142A">
              <w:rPr>
                <w:rFonts w:eastAsia="Calibri"/>
                <w:sz w:val="22"/>
                <w:szCs w:val="22"/>
              </w:rPr>
              <w:t xml:space="preserve">w </w:t>
            </w:r>
            <w:r w:rsidRPr="0018142A">
              <w:rPr>
                <w:sz w:val="22"/>
                <w:szCs w:val="22"/>
              </w:rPr>
              <w:t xml:space="preserve">oparciu o inne, równoważne normy. Niezbędne w ocenie Izby, i temu ma służyć proponowana zmiana, zagwarantowanie możliwości uzgodnienia rozwiązań dot. warunków utrwalania i dostępu z podmiotami uprawnionymi w oparciu o inne niż tylko te wymienione w rozporządzeniu normy w szczególności gdy rozporządzenie nie określa i nie </w:t>
            </w:r>
            <w:r w:rsidRPr="0018142A">
              <w:rPr>
                <w:sz w:val="22"/>
                <w:szCs w:val="22"/>
              </w:rPr>
              <w:lastRenderedPageBreak/>
              <w:t xml:space="preserve">referuje do normy dotyczących nowych usług np. komunikacji tekstowej </w:t>
            </w:r>
            <w:r w:rsidRPr="0018142A">
              <w:rPr>
                <w:rFonts w:eastAsia="Calibri"/>
                <w:sz w:val="22"/>
                <w:szCs w:val="22"/>
              </w:rPr>
              <w:t xml:space="preserve">w czasie rzeczywistym (z ang. Real Time </w:t>
            </w:r>
            <w:proofErr w:type="spellStart"/>
            <w:r w:rsidRPr="0018142A">
              <w:rPr>
                <w:rFonts w:eastAsia="Calibri"/>
                <w:sz w:val="22"/>
                <w:szCs w:val="22"/>
              </w:rPr>
              <w:t>Text</w:t>
            </w:r>
            <w:proofErr w:type="spellEnd"/>
            <w:r w:rsidRPr="0018142A">
              <w:rPr>
                <w:rFonts w:eastAsia="Calibri"/>
                <w:sz w:val="22"/>
                <w:szCs w:val="22"/>
              </w:rPr>
              <w:t>)</w:t>
            </w:r>
            <w:r w:rsidR="004A2F4B">
              <w:rPr>
                <w:rFonts w:eastAsia="Calibri"/>
                <w:sz w:val="22"/>
                <w:szCs w:val="22"/>
              </w:rPr>
              <w:t xml:space="preserve"> </w:t>
            </w:r>
            <w:r w:rsidRPr="0018142A">
              <w:rPr>
                <w:rFonts w:eastAsia="Calibri"/>
                <w:sz w:val="22"/>
                <w:szCs w:val="22"/>
              </w:rPr>
              <w:t>lub nowych technologii.</w:t>
            </w:r>
          </w:p>
        </w:tc>
        <w:tc>
          <w:tcPr>
            <w:tcW w:w="3941" w:type="dxa"/>
            <w:tcBorders>
              <w:bottom w:val="single" w:sz="4" w:space="0" w:color="auto"/>
            </w:tcBorders>
          </w:tcPr>
          <w:p w14:paraId="62C02A72" w14:textId="77777777" w:rsidR="005D26E1" w:rsidRPr="0018142A" w:rsidRDefault="00910C8B"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uwzględniona</w:t>
            </w:r>
          </w:p>
          <w:p w14:paraId="042940B9" w14:textId="50F8F3F7" w:rsidR="00910C8B" w:rsidRPr="0018142A" w:rsidRDefault="00910C8B" w:rsidP="0018142A">
            <w:pPr>
              <w:pStyle w:val="Bezodstpw"/>
              <w:jc w:val="both"/>
              <w:rPr>
                <w:rFonts w:ascii="Times New Roman" w:hAnsi="Times New Roman" w:cs="Times New Roman"/>
              </w:rPr>
            </w:pPr>
            <w:r w:rsidRPr="0018142A">
              <w:rPr>
                <w:rFonts w:ascii="Times New Roman" w:hAnsi="Times New Roman" w:cs="Times New Roman"/>
              </w:rPr>
              <w:t xml:space="preserve">W trakcie warsztatów </w:t>
            </w:r>
            <w:r w:rsidR="004B12F0" w:rsidRPr="0018142A">
              <w:rPr>
                <w:rFonts w:ascii="Times New Roman" w:hAnsi="Times New Roman" w:cs="Times New Roman"/>
              </w:rPr>
              <w:t>z udziałem przedstawicieli uprawnionych podmiotów i przedsiębiorców telekomunikacyjnych</w:t>
            </w:r>
            <w:r w:rsidR="00A8505A">
              <w:rPr>
                <w:rFonts w:ascii="Times New Roman" w:hAnsi="Times New Roman" w:cs="Times New Roman"/>
              </w:rPr>
              <w:t xml:space="preserve">, w tym </w:t>
            </w:r>
            <w:r w:rsidR="00125604">
              <w:rPr>
                <w:rFonts w:ascii="Times New Roman" w:hAnsi="Times New Roman" w:cs="Times New Roman"/>
              </w:rPr>
              <w:t xml:space="preserve">z </w:t>
            </w:r>
            <w:r w:rsidR="00A8505A">
              <w:rPr>
                <w:rFonts w:ascii="Times New Roman" w:hAnsi="Times New Roman" w:cs="Times New Roman"/>
              </w:rPr>
              <w:t>Polsk</w:t>
            </w:r>
            <w:r w:rsidR="00125604">
              <w:rPr>
                <w:rFonts w:ascii="Times New Roman" w:hAnsi="Times New Roman" w:cs="Times New Roman"/>
              </w:rPr>
              <w:t>ą</w:t>
            </w:r>
            <w:r w:rsidR="00A8505A">
              <w:rPr>
                <w:rFonts w:ascii="Times New Roman" w:hAnsi="Times New Roman" w:cs="Times New Roman"/>
              </w:rPr>
              <w:t xml:space="preserve"> Izb</w:t>
            </w:r>
            <w:r w:rsidR="00125604">
              <w:rPr>
                <w:rFonts w:ascii="Times New Roman" w:hAnsi="Times New Roman" w:cs="Times New Roman"/>
              </w:rPr>
              <w:t>ą</w:t>
            </w:r>
            <w:r w:rsidR="00A8505A">
              <w:rPr>
                <w:rFonts w:ascii="Times New Roman" w:hAnsi="Times New Roman" w:cs="Times New Roman"/>
              </w:rPr>
              <w:t xml:space="preserve"> Informatyki i</w:t>
            </w:r>
            <w:r w:rsidR="0018142A">
              <w:rPr>
                <w:rFonts w:ascii="Times New Roman" w:hAnsi="Times New Roman" w:cs="Times New Roman"/>
              </w:rPr>
              <w:t> </w:t>
            </w:r>
            <w:r w:rsidR="00A8505A">
              <w:rPr>
                <w:rFonts w:ascii="Times New Roman" w:hAnsi="Times New Roman" w:cs="Times New Roman"/>
              </w:rPr>
              <w:t>Telekomunikacji,</w:t>
            </w:r>
            <w:r w:rsidR="004A2F4B">
              <w:rPr>
                <w:rFonts w:ascii="Times New Roman" w:hAnsi="Times New Roman" w:cs="Times New Roman"/>
              </w:rPr>
              <w:t xml:space="preserve"> </w:t>
            </w:r>
            <w:r w:rsidRPr="0018142A">
              <w:rPr>
                <w:rFonts w:ascii="Times New Roman" w:hAnsi="Times New Roman" w:cs="Times New Roman"/>
              </w:rPr>
              <w:t>ustalono treść w pkt 1: „Dopuszcza się stosowanie norm i</w:t>
            </w:r>
            <w:r w:rsidR="0018142A">
              <w:rPr>
                <w:rFonts w:ascii="Times New Roman" w:hAnsi="Times New Roman" w:cs="Times New Roman"/>
              </w:rPr>
              <w:t> </w:t>
            </w:r>
            <w:r w:rsidRPr="0018142A">
              <w:rPr>
                <w:rFonts w:ascii="Times New Roman" w:hAnsi="Times New Roman" w:cs="Times New Roman"/>
              </w:rPr>
              <w:t>dokumentów w</w:t>
            </w:r>
            <w:r w:rsidR="00125604">
              <w:rPr>
                <w:rFonts w:ascii="Times New Roman" w:hAnsi="Times New Roman" w:cs="Times New Roman"/>
              </w:rPr>
              <w:t> </w:t>
            </w:r>
            <w:r w:rsidRPr="0018142A">
              <w:rPr>
                <w:rFonts w:ascii="Times New Roman" w:hAnsi="Times New Roman" w:cs="Times New Roman"/>
              </w:rPr>
              <w:t>wersjach innych niż wskazane w pkt 2 załącznika, jeżeli zapewniają realizację obowiązków, o</w:t>
            </w:r>
            <w:r w:rsidR="0018142A">
              <w:rPr>
                <w:rFonts w:ascii="Times New Roman" w:hAnsi="Times New Roman" w:cs="Times New Roman"/>
              </w:rPr>
              <w:t> </w:t>
            </w:r>
            <w:r w:rsidRPr="0018142A">
              <w:rPr>
                <w:rFonts w:ascii="Times New Roman" w:hAnsi="Times New Roman" w:cs="Times New Roman"/>
              </w:rPr>
              <w:t>których mowa w art. 43 ust. 1 pkt 1</w:t>
            </w:r>
            <w:r w:rsidR="004A2F4B">
              <w:rPr>
                <w:rFonts w:ascii="Times New Roman" w:hAnsi="Times New Roman" w:cs="Times New Roman"/>
              </w:rPr>
              <w:t xml:space="preserve"> </w:t>
            </w:r>
            <w:r w:rsidRPr="0018142A">
              <w:rPr>
                <w:rFonts w:ascii="Times New Roman" w:hAnsi="Times New Roman" w:cs="Times New Roman"/>
              </w:rPr>
              <w:t>oraz art. 45 ust. 1 ustawy, w</w:t>
            </w:r>
            <w:r w:rsidR="0018142A">
              <w:rPr>
                <w:rFonts w:ascii="Times New Roman" w:hAnsi="Times New Roman" w:cs="Times New Roman"/>
              </w:rPr>
              <w:t> </w:t>
            </w:r>
            <w:r w:rsidRPr="0018142A">
              <w:rPr>
                <w:rFonts w:ascii="Times New Roman" w:hAnsi="Times New Roman" w:cs="Times New Roman"/>
              </w:rPr>
              <w:t>stopniu niemniejszym niż normy i</w:t>
            </w:r>
            <w:r w:rsidR="0018142A">
              <w:rPr>
                <w:rFonts w:ascii="Times New Roman" w:hAnsi="Times New Roman" w:cs="Times New Roman"/>
              </w:rPr>
              <w:t> </w:t>
            </w:r>
            <w:r w:rsidRPr="0018142A">
              <w:rPr>
                <w:rFonts w:ascii="Times New Roman" w:hAnsi="Times New Roman" w:cs="Times New Roman"/>
              </w:rPr>
              <w:t>dokumenty w wersjach wskazanych w</w:t>
            </w:r>
            <w:r w:rsidR="0018142A">
              <w:rPr>
                <w:rFonts w:ascii="Times New Roman" w:hAnsi="Times New Roman" w:cs="Times New Roman"/>
              </w:rPr>
              <w:t> </w:t>
            </w:r>
            <w:r w:rsidRPr="0018142A">
              <w:rPr>
                <w:rFonts w:ascii="Times New Roman" w:hAnsi="Times New Roman" w:cs="Times New Roman"/>
              </w:rPr>
              <w:t>załączniku.”</w:t>
            </w:r>
            <w:r w:rsidR="00BA2ABB">
              <w:rPr>
                <w:rFonts w:ascii="Times New Roman" w:hAnsi="Times New Roman" w:cs="Times New Roman"/>
              </w:rPr>
              <w:t>.</w:t>
            </w:r>
          </w:p>
        </w:tc>
      </w:tr>
      <w:tr w:rsidR="005D26E1" w:rsidRPr="00893C20" w14:paraId="045EB6B5" w14:textId="77777777" w:rsidTr="0018142A">
        <w:tc>
          <w:tcPr>
            <w:tcW w:w="596" w:type="dxa"/>
            <w:tcBorders>
              <w:bottom w:val="single" w:sz="4" w:space="0" w:color="auto"/>
            </w:tcBorders>
            <w:vAlign w:val="center"/>
          </w:tcPr>
          <w:p w14:paraId="23F6719A" w14:textId="77777777" w:rsidR="005D26E1" w:rsidRPr="0018142A" w:rsidRDefault="005D26E1" w:rsidP="005D26E1">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B52E274" w14:textId="77777777" w:rsidR="005D26E1" w:rsidRPr="0018142A" w:rsidRDefault="005D26E1" w:rsidP="005D26E1">
            <w:pPr>
              <w:pStyle w:val="Bezodstpw"/>
              <w:jc w:val="center"/>
              <w:rPr>
                <w:rFonts w:ascii="Times New Roman" w:hAnsi="Times New Roman" w:cs="Times New Roman"/>
              </w:rPr>
            </w:pPr>
            <w:r w:rsidRPr="0018142A">
              <w:rPr>
                <w:rFonts w:ascii="Times New Roman" w:hAnsi="Times New Roman" w:cs="Times New Roman"/>
              </w:rPr>
              <w:t>Załącznik</w:t>
            </w:r>
          </w:p>
          <w:p w14:paraId="4070F5B1" w14:textId="2AF15276" w:rsidR="005D26E1" w:rsidRPr="0018142A" w:rsidRDefault="005D26E1" w:rsidP="005D26E1">
            <w:pPr>
              <w:pStyle w:val="Bezodstpw"/>
              <w:jc w:val="center"/>
              <w:rPr>
                <w:rFonts w:ascii="Times New Roman" w:hAnsi="Times New Roman" w:cs="Times New Roman"/>
              </w:rPr>
            </w:pPr>
            <w:r w:rsidRPr="0018142A">
              <w:rPr>
                <w:rFonts w:ascii="Times New Roman" w:hAnsi="Times New Roman" w:cs="Times New Roman"/>
              </w:rPr>
              <w:t>pkt 2</w:t>
            </w:r>
          </w:p>
        </w:tc>
        <w:tc>
          <w:tcPr>
            <w:tcW w:w="1692" w:type="dxa"/>
            <w:tcBorders>
              <w:bottom w:val="single" w:sz="4" w:space="0" w:color="auto"/>
            </w:tcBorders>
          </w:tcPr>
          <w:p w14:paraId="488E4B7C" w14:textId="42426DDC" w:rsidR="005D26E1" w:rsidRPr="005D6380" w:rsidRDefault="005D26E1" w:rsidP="005D26E1">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C0B4016" w14:textId="6FE0DA82" w:rsidR="005D26E1" w:rsidRPr="0018142A" w:rsidRDefault="005D26E1" w:rsidP="00142F55">
            <w:pPr>
              <w:spacing w:after="120"/>
              <w:jc w:val="both"/>
              <w:rPr>
                <w:sz w:val="22"/>
                <w:szCs w:val="22"/>
                <w:lang w:val="en-GB"/>
              </w:rPr>
            </w:pPr>
            <w:proofErr w:type="spellStart"/>
            <w:r w:rsidRPr="0018142A">
              <w:rPr>
                <w:sz w:val="22"/>
                <w:szCs w:val="22"/>
                <w:lang w:val="en-GB"/>
              </w:rPr>
              <w:t>Propozycja</w:t>
            </w:r>
            <w:proofErr w:type="spellEnd"/>
            <w:r w:rsidRPr="0018142A">
              <w:rPr>
                <w:sz w:val="22"/>
                <w:szCs w:val="22"/>
                <w:lang w:val="en-GB"/>
              </w:rPr>
              <w:t>:</w:t>
            </w:r>
          </w:p>
          <w:p w14:paraId="1A4676D8"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[2] ETSI TS 102 232-1 V3.</w:t>
            </w:r>
            <w:r w:rsidRPr="0018142A">
              <w:rPr>
                <w:rFonts w:eastAsia="Calibri"/>
                <w:b/>
                <w:bCs/>
                <w:i/>
                <w:iCs/>
                <w:sz w:val="22"/>
                <w:szCs w:val="22"/>
                <w:lang w:val="en-US"/>
              </w:rPr>
              <w:t xml:space="preserve">30.1 </w:t>
            </w:r>
            <w:r w:rsidRPr="0018142A">
              <w:rPr>
                <w:rFonts w:eastAsia="Calibri"/>
                <w:i/>
                <w:iCs/>
                <w:strike/>
                <w:sz w:val="22"/>
                <w:szCs w:val="22"/>
                <w:lang w:val="en-US"/>
              </w:rPr>
              <w:t>32.1</w:t>
            </w:r>
            <w:r w:rsidRPr="0018142A">
              <w:rPr>
                <w:rFonts w:eastAsia="Calibri"/>
                <w:i/>
                <w:iCs/>
                <w:sz w:val="22"/>
                <w:szCs w:val="22"/>
                <w:lang w:val="en-US"/>
              </w:rPr>
              <w:t xml:space="preserve"> Lawful Interception (LI); Handover Interface and Service-Specific Details (SSD) for IP delivery; Part 1: Handover specification for IP delivery, </w:t>
            </w:r>
            <w:proofErr w:type="spellStart"/>
            <w:r w:rsidRPr="0018142A">
              <w:rPr>
                <w:rFonts w:eastAsia="Calibri"/>
                <w:i/>
                <w:iCs/>
                <w:sz w:val="22"/>
                <w:szCs w:val="22"/>
                <w:lang w:val="en-US"/>
              </w:rPr>
              <w:t>zwany</w:t>
            </w:r>
            <w:proofErr w:type="spellEnd"/>
            <w:r w:rsidRPr="0018142A">
              <w:rPr>
                <w:rFonts w:eastAsia="Calibri"/>
                <w:i/>
                <w:iCs/>
                <w:sz w:val="22"/>
                <w:szCs w:val="22"/>
                <w:lang w:val="en-US"/>
              </w:rPr>
              <w:t xml:space="preserve"> </w:t>
            </w:r>
            <w:proofErr w:type="spellStart"/>
            <w:r w:rsidRPr="0018142A">
              <w:rPr>
                <w:rFonts w:eastAsia="Calibri"/>
                <w:i/>
                <w:iCs/>
                <w:sz w:val="22"/>
                <w:szCs w:val="22"/>
                <w:lang w:val="en-US"/>
              </w:rPr>
              <w:t>dalej</w:t>
            </w:r>
            <w:proofErr w:type="spellEnd"/>
            <w:r w:rsidRPr="0018142A">
              <w:rPr>
                <w:rFonts w:eastAsia="Calibri"/>
                <w:i/>
                <w:iCs/>
                <w:sz w:val="22"/>
                <w:szCs w:val="22"/>
                <w:lang w:val="en-US"/>
              </w:rPr>
              <w:t xml:space="preserve"> „ETSI TS 102 232-1”;</w:t>
            </w:r>
          </w:p>
          <w:p w14:paraId="1C49FBA3"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[3] ETSI TS 102 232-3 </w:t>
            </w:r>
            <w:proofErr w:type="spellStart"/>
            <w:r w:rsidRPr="0018142A">
              <w:rPr>
                <w:rFonts w:eastAsia="Calibri"/>
                <w:i/>
                <w:iCs/>
                <w:strike/>
                <w:sz w:val="22"/>
                <w:szCs w:val="22"/>
                <w:lang w:val="en-US"/>
              </w:rPr>
              <w:t>V3.13.1</w:t>
            </w:r>
            <w:proofErr w:type="spellEnd"/>
            <w:r w:rsidRPr="0018142A">
              <w:rPr>
                <w:rFonts w:eastAsia="Calibri"/>
                <w:i/>
                <w:iCs/>
                <w:sz w:val="22"/>
                <w:szCs w:val="22"/>
                <w:lang w:val="en-US"/>
              </w:rPr>
              <w:t xml:space="preserve"> </w:t>
            </w:r>
            <w:r w:rsidRPr="0018142A">
              <w:rPr>
                <w:rFonts w:eastAsia="Calibri"/>
                <w:b/>
                <w:bCs/>
                <w:i/>
                <w:iCs/>
                <w:sz w:val="22"/>
                <w:szCs w:val="22"/>
                <w:lang w:val="en-US"/>
              </w:rPr>
              <w:t>(</w:t>
            </w:r>
            <w:proofErr w:type="spellStart"/>
            <w:r w:rsidRPr="0018142A">
              <w:rPr>
                <w:rFonts w:eastAsia="Calibri"/>
                <w:b/>
                <w:bCs/>
                <w:i/>
                <w:iCs/>
                <w:sz w:val="22"/>
                <w:szCs w:val="22"/>
                <w:lang w:val="en-US"/>
              </w:rPr>
              <w:t>wersja</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wynikająca</w:t>
            </w:r>
            <w:proofErr w:type="spellEnd"/>
            <w:r w:rsidRPr="0018142A">
              <w:rPr>
                <w:rFonts w:eastAsia="Calibri"/>
                <w:b/>
                <w:bCs/>
                <w:i/>
                <w:iCs/>
                <w:sz w:val="22"/>
                <w:szCs w:val="22"/>
                <w:lang w:val="en-US"/>
              </w:rPr>
              <w:t xml:space="preserve"> z </w:t>
            </w:r>
            <w:proofErr w:type="spellStart"/>
            <w:r w:rsidRPr="0018142A">
              <w:rPr>
                <w:rFonts w:eastAsia="Calibri"/>
                <w:b/>
                <w:bCs/>
                <w:i/>
                <w:iCs/>
                <w:sz w:val="22"/>
                <w:szCs w:val="22"/>
                <w:lang w:val="en-US"/>
              </w:rPr>
              <w:t>zależności</w:t>
            </w:r>
            <w:proofErr w:type="spellEnd"/>
            <w:r w:rsidRPr="0018142A">
              <w:rPr>
                <w:rFonts w:eastAsia="Calibri"/>
                <w:b/>
                <w:bCs/>
                <w:i/>
                <w:iCs/>
                <w:sz w:val="22"/>
                <w:szCs w:val="22"/>
                <w:lang w:val="en-US"/>
              </w:rPr>
              <w:t xml:space="preserve"> do </w:t>
            </w:r>
            <w:proofErr w:type="spellStart"/>
            <w:r w:rsidRPr="0018142A">
              <w:rPr>
                <w:rFonts w:eastAsia="Calibri"/>
                <w:b/>
                <w:bCs/>
                <w:i/>
                <w:iCs/>
                <w:sz w:val="22"/>
                <w:szCs w:val="22"/>
                <w:lang w:val="en-US"/>
              </w:rPr>
              <w:t>wersji</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głównej</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normy</w:t>
            </w:r>
            <w:proofErr w:type="spellEnd"/>
            <w:r w:rsidRPr="0018142A">
              <w:rPr>
                <w:rFonts w:eastAsia="Calibri"/>
                <w:b/>
                <w:bCs/>
                <w:i/>
                <w:iCs/>
                <w:sz w:val="22"/>
                <w:szCs w:val="22"/>
                <w:lang w:val="en-US"/>
              </w:rPr>
              <w:t xml:space="preserve"> ETSI TS 102 232-1)</w:t>
            </w:r>
            <w:r w:rsidRPr="0018142A">
              <w:rPr>
                <w:rFonts w:eastAsia="Calibri"/>
                <w:i/>
                <w:iCs/>
                <w:sz w:val="22"/>
                <w:szCs w:val="22"/>
                <w:lang w:val="en-US"/>
              </w:rPr>
              <w:t xml:space="preserve"> Lawful Interception (LI); Handover Interface and Service-Specific Details (SSD) for IP delivery; Part 3: Service-specific details for internet access services, </w:t>
            </w:r>
            <w:proofErr w:type="spellStart"/>
            <w:r w:rsidRPr="0018142A">
              <w:rPr>
                <w:rFonts w:eastAsia="Calibri"/>
                <w:i/>
                <w:iCs/>
                <w:sz w:val="22"/>
                <w:szCs w:val="22"/>
                <w:lang w:val="en-US"/>
              </w:rPr>
              <w:t>zwany</w:t>
            </w:r>
            <w:proofErr w:type="spellEnd"/>
            <w:r w:rsidRPr="0018142A">
              <w:rPr>
                <w:rFonts w:eastAsia="Calibri"/>
                <w:i/>
                <w:iCs/>
                <w:sz w:val="22"/>
                <w:szCs w:val="22"/>
                <w:lang w:val="en-US"/>
              </w:rPr>
              <w:t xml:space="preserve"> </w:t>
            </w:r>
            <w:proofErr w:type="spellStart"/>
            <w:r w:rsidRPr="0018142A">
              <w:rPr>
                <w:rFonts w:eastAsia="Calibri"/>
                <w:i/>
                <w:iCs/>
                <w:sz w:val="22"/>
                <w:szCs w:val="22"/>
                <w:lang w:val="en-US"/>
              </w:rPr>
              <w:t>dalej</w:t>
            </w:r>
            <w:proofErr w:type="spellEnd"/>
            <w:r w:rsidRPr="0018142A">
              <w:rPr>
                <w:rFonts w:eastAsia="Calibri"/>
                <w:i/>
                <w:iCs/>
                <w:sz w:val="22"/>
                <w:szCs w:val="22"/>
                <w:lang w:val="en-US"/>
              </w:rPr>
              <w:t xml:space="preserve"> „ETSI TS 102 232-3”;</w:t>
            </w:r>
          </w:p>
          <w:p w14:paraId="5D475469"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[4] ETSI TS 102 232-5 </w:t>
            </w:r>
            <w:proofErr w:type="spellStart"/>
            <w:r w:rsidRPr="0018142A">
              <w:rPr>
                <w:rFonts w:eastAsia="Calibri"/>
                <w:i/>
                <w:iCs/>
                <w:strike/>
                <w:sz w:val="22"/>
                <w:szCs w:val="22"/>
                <w:lang w:val="en-US"/>
              </w:rPr>
              <w:t>V3.21.1</w:t>
            </w:r>
            <w:proofErr w:type="spellEnd"/>
            <w:r w:rsidRPr="0018142A">
              <w:rPr>
                <w:rFonts w:eastAsia="Calibri"/>
                <w:i/>
                <w:iCs/>
                <w:sz w:val="22"/>
                <w:szCs w:val="22"/>
                <w:lang w:val="en-US"/>
              </w:rPr>
              <w:t xml:space="preserve"> </w:t>
            </w:r>
            <w:r w:rsidRPr="0018142A">
              <w:rPr>
                <w:rFonts w:eastAsia="Calibri"/>
                <w:b/>
                <w:bCs/>
                <w:i/>
                <w:iCs/>
                <w:sz w:val="22"/>
                <w:szCs w:val="22"/>
                <w:lang w:val="en-US"/>
              </w:rPr>
              <w:t>(</w:t>
            </w:r>
            <w:proofErr w:type="spellStart"/>
            <w:r w:rsidRPr="0018142A">
              <w:rPr>
                <w:rFonts w:eastAsia="Calibri"/>
                <w:b/>
                <w:bCs/>
                <w:i/>
                <w:iCs/>
                <w:sz w:val="22"/>
                <w:szCs w:val="22"/>
                <w:lang w:val="en-US"/>
              </w:rPr>
              <w:t>wersja</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wynikająca</w:t>
            </w:r>
            <w:proofErr w:type="spellEnd"/>
            <w:r w:rsidRPr="0018142A">
              <w:rPr>
                <w:rFonts w:eastAsia="Calibri"/>
                <w:b/>
                <w:bCs/>
                <w:i/>
                <w:iCs/>
                <w:sz w:val="22"/>
                <w:szCs w:val="22"/>
                <w:lang w:val="en-US"/>
              </w:rPr>
              <w:t xml:space="preserve"> z </w:t>
            </w:r>
            <w:proofErr w:type="spellStart"/>
            <w:r w:rsidRPr="0018142A">
              <w:rPr>
                <w:rFonts w:eastAsia="Calibri"/>
                <w:b/>
                <w:bCs/>
                <w:i/>
                <w:iCs/>
                <w:sz w:val="22"/>
                <w:szCs w:val="22"/>
                <w:lang w:val="en-US"/>
              </w:rPr>
              <w:t>zależności</w:t>
            </w:r>
            <w:proofErr w:type="spellEnd"/>
            <w:r w:rsidRPr="0018142A">
              <w:rPr>
                <w:rFonts w:eastAsia="Calibri"/>
                <w:b/>
                <w:bCs/>
                <w:i/>
                <w:iCs/>
                <w:sz w:val="22"/>
                <w:szCs w:val="22"/>
                <w:lang w:val="en-US"/>
              </w:rPr>
              <w:t xml:space="preserve"> do </w:t>
            </w:r>
            <w:proofErr w:type="spellStart"/>
            <w:r w:rsidRPr="0018142A">
              <w:rPr>
                <w:rFonts w:eastAsia="Calibri"/>
                <w:b/>
                <w:bCs/>
                <w:i/>
                <w:iCs/>
                <w:sz w:val="22"/>
                <w:szCs w:val="22"/>
                <w:lang w:val="en-US"/>
              </w:rPr>
              <w:t>wersji</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głównej</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normy</w:t>
            </w:r>
            <w:proofErr w:type="spellEnd"/>
            <w:r w:rsidRPr="0018142A">
              <w:rPr>
                <w:rFonts w:eastAsia="Calibri"/>
                <w:b/>
                <w:bCs/>
                <w:i/>
                <w:iCs/>
                <w:sz w:val="22"/>
                <w:szCs w:val="22"/>
                <w:lang w:val="en-US"/>
              </w:rPr>
              <w:t xml:space="preserve"> ETSI TS 102 232-1)</w:t>
            </w:r>
            <w:r w:rsidRPr="0018142A">
              <w:rPr>
                <w:rFonts w:eastAsia="Calibri"/>
                <w:i/>
                <w:iCs/>
                <w:sz w:val="22"/>
                <w:szCs w:val="22"/>
                <w:lang w:val="en-US"/>
              </w:rPr>
              <w:t xml:space="preserve"> Lawful Interception (LI); Handover Interface and Service-Specific Details (SSD) for IP delivery; Part 5: Service-specific details for IP Multimedia Services, </w:t>
            </w:r>
            <w:proofErr w:type="spellStart"/>
            <w:r w:rsidRPr="0018142A">
              <w:rPr>
                <w:rFonts w:eastAsia="Calibri"/>
                <w:i/>
                <w:iCs/>
                <w:sz w:val="22"/>
                <w:szCs w:val="22"/>
                <w:lang w:val="en-US"/>
              </w:rPr>
              <w:t>zwany</w:t>
            </w:r>
            <w:proofErr w:type="spellEnd"/>
            <w:r w:rsidRPr="0018142A">
              <w:rPr>
                <w:rFonts w:eastAsia="Calibri"/>
                <w:i/>
                <w:iCs/>
                <w:sz w:val="22"/>
                <w:szCs w:val="22"/>
                <w:lang w:val="en-US"/>
              </w:rPr>
              <w:t xml:space="preserve"> </w:t>
            </w:r>
            <w:proofErr w:type="spellStart"/>
            <w:r w:rsidRPr="0018142A">
              <w:rPr>
                <w:rFonts w:eastAsia="Calibri"/>
                <w:i/>
                <w:iCs/>
                <w:sz w:val="22"/>
                <w:szCs w:val="22"/>
                <w:lang w:val="en-US"/>
              </w:rPr>
              <w:t>dalej</w:t>
            </w:r>
            <w:proofErr w:type="spellEnd"/>
            <w:r w:rsidRPr="0018142A">
              <w:rPr>
                <w:rFonts w:eastAsia="Calibri"/>
                <w:i/>
                <w:iCs/>
                <w:sz w:val="22"/>
                <w:szCs w:val="22"/>
                <w:lang w:val="en-US"/>
              </w:rPr>
              <w:t xml:space="preserve"> „ETSI TS 102 232-5”;</w:t>
            </w:r>
          </w:p>
          <w:p w14:paraId="147E22D4"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[5] ETSI TS 102 232-6 </w:t>
            </w:r>
            <w:proofErr w:type="spellStart"/>
            <w:r w:rsidRPr="0018142A">
              <w:rPr>
                <w:rFonts w:eastAsia="Calibri"/>
                <w:i/>
                <w:iCs/>
                <w:strike/>
                <w:sz w:val="22"/>
                <w:szCs w:val="22"/>
                <w:lang w:val="en-US"/>
              </w:rPr>
              <w:t>V3.5.1</w:t>
            </w:r>
            <w:proofErr w:type="spellEnd"/>
            <w:r w:rsidRPr="0018142A">
              <w:rPr>
                <w:rFonts w:eastAsia="Calibri"/>
                <w:i/>
                <w:iCs/>
                <w:strike/>
                <w:sz w:val="22"/>
                <w:szCs w:val="22"/>
                <w:lang w:val="en-US"/>
              </w:rPr>
              <w:t xml:space="preserve"> </w:t>
            </w:r>
            <w:r w:rsidRPr="0018142A">
              <w:rPr>
                <w:rFonts w:eastAsia="Calibri"/>
                <w:b/>
                <w:bCs/>
                <w:i/>
                <w:iCs/>
                <w:sz w:val="22"/>
                <w:szCs w:val="22"/>
                <w:lang w:val="en-US"/>
              </w:rPr>
              <w:t>(</w:t>
            </w:r>
            <w:proofErr w:type="spellStart"/>
            <w:r w:rsidRPr="0018142A">
              <w:rPr>
                <w:rFonts w:eastAsia="Calibri"/>
                <w:b/>
                <w:bCs/>
                <w:i/>
                <w:iCs/>
                <w:sz w:val="22"/>
                <w:szCs w:val="22"/>
                <w:lang w:val="en-US"/>
              </w:rPr>
              <w:t>wersja</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wynikająca</w:t>
            </w:r>
            <w:proofErr w:type="spellEnd"/>
            <w:r w:rsidRPr="0018142A">
              <w:rPr>
                <w:rFonts w:eastAsia="Calibri"/>
                <w:b/>
                <w:bCs/>
                <w:i/>
                <w:iCs/>
                <w:sz w:val="22"/>
                <w:szCs w:val="22"/>
                <w:lang w:val="en-US"/>
              </w:rPr>
              <w:t xml:space="preserve"> z </w:t>
            </w:r>
            <w:proofErr w:type="spellStart"/>
            <w:r w:rsidRPr="0018142A">
              <w:rPr>
                <w:rFonts w:eastAsia="Calibri"/>
                <w:b/>
                <w:bCs/>
                <w:i/>
                <w:iCs/>
                <w:sz w:val="22"/>
                <w:szCs w:val="22"/>
                <w:lang w:val="en-US"/>
              </w:rPr>
              <w:t>zależności</w:t>
            </w:r>
            <w:proofErr w:type="spellEnd"/>
            <w:r w:rsidRPr="0018142A">
              <w:rPr>
                <w:rFonts w:eastAsia="Calibri"/>
                <w:b/>
                <w:bCs/>
                <w:i/>
                <w:iCs/>
                <w:sz w:val="22"/>
                <w:szCs w:val="22"/>
                <w:lang w:val="en-US"/>
              </w:rPr>
              <w:t xml:space="preserve"> do </w:t>
            </w:r>
            <w:proofErr w:type="spellStart"/>
            <w:r w:rsidRPr="0018142A">
              <w:rPr>
                <w:rFonts w:eastAsia="Calibri"/>
                <w:b/>
                <w:bCs/>
                <w:i/>
                <w:iCs/>
                <w:sz w:val="22"/>
                <w:szCs w:val="22"/>
                <w:lang w:val="en-US"/>
              </w:rPr>
              <w:t>wersji</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głównej</w:t>
            </w:r>
            <w:proofErr w:type="spellEnd"/>
            <w:r w:rsidRPr="0018142A">
              <w:rPr>
                <w:rFonts w:eastAsia="Calibri"/>
                <w:b/>
                <w:bCs/>
                <w:i/>
                <w:iCs/>
                <w:sz w:val="22"/>
                <w:szCs w:val="22"/>
                <w:lang w:val="en-US"/>
              </w:rPr>
              <w:t xml:space="preserve"> </w:t>
            </w:r>
            <w:proofErr w:type="spellStart"/>
            <w:r w:rsidRPr="0018142A">
              <w:rPr>
                <w:rFonts w:eastAsia="Calibri"/>
                <w:b/>
                <w:bCs/>
                <w:i/>
                <w:iCs/>
                <w:sz w:val="22"/>
                <w:szCs w:val="22"/>
                <w:lang w:val="en-US"/>
              </w:rPr>
              <w:t>normy</w:t>
            </w:r>
            <w:proofErr w:type="spellEnd"/>
            <w:r w:rsidRPr="0018142A">
              <w:rPr>
                <w:rFonts w:eastAsia="Calibri"/>
                <w:b/>
                <w:bCs/>
                <w:i/>
                <w:iCs/>
                <w:sz w:val="22"/>
                <w:szCs w:val="22"/>
                <w:lang w:val="en-US"/>
              </w:rPr>
              <w:t xml:space="preserve"> ETSI TS 102 232-1)</w:t>
            </w:r>
            <w:r w:rsidRPr="0018142A">
              <w:rPr>
                <w:rFonts w:eastAsia="Calibri"/>
                <w:i/>
                <w:iCs/>
                <w:sz w:val="22"/>
                <w:szCs w:val="22"/>
                <w:lang w:val="en-US"/>
              </w:rPr>
              <w:t xml:space="preserve"> Lawful Interception (LI); Handover Interface and Service-Specific Details (SSD) for IP delivery; Part 6: Service-specific details for PSTN/ISDN services, </w:t>
            </w:r>
            <w:proofErr w:type="spellStart"/>
            <w:r w:rsidRPr="0018142A">
              <w:rPr>
                <w:rFonts w:eastAsia="Calibri"/>
                <w:i/>
                <w:iCs/>
                <w:sz w:val="22"/>
                <w:szCs w:val="22"/>
                <w:lang w:val="en-US"/>
              </w:rPr>
              <w:t>zwany</w:t>
            </w:r>
            <w:proofErr w:type="spellEnd"/>
            <w:r w:rsidRPr="0018142A">
              <w:rPr>
                <w:rFonts w:eastAsia="Calibri"/>
                <w:i/>
                <w:iCs/>
                <w:sz w:val="22"/>
                <w:szCs w:val="22"/>
                <w:lang w:val="en-US"/>
              </w:rPr>
              <w:t xml:space="preserve"> </w:t>
            </w:r>
            <w:proofErr w:type="spellStart"/>
            <w:r w:rsidRPr="0018142A">
              <w:rPr>
                <w:rFonts w:eastAsia="Calibri"/>
                <w:i/>
                <w:iCs/>
                <w:sz w:val="22"/>
                <w:szCs w:val="22"/>
                <w:lang w:val="en-US"/>
              </w:rPr>
              <w:t>dalej</w:t>
            </w:r>
            <w:proofErr w:type="spellEnd"/>
            <w:r w:rsidRPr="0018142A">
              <w:rPr>
                <w:rFonts w:eastAsia="Calibri"/>
                <w:i/>
                <w:iCs/>
                <w:sz w:val="22"/>
                <w:szCs w:val="22"/>
                <w:lang w:val="en-US"/>
              </w:rPr>
              <w:t xml:space="preserve"> „ETSI TS 102 232-6”;</w:t>
            </w:r>
          </w:p>
          <w:p w14:paraId="460ADAF5" w14:textId="6A4D5BBC" w:rsidR="00105DCA" w:rsidRPr="0018142A" w:rsidRDefault="00105DCA" w:rsidP="00105DCA">
            <w:pPr>
              <w:pStyle w:val="paragraph"/>
              <w:spacing w:before="0" w:beforeAutospacing="0" w:after="0" w:afterAutospacing="0"/>
              <w:ind w:left="62"/>
              <w:jc w:val="both"/>
              <w:textAlignment w:val="baseline"/>
              <w:rPr>
                <w:rFonts w:eastAsia="Calibri"/>
                <w:i/>
                <w:iCs/>
                <w:sz w:val="22"/>
                <w:szCs w:val="22"/>
                <w:lang w:val="en-US" w:eastAsia="en-US"/>
              </w:rPr>
            </w:pPr>
            <w:r w:rsidRPr="0018142A">
              <w:rPr>
                <w:rFonts w:eastAsia="Calibri"/>
                <w:i/>
                <w:iCs/>
                <w:sz w:val="22"/>
                <w:szCs w:val="22"/>
                <w:lang w:val="en-US" w:eastAsia="en-US"/>
              </w:rPr>
              <w:t>[6]  ETSI TS 102 232-7 V3.13.1 Lawful Interception (LI); Handover Interface and Service-</w:t>
            </w:r>
            <w:r w:rsidR="004A2F4B">
              <w:rPr>
                <w:rFonts w:eastAsia="Calibri"/>
                <w:i/>
                <w:iCs/>
                <w:sz w:val="22"/>
                <w:szCs w:val="22"/>
                <w:lang w:val="en-US" w:eastAsia="en-US"/>
              </w:rPr>
              <w:t xml:space="preserve"> </w:t>
            </w:r>
          </w:p>
          <w:p w14:paraId="297ECED5" w14:textId="77777777" w:rsidR="00105DCA" w:rsidRPr="0018142A" w:rsidRDefault="00105DCA" w:rsidP="00105DCA">
            <w:pPr>
              <w:pStyle w:val="paragraph"/>
              <w:spacing w:before="0" w:beforeAutospacing="0" w:after="120" w:afterAutospacing="0"/>
              <w:ind w:left="62"/>
              <w:jc w:val="both"/>
              <w:textAlignment w:val="baseline"/>
              <w:rPr>
                <w:rFonts w:eastAsia="Calibri"/>
                <w:i/>
                <w:iCs/>
                <w:sz w:val="22"/>
                <w:szCs w:val="22"/>
                <w:lang w:val="en-US" w:eastAsia="en-US"/>
              </w:rPr>
            </w:pPr>
            <w:r w:rsidRPr="0018142A">
              <w:rPr>
                <w:rFonts w:eastAsia="Calibri"/>
                <w:i/>
                <w:iCs/>
                <w:sz w:val="22"/>
                <w:szCs w:val="22"/>
                <w:lang w:val="en-US" w:eastAsia="en-US"/>
              </w:rPr>
              <w:t xml:space="preserve">Specific Details (SSD) for IP delivery; Part 7: Service-specific details for Mobile Services, </w:t>
            </w:r>
            <w:proofErr w:type="spellStart"/>
            <w:r w:rsidRPr="0018142A">
              <w:rPr>
                <w:rFonts w:eastAsia="Calibri"/>
                <w:i/>
                <w:iCs/>
                <w:sz w:val="22"/>
                <w:szCs w:val="22"/>
                <w:lang w:val="en-US" w:eastAsia="en-US"/>
              </w:rPr>
              <w:t>zwany</w:t>
            </w:r>
            <w:proofErr w:type="spellEnd"/>
            <w:r w:rsidRPr="0018142A">
              <w:rPr>
                <w:rFonts w:eastAsia="Calibri"/>
                <w:i/>
                <w:iCs/>
                <w:sz w:val="22"/>
                <w:szCs w:val="22"/>
                <w:lang w:val="en-US" w:eastAsia="en-US"/>
              </w:rPr>
              <w:t xml:space="preserve"> </w:t>
            </w:r>
            <w:proofErr w:type="spellStart"/>
            <w:r w:rsidRPr="0018142A">
              <w:rPr>
                <w:rFonts w:eastAsia="Calibri"/>
                <w:i/>
                <w:iCs/>
                <w:sz w:val="22"/>
                <w:szCs w:val="22"/>
                <w:lang w:val="en-US" w:eastAsia="en-US"/>
              </w:rPr>
              <w:t>dalej</w:t>
            </w:r>
            <w:proofErr w:type="spellEnd"/>
            <w:r w:rsidRPr="0018142A">
              <w:rPr>
                <w:rFonts w:eastAsia="Calibri"/>
                <w:i/>
                <w:iCs/>
                <w:sz w:val="22"/>
                <w:szCs w:val="22"/>
                <w:lang w:val="en-US" w:eastAsia="en-US"/>
              </w:rPr>
              <w:t xml:space="preserve"> „ETSI TS 102 232-7”;</w:t>
            </w:r>
          </w:p>
          <w:p w14:paraId="00D19574" w14:textId="77777777" w:rsidR="00105DCA" w:rsidRPr="0018142A" w:rsidRDefault="00105DCA" w:rsidP="00105DCA">
            <w:pPr>
              <w:spacing w:after="120"/>
              <w:ind w:left="62" w:firstLine="1"/>
              <w:jc w:val="both"/>
              <w:rPr>
                <w:rFonts w:eastAsia="Calibri"/>
                <w:i/>
                <w:iCs/>
                <w:strike/>
                <w:sz w:val="22"/>
                <w:szCs w:val="22"/>
                <w:lang w:val="en-US"/>
              </w:rPr>
            </w:pPr>
            <w:r w:rsidRPr="0018142A">
              <w:rPr>
                <w:rFonts w:eastAsia="Calibri"/>
                <w:i/>
                <w:iCs/>
                <w:strike/>
                <w:sz w:val="22"/>
                <w:szCs w:val="22"/>
                <w:lang w:val="en-US"/>
              </w:rPr>
              <w:t xml:space="preserve">[7] ETSI TS 102 657 V1.7.1 Lawful Interception (LI); Retained data handling; Handover interface for the request and delivery of retained data, </w:t>
            </w:r>
            <w:proofErr w:type="spellStart"/>
            <w:r w:rsidRPr="0018142A">
              <w:rPr>
                <w:rFonts w:eastAsia="Calibri"/>
                <w:i/>
                <w:iCs/>
                <w:strike/>
                <w:sz w:val="22"/>
                <w:szCs w:val="22"/>
                <w:lang w:val="en-US"/>
              </w:rPr>
              <w:t>zwany</w:t>
            </w:r>
            <w:proofErr w:type="spellEnd"/>
            <w:r w:rsidRPr="0018142A">
              <w:rPr>
                <w:rFonts w:eastAsia="Calibri"/>
                <w:i/>
                <w:iCs/>
                <w:strike/>
                <w:sz w:val="22"/>
                <w:szCs w:val="22"/>
                <w:lang w:val="en-US"/>
              </w:rPr>
              <w:t xml:space="preserve"> </w:t>
            </w:r>
            <w:proofErr w:type="spellStart"/>
            <w:r w:rsidRPr="0018142A">
              <w:rPr>
                <w:rFonts w:eastAsia="Calibri"/>
                <w:i/>
                <w:iCs/>
                <w:strike/>
                <w:sz w:val="22"/>
                <w:szCs w:val="22"/>
                <w:lang w:val="en-US"/>
              </w:rPr>
              <w:t>dalej</w:t>
            </w:r>
            <w:proofErr w:type="spellEnd"/>
            <w:r w:rsidRPr="0018142A">
              <w:rPr>
                <w:rFonts w:eastAsia="Calibri"/>
                <w:i/>
                <w:iCs/>
                <w:strike/>
                <w:sz w:val="22"/>
                <w:szCs w:val="22"/>
                <w:lang w:val="en-US"/>
              </w:rPr>
              <w:t xml:space="preserve"> „ETSI TS 102 657”;</w:t>
            </w:r>
          </w:p>
          <w:p w14:paraId="035F2EFA" w14:textId="77777777" w:rsidR="00105DCA" w:rsidRPr="0018142A" w:rsidRDefault="00105DCA" w:rsidP="00105DCA">
            <w:pPr>
              <w:ind w:left="62"/>
              <w:jc w:val="both"/>
              <w:rPr>
                <w:rFonts w:eastAsia="Calibri"/>
                <w:sz w:val="22"/>
                <w:szCs w:val="22"/>
                <w:lang w:val="en-GB"/>
              </w:rPr>
            </w:pPr>
            <w:r w:rsidRPr="0018142A">
              <w:rPr>
                <w:rFonts w:eastAsia="Calibri"/>
                <w:sz w:val="22"/>
                <w:szCs w:val="22"/>
                <w:lang w:val="en-GB"/>
              </w:rPr>
              <w:t>[…]</w:t>
            </w:r>
          </w:p>
          <w:p w14:paraId="7599EA42" w14:textId="77777777" w:rsidR="00105DCA" w:rsidRPr="0018142A" w:rsidRDefault="00105DCA" w:rsidP="00105DCA">
            <w:pPr>
              <w:ind w:left="62"/>
              <w:jc w:val="both"/>
              <w:rPr>
                <w:rFonts w:eastAsia="Calibri"/>
                <w:sz w:val="22"/>
                <w:szCs w:val="22"/>
                <w:lang w:val="en-US"/>
              </w:rPr>
            </w:pPr>
          </w:p>
          <w:p w14:paraId="2CBCEF94" w14:textId="77777777" w:rsidR="00105DCA" w:rsidRPr="0018142A" w:rsidRDefault="00105DCA" w:rsidP="00105DCA">
            <w:pPr>
              <w:spacing w:after="120"/>
              <w:ind w:left="62" w:firstLine="1"/>
              <w:jc w:val="both"/>
              <w:rPr>
                <w:rFonts w:eastAsia="Calibri"/>
                <w:i/>
                <w:iCs/>
                <w:sz w:val="22"/>
                <w:szCs w:val="22"/>
                <w:lang w:val="en-US"/>
              </w:rPr>
            </w:pPr>
            <w:r w:rsidRPr="0018142A">
              <w:rPr>
                <w:rFonts w:eastAsia="Calibri"/>
                <w:i/>
                <w:iCs/>
                <w:sz w:val="22"/>
                <w:szCs w:val="22"/>
                <w:lang w:val="en-US"/>
              </w:rPr>
              <w:t xml:space="preserve">[10] ETSI TS 133 108 </w:t>
            </w:r>
            <w:r w:rsidRPr="0018142A">
              <w:rPr>
                <w:rFonts w:eastAsia="Calibri"/>
                <w:b/>
                <w:bCs/>
                <w:i/>
                <w:iCs/>
                <w:sz w:val="22"/>
                <w:szCs w:val="22"/>
                <w:lang w:val="en-US"/>
              </w:rPr>
              <w:t>V17.3.0</w:t>
            </w:r>
            <w:r w:rsidRPr="0018142A">
              <w:rPr>
                <w:rFonts w:eastAsia="Calibri"/>
                <w:i/>
                <w:iCs/>
                <w:sz w:val="22"/>
                <w:szCs w:val="22"/>
                <w:lang w:val="en-US"/>
              </w:rPr>
              <w:t xml:space="preserve"> </w:t>
            </w:r>
            <w:r w:rsidRPr="0018142A">
              <w:rPr>
                <w:rFonts w:eastAsia="Calibri"/>
                <w:i/>
                <w:iCs/>
                <w:strike/>
                <w:sz w:val="22"/>
                <w:szCs w:val="22"/>
                <w:lang w:val="en-US"/>
              </w:rPr>
              <w:t>V18.0.0</w:t>
            </w:r>
            <w:r w:rsidRPr="0018142A">
              <w:rPr>
                <w:rFonts w:eastAsia="Calibri"/>
                <w:i/>
                <w:iCs/>
                <w:sz w:val="22"/>
                <w:szCs w:val="22"/>
                <w:lang w:val="en-US"/>
              </w:rPr>
              <w:t xml:space="preserve"> Universal Mobile Telecommunications System (UMTS); LTE; 3G security; Handover interface for Lawful Interception (LI), </w:t>
            </w:r>
            <w:proofErr w:type="spellStart"/>
            <w:r w:rsidRPr="0018142A">
              <w:rPr>
                <w:rFonts w:eastAsia="Calibri"/>
                <w:i/>
                <w:iCs/>
                <w:sz w:val="22"/>
                <w:szCs w:val="22"/>
                <w:lang w:val="en-US"/>
              </w:rPr>
              <w:t>zwany</w:t>
            </w:r>
            <w:proofErr w:type="spellEnd"/>
            <w:r w:rsidRPr="0018142A">
              <w:rPr>
                <w:rFonts w:eastAsia="Calibri"/>
                <w:i/>
                <w:iCs/>
                <w:sz w:val="22"/>
                <w:szCs w:val="22"/>
                <w:lang w:val="en-US"/>
              </w:rPr>
              <w:t xml:space="preserve"> </w:t>
            </w:r>
            <w:proofErr w:type="spellStart"/>
            <w:r w:rsidRPr="0018142A">
              <w:rPr>
                <w:rFonts w:eastAsia="Calibri"/>
                <w:i/>
                <w:iCs/>
                <w:sz w:val="22"/>
                <w:szCs w:val="22"/>
                <w:lang w:val="en-US"/>
              </w:rPr>
              <w:t>dalej</w:t>
            </w:r>
            <w:proofErr w:type="spellEnd"/>
            <w:r w:rsidRPr="0018142A">
              <w:rPr>
                <w:rFonts w:eastAsia="Calibri"/>
                <w:i/>
                <w:iCs/>
                <w:sz w:val="22"/>
                <w:szCs w:val="22"/>
                <w:lang w:val="en-US"/>
              </w:rPr>
              <w:t xml:space="preserve"> „ETSI TS 133 108”;</w:t>
            </w:r>
          </w:p>
          <w:p w14:paraId="3F3A7403" w14:textId="1054E778" w:rsidR="005D26E1" w:rsidRPr="0018142A" w:rsidRDefault="005D26E1" w:rsidP="00142F55">
            <w:pPr>
              <w:spacing w:after="108"/>
              <w:ind w:left="-5"/>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15F2B921" w14:textId="08BA2687" w:rsidR="005D26E1" w:rsidRPr="0018142A" w:rsidRDefault="005D26E1" w:rsidP="00142F55">
            <w:pPr>
              <w:ind w:left="-5"/>
              <w:jc w:val="both"/>
              <w:rPr>
                <w:sz w:val="22"/>
                <w:szCs w:val="22"/>
              </w:rPr>
            </w:pPr>
            <w:r w:rsidRPr="0018142A">
              <w:rPr>
                <w:sz w:val="22"/>
                <w:szCs w:val="22"/>
              </w:rPr>
              <w:t>Proponowane zmiany w zakresie wykazu norm mają na celu zapewnienie spójności norm w zależności od wersji głównej normy ETSI TS 102</w:t>
            </w:r>
            <w:r w:rsidRPr="0018142A">
              <w:rPr>
                <w:rFonts w:eastAsia="Calibri"/>
                <w:sz w:val="22"/>
                <w:szCs w:val="22"/>
              </w:rPr>
              <w:t xml:space="preserve"> 232-</w:t>
            </w:r>
            <w:r w:rsidRPr="0018142A">
              <w:rPr>
                <w:sz w:val="22"/>
                <w:szCs w:val="22"/>
              </w:rPr>
              <w:t>1 oraz uwzględnienie norm, w oparciu, o które zostały zaprojektowane aktualnie funkcjonujące rozwiązania będące przedmiotem umów zawartych pomiędzy podmiotami uprawnionymi a przedsiębiorcami telekomunikacyjnymi.</w:t>
            </w:r>
            <w:r w:rsidR="004A2F4B">
              <w:rPr>
                <w:sz w:val="22"/>
                <w:szCs w:val="22"/>
              </w:rPr>
              <w:t xml:space="preserve"> </w:t>
            </w:r>
          </w:p>
        </w:tc>
        <w:tc>
          <w:tcPr>
            <w:tcW w:w="3941" w:type="dxa"/>
            <w:tcBorders>
              <w:bottom w:val="single" w:sz="4" w:space="0" w:color="auto"/>
            </w:tcBorders>
          </w:tcPr>
          <w:p w14:paraId="2A82EE13" w14:textId="3C40C6A8" w:rsidR="005D26E1" w:rsidRDefault="00910C8B" w:rsidP="0018142A">
            <w:pPr>
              <w:pStyle w:val="Bezodstpw"/>
              <w:jc w:val="both"/>
              <w:rPr>
                <w:rFonts w:ascii="Times New Roman" w:hAnsi="Times New Roman" w:cs="Times New Roman"/>
                <w:b/>
                <w:bCs/>
              </w:rPr>
            </w:pPr>
            <w:r w:rsidRPr="0018142A">
              <w:rPr>
                <w:rFonts w:ascii="Times New Roman" w:hAnsi="Times New Roman" w:cs="Times New Roman"/>
                <w:b/>
                <w:bCs/>
              </w:rPr>
              <w:t xml:space="preserve">Uwaga </w:t>
            </w:r>
            <w:r w:rsidR="007124A3">
              <w:rPr>
                <w:rFonts w:ascii="Times New Roman" w:hAnsi="Times New Roman" w:cs="Times New Roman"/>
                <w:b/>
                <w:bCs/>
              </w:rPr>
              <w:t xml:space="preserve">częściowo </w:t>
            </w:r>
            <w:r w:rsidRPr="0018142A">
              <w:rPr>
                <w:rFonts w:ascii="Times New Roman" w:hAnsi="Times New Roman" w:cs="Times New Roman"/>
                <w:b/>
                <w:bCs/>
              </w:rPr>
              <w:t>uwzględniona</w:t>
            </w:r>
          </w:p>
          <w:p w14:paraId="399F5BA3" w14:textId="23A4256D" w:rsidR="007124A3" w:rsidRDefault="002D7742" w:rsidP="0018142A">
            <w:pPr>
              <w:pStyle w:val="Bezodstpw"/>
              <w:jc w:val="both"/>
              <w:rPr>
                <w:rFonts w:ascii="Times New Roman" w:hAnsi="Times New Roman" w:cs="Times New Roman"/>
              </w:rPr>
            </w:pPr>
            <w:r>
              <w:rPr>
                <w:rFonts w:ascii="Times New Roman" w:hAnsi="Times New Roman" w:cs="Times New Roman"/>
              </w:rPr>
              <w:t>W wyniku propozycji Polskiej Izby Informatyki i Telekomunikacji, w</w:t>
            </w:r>
            <w:r w:rsidR="007124A3" w:rsidRPr="0018142A">
              <w:rPr>
                <w:rFonts w:ascii="Times New Roman" w:hAnsi="Times New Roman" w:cs="Times New Roman"/>
              </w:rPr>
              <w:t xml:space="preserve"> trakcie warsztatów </w:t>
            </w:r>
            <w:r w:rsidR="007124A3">
              <w:rPr>
                <w:rFonts w:ascii="Times New Roman" w:hAnsi="Times New Roman" w:cs="Times New Roman"/>
              </w:rPr>
              <w:t>z udziałem przedstawicieli uprawnionych</w:t>
            </w:r>
            <w:r>
              <w:rPr>
                <w:rFonts w:ascii="Times New Roman" w:hAnsi="Times New Roman" w:cs="Times New Roman"/>
              </w:rPr>
              <w:t xml:space="preserve"> podmiotów</w:t>
            </w:r>
            <w:r w:rsidR="007124A3">
              <w:rPr>
                <w:rFonts w:ascii="Times New Roman" w:hAnsi="Times New Roman" w:cs="Times New Roman"/>
              </w:rPr>
              <w:t xml:space="preserve"> i</w:t>
            </w:r>
            <w:r w:rsidR="0018142A">
              <w:rPr>
                <w:rFonts w:ascii="Times New Roman" w:hAnsi="Times New Roman" w:cs="Times New Roman"/>
              </w:rPr>
              <w:t> </w:t>
            </w:r>
            <w:r w:rsidR="007124A3">
              <w:rPr>
                <w:rFonts w:ascii="Times New Roman" w:hAnsi="Times New Roman" w:cs="Times New Roman"/>
              </w:rPr>
              <w:t xml:space="preserve">przedsiębiorców telekomunikacyjnych </w:t>
            </w:r>
            <w:r w:rsidR="007124A3" w:rsidRPr="0018142A">
              <w:rPr>
                <w:rFonts w:ascii="Times New Roman" w:hAnsi="Times New Roman" w:cs="Times New Roman"/>
              </w:rPr>
              <w:t>uzgodniono</w:t>
            </w:r>
            <w:r w:rsidR="007124A3">
              <w:rPr>
                <w:rFonts w:ascii="Times New Roman" w:hAnsi="Times New Roman" w:cs="Times New Roman"/>
              </w:rPr>
              <w:t xml:space="preserve">, </w:t>
            </w:r>
            <w:r w:rsidR="007124A3" w:rsidRPr="0018142A">
              <w:rPr>
                <w:rFonts w:ascii="Times New Roman" w:hAnsi="Times New Roman" w:cs="Times New Roman"/>
              </w:rPr>
              <w:t>ostateczne wersje norm</w:t>
            </w:r>
            <w:r w:rsidR="007124A3">
              <w:rPr>
                <w:rFonts w:ascii="Times New Roman" w:hAnsi="Times New Roman" w:cs="Times New Roman"/>
              </w:rPr>
              <w:t>: w</w:t>
            </w:r>
            <w:r w:rsidR="00125604">
              <w:rPr>
                <w:rFonts w:ascii="Times New Roman" w:hAnsi="Times New Roman" w:cs="Times New Roman"/>
              </w:rPr>
              <w:t> </w:t>
            </w:r>
            <w:r w:rsidR="007124A3">
              <w:rPr>
                <w:rFonts w:ascii="Times New Roman" w:hAnsi="Times New Roman" w:cs="Times New Roman"/>
              </w:rPr>
              <w:t>przypadku [2] jest to wersja 3.2.1,</w:t>
            </w:r>
            <w:r w:rsidR="00576A96">
              <w:rPr>
                <w:rFonts w:ascii="Times New Roman" w:hAnsi="Times New Roman" w:cs="Times New Roman"/>
              </w:rPr>
              <w:t xml:space="preserve"> </w:t>
            </w:r>
            <w:r w:rsidR="007124A3">
              <w:rPr>
                <w:rFonts w:ascii="Times New Roman" w:hAnsi="Times New Roman" w:cs="Times New Roman"/>
              </w:rPr>
              <w:t>w</w:t>
            </w:r>
            <w:r w:rsidR="00125604">
              <w:rPr>
                <w:rFonts w:ascii="Times New Roman" w:hAnsi="Times New Roman" w:cs="Times New Roman"/>
              </w:rPr>
              <w:t> </w:t>
            </w:r>
            <w:r w:rsidR="007124A3">
              <w:rPr>
                <w:rFonts w:ascii="Times New Roman" w:hAnsi="Times New Roman" w:cs="Times New Roman"/>
              </w:rPr>
              <w:t xml:space="preserve">przypadku [6] nie podano wersji zastępując ją treścią </w:t>
            </w:r>
            <w:r w:rsidR="007124A3" w:rsidRPr="00BA2ABB">
              <w:rPr>
                <w:rFonts w:ascii="Times New Roman" w:hAnsi="Times New Roman" w:cs="Times New Roman"/>
              </w:rPr>
              <w:t>„wersja wynikająca z</w:t>
            </w:r>
            <w:r w:rsidR="00125604">
              <w:rPr>
                <w:rFonts w:ascii="Times New Roman" w:hAnsi="Times New Roman" w:cs="Times New Roman"/>
              </w:rPr>
              <w:t> </w:t>
            </w:r>
            <w:r w:rsidR="007124A3" w:rsidRPr="00BA2ABB">
              <w:rPr>
                <w:rFonts w:ascii="Times New Roman" w:hAnsi="Times New Roman" w:cs="Times New Roman"/>
              </w:rPr>
              <w:t>zależności do wersji głównej normy ETSI TS 102 232-1”</w:t>
            </w:r>
            <w:r w:rsidR="00576A96" w:rsidRPr="00BA2ABB">
              <w:rPr>
                <w:rFonts w:ascii="Times New Roman" w:hAnsi="Times New Roman" w:cs="Times New Roman"/>
              </w:rPr>
              <w:t>,</w:t>
            </w:r>
            <w:r w:rsidR="00576A96">
              <w:rPr>
                <w:rFonts w:ascii="Times New Roman" w:hAnsi="Times New Roman" w:cs="Times New Roman"/>
              </w:rPr>
              <w:t xml:space="preserve"> a w przypadku [10] jest to wersja 12.8.0.</w:t>
            </w:r>
          </w:p>
          <w:p w14:paraId="005A5B36" w14:textId="77777777" w:rsidR="007124A3" w:rsidRDefault="007124A3" w:rsidP="0018142A">
            <w:pPr>
              <w:pStyle w:val="Bezodstpw"/>
              <w:jc w:val="both"/>
              <w:rPr>
                <w:rFonts w:ascii="Times New Roman" w:hAnsi="Times New Roman" w:cs="Times New Roman"/>
              </w:rPr>
            </w:pPr>
          </w:p>
          <w:p w14:paraId="1BB4DBBE" w14:textId="2915A932" w:rsidR="007124A3" w:rsidRPr="0018142A" w:rsidRDefault="00576A96" w:rsidP="0018142A">
            <w:pPr>
              <w:pStyle w:val="Bezodstpw"/>
              <w:jc w:val="both"/>
              <w:rPr>
                <w:rFonts w:ascii="Times New Roman" w:hAnsi="Times New Roman" w:cs="Times New Roman"/>
              </w:rPr>
            </w:pPr>
            <w:r w:rsidRPr="0018142A">
              <w:rPr>
                <w:rFonts w:ascii="Times New Roman" w:hAnsi="Times New Roman" w:cs="Times New Roman"/>
                <w:b/>
                <w:bCs/>
              </w:rPr>
              <w:t xml:space="preserve">Nie </w:t>
            </w:r>
            <w:r w:rsidR="00125604">
              <w:rPr>
                <w:rFonts w:ascii="Times New Roman" w:hAnsi="Times New Roman" w:cs="Times New Roman"/>
                <w:b/>
                <w:bCs/>
              </w:rPr>
              <w:t xml:space="preserve">zostało </w:t>
            </w:r>
            <w:r w:rsidRPr="0018142A">
              <w:rPr>
                <w:rFonts w:ascii="Times New Roman" w:hAnsi="Times New Roman" w:cs="Times New Roman"/>
                <w:b/>
                <w:bCs/>
              </w:rPr>
              <w:t>uwzględnion</w:t>
            </w:r>
            <w:r w:rsidR="00125604">
              <w:rPr>
                <w:rFonts w:ascii="Times New Roman" w:hAnsi="Times New Roman" w:cs="Times New Roman"/>
                <w:b/>
                <w:bCs/>
              </w:rPr>
              <w:t>e</w:t>
            </w:r>
            <w:r>
              <w:rPr>
                <w:rFonts w:ascii="Times New Roman" w:hAnsi="Times New Roman" w:cs="Times New Roman"/>
              </w:rPr>
              <w:t xml:space="preserve"> skreślani</w:t>
            </w:r>
            <w:r w:rsidR="00125604">
              <w:rPr>
                <w:rFonts w:ascii="Times New Roman" w:hAnsi="Times New Roman" w:cs="Times New Roman"/>
              </w:rPr>
              <w:t xml:space="preserve">e </w:t>
            </w:r>
            <w:r>
              <w:rPr>
                <w:rFonts w:ascii="Times New Roman" w:hAnsi="Times New Roman" w:cs="Times New Roman"/>
              </w:rPr>
              <w:t>normy [7] z</w:t>
            </w:r>
            <w:r w:rsidR="0018142A">
              <w:rPr>
                <w:rFonts w:ascii="Times New Roman" w:hAnsi="Times New Roman" w:cs="Times New Roman"/>
              </w:rPr>
              <w:t> </w:t>
            </w:r>
            <w:r>
              <w:rPr>
                <w:rFonts w:ascii="Times New Roman" w:hAnsi="Times New Roman" w:cs="Times New Roman"/>
              </w:rPr>
              <w:t>uwagi na fakt, że nie uwzględniono skreślania interfejsu HI A-B</w:t>
            </w:r>
            <w:r w:rsidR="005D6380">
              <w:rPr>
                <w:rFonts w:ascii="Times New Roman" w:hAnsi="Times New Roman" w:cs="Times New Roman"/>
              </w:rPr>
              <w:t>.</w:t>
            </w:r>
          </w:p>
        </w:tc>
      </w:tr>
      <w:tr w:rsidR="00AB4A96" w:rsidRPr="00893C20" w14:paraId="5340826F" w14:textId="77777777" w:rsidTr="0018142A">
        <w:tc>
          <w:tcPr>
            <w:tcW w:w="596" w:type="dxa"/>
            <w:tcBorders>
              <w:bottom w:val="single" w:sz="4" w:space="0" w:color="auto"/>
            </w:tcBorders>
            <w:vAlign w:val="center"/>
          </w:tcPr>
          <w:p w14:paraId="35BB4DDC" w14:textId="77777777" w:rsidR="00AB4A96" w:rsidRPr="0018142A" w:rsidRDefault="00AB4A96" w:rsidP="00AB4A96">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51BCB071" w14:textId="77777777"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Załącznik</w:t>
            </w:r>
          </w:p>
          <w:p w14:paraId="6DA6D3D3" w14:textId="3F9C1235"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 xml:space="preserve">pkt 4 </w:t>
            </w:r>
            <w:proofErr w:type="spellStart"/>
            <w:r w:rsidRPr="0018142A">
              <w:rPr>
                <w:rFonts w:ascii="Times New Roman" w:hAnsi="Times New Roman" w:cs="Times New Roman"/>
              </w:rPr>
              <w:t>ppkt</w:t>
            </w:r>
            <w:proofErr w:type="spellEnd"/>
            <w:r w:rsidRPr="0018142A">
              <w:rPr>
                <w:rFonts w:ascii="Times New Roman" w:hAnsi="Times New Roman" w:cs="Times New Roman"/>
              </w:rPr>
              <w:t xml:space="preserve"> 2</w:t>
            </w:r>
          </w:p>
        </w:tc>
        <w:tc>
          <w:tcPr>
            <w:tcW w:w="1692" w:type="dxa"/>
            <w:tcBorders>
              <w:bottom w:val="single" w:sz="4" w:space="0" w:color="auto"/>
            </w:tcBorders>
          </w:tcPr>
          <w:p w14:paraId="34193CDD" w14:textId="2BF1F290" w:rsidR="00AB4A96" w:rsidRPr="005D6380" w:rsidRDefault="00AB4A96" w:rsidP="00AB4A96">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E332508" w14:textId="2D9F9A56" w:rsidR="00AB4A96" w:rsidRPr="0018142A" w:rsidRDefault="00142F55" w:rsidP="00142F55">
            <w:pPr>
              <w:ind w:left="-5"/>
              <w:jc w:val="both"/>
              <w:rPr>
                <w:sz w:val="22"/>
                <w:szCs w:val="22"/>
              </w:rPr>
            </w:pPr>
            <w:r w:rsidRPr="0018142A">
              <w:rPr>
                <w:sz w:val="22"/>
                <w:szCs w:val="22"/>
              </w:rPr>
              <w:t>P</w:t>
            </w:r>
            <w:r w:rsidR="00AB4A96" w:rsidRPr="0018142A">
              <w:rPr>
                <w:sz w:val="22"/>
                <w:szCs w:val="22"/>
              </w:rPr>
              <w:t xml:space="preserve">ropozycja usunięcia definicji </w:t>
            </w:r>
            <w:proofErr w:type="spellStart"/>
            <w:r w:rsidR="00AB4A96" w:rsidRPr="0018142A">
              <w:rPr>
                <w:sz w:val="22"/>
                <w:szCs w:val="22"/>
              </w:rPr>
              <w:t>intefejsu</w:t>
            </w:r>
            <w:proofErr w:type="spellEnd"/>
            <w:r w:rsidR="00AB4A96" w:rsidRPr="0018142A">
              <w:rPr>
                <w:sz w:val="22"/>
                <w:szCs w:val="22"/>
              </w:rPr>
              <w:t xml:space="preserve"> HI A</w:t>
            </w:r>
            <w:r w:rsidR="00AB4A96" w:rsidRPr="0018142A">
              <w:rPr>
                <w:rFonts w:eastAsia="Calibri"/>
                <w:sz w:val="22"/>
                <w:szCs w:val="22"/>
              </w:rPr>
              <w:t xml:space="preserve">-B </w:t>
            </w:r>
          </w:p>
          <w:p w14:paraId="1B209593" w14:textId="77777777" w:rsidR="00AB4A96" w:rsidRPr="0018142A" w:rsidRDefault="00AB4A96"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4740C3D3" w14:textId="2BF431DA" w:rsidR="00AB4A96" w:rsidRPr="0018142A" w:rsidRDefault="00AB4A96"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730A8845" w14:textId="77777777" w:rsidR="00910C8B" w:rsidRPr="0018142A" w:rsidRDefault="00910C8B" w:rsidP="00BA2ABB">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761AB334" w14:textId="77777777" w:rsidR="00910C8B" w:rsidRPr="0018142A" w:rsidRDefault="00910C8B"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1AA551D1" w14:textId="484B5A75" w:rsidR="00AB4A96" w:rsidRPr="0018142A" w:rsidRDefault="00910C8B" w:rsidP="0018142A">
            <w:pPr>
              <w:pStyle w:val="Bezodstpw"/>
              <w:jc w:val="both"/>
              <w:rPr>
                <w:rFonts w:ascii="Times New Roman" w:hAnsi="Times New Roman" w:cs="Times New Roman"/>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AB4A96" w:rsidRPr="00893C20" w14:paraId="1854F0EF" w14:textId="77777777" w:rsidTr="0018142A">
        <w:tc>
          <w:tcPr>
            <w:tcW w:w="596" w:type="dxa"/>
            <w:tcBorders>
              <w:bottom w:val="single" w:sz="4" w:space="0" w:color="auto"/>
            </w:tcBorders>
            <w:vAlign w:val="center"/>
          </w:tcPr>
          <w:p w14:paraId="1439D590" w14:textId="77777777" w:rsidR="00AB4A96" w:rsidRPr="0018142A" w:rsidRDefault="00AB4A96" w:rsidP="00AB4A96">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0EF726F" w14:textId="77777777"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Załącznik</w:t>
            </w:r>
          </w:p>
          <w:p w14:paraId="09C2BDC6" w14:textId="2A928917" w:rsidR="00AB4A96" w:rsidRPr="0018142A" w:rsidRDefault="00AB4A96" w:rsidP="00AB4A96">
            <w:pPr>
              <w:pStyle w:val="Bezodstpw"/>
              <w:jc w:val="center"/>
              <w:rPr>
                <w:rFonts w:ascii="Times New Roman" w:hAnsi="Times New Roman" w:cs="Times New Roman"/>
              </w:rPr>
            </w:pPr>
            <w:r w:rsidRPr="0018142A">
              <w:rPr>
                <w:rFonts w:ascii="Times New Roman" w:hAnsi="Times New Roman" w:cs="Times New Roman"/>
              </w:rPr>
              <w:t>pkt 6.4</w:t>
            </w:r>
          </w:p>
        </w:tc>
        <w:tc>
          <w:tcPr>
            <w:tcW w:w="1692" w:type="dxa"/>
            <w:tcBorders>
              <w:bottom w:val="single" w:sz="4" w:space="0" w:color="auto"/>
            </w:tcBorders>
          </w:tcPr>
          <w:p w14:paraId="0EF6FAD9" w14:textId="003A318C" w:rsidR="00AB4A96" w:rsidRPr="005D6380" w:rsidRDefault="00AB4A96" w:rsidP="00AB4A96">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72E100A4" w14:textId="5C5D4531" w:rsidR="0026503B" w:rsidRPr="0018142A" w:rsidRDefault="0026503B" w:rsidP="0026503B">
            <w:pPr>
              <w:spacing w:after="120"/>
              <w:jc w:val="both"/>
              <w:rPr>
                <w:sz w:val="22"/>
                <w:szCs w:val="22"/>
              </w:rPr>
            </w:pPr>
            <w:r w:rsidRPr="0018142A">
              <w:rPr>
                <w:sz w:val="22"/>
                <w:szCs w:val="22"/>
              </w:rPr>
              <w:t>Propozycja:</w:t>
            </w:r>
          </w:p>
          <w:p w14:paraId="0CA33FC9" w14:textId="1E02F796" w:rsidR="00AB4A96" w:rsidRPr="0018142A" w:rsidRDefault="00AB4A96" w:rsidP="00142F55">
            <w:pPr>
              <w:spacing w:after="108"/>
              <w:ind w:left="-5"/>
              <w:jc w:val="both"/>
              <w:rPr>
                <w:sz w:val="22"/>
                <w:szCs w:val="22"/>
              </w:rPr>
            </w:pPr>
            <w:r w:rsidRPr="0018142A">
              <w:rPr>
                <w:rFonts w:eastAsia="Calibri"/>
                <w:i/>
                <w:sz w:val="22"/>
                <w:szCs w:val="22"/>
              </w:rPr>
              <w:t xml:space="preserve">6.4. Interfejs HI1 zapewnia, </w:t>
            </w:r>
            <w:r w:rsidRPr="0018142A">
              <w:rPr>
                <w:rFonts w:eastAsia="Calibri"/>
                <w:b/>
                <w:i/>
                <w:sz w:val="22"/>
                <w:szCs w:val="22"/>
              </w:rPr>
              <w:t>co najmniej</w:t>
            </w:r>
            <w:r w:rsidRPr="0018142A">
              <w:rPr>
                <w:rFonts w:eastAsia="Calibri"/>
                <w:i/>
                <w:sz w:val="22"/>
                <w:szCs w:val="22"/>
              </w:rPr>
              <w:t xml:space="preserve"> następujące kryteria wyboru monitorowanych usług telekomunikacyjnych, stosownie do rodzaju sieci: </w:t>
            </w:r>
          </w:p>
          <w:p w14:paraId="2B9F01DF" w14:textId="77777777" w:rsidR="00AB4A96" w:rsidRPr="0018142A" w:rsidRDefault="00AB4A96" w:rsidP="00142F55">
            <w:pPr>
              <w:ind w:left="-5" w:right="-41"/>
              <w:jc w:val="both"/>
              <w:rPr>
                <w:rFonts w:eastAsia="Calibri"/>
                <w:b/>
                <w:i/>
                <w:sz w:val="22"/>
                <w:szCs w:val="22"/>
              </w:rPr>
            </w:pPr>
            <w:r w:rsidRPr="0018142A">
              <w:rPr>
                <w:rFonts w:eastAsia="Calibri"/>
                <w:b/>
                <w:i/>
                <w:sz w:val="22"/>
                <w:szCs w:val="22"/>
              </w:rPr>
              <w:t>1) połączenia głosowe oraz krótkie wiadomości tekstowe;</w:t>
            </w:r>
          </w:p>
          <w:p w14:paraId="6DD2C35B" w14:textId="50C93288" w:rsidR="00AB4A96" w:rsidRPr="0018142A" w:rsidRDefault="00AB4A96" w:rsidP="00142F55">
            <w:pPr>
              <w:ind w:left="-5" w:right="-41"/>
              <w:jc w:val="both"/>
              <w:rPr>
                <w:sz w:val="22"/>
                <w:szCs w:val="22"/>
              </w:rPr>
            </w:pPr>
            <w:r w:rsidRPr="0018142A">
              <w:rPr>
                <w:rFonts w:eastAsia="Calibri"/>
                <w:b/>
                <w:i/>
                <w:sz w:val="22"/>
                <w:szCs w:val="22"/>
              </w:rPr>
              <w:t xml:space="preserve">2) transmisja danych: </w:t>
            </w:r>
          </w:p>
          <w:p w14:paraId="499D62E2" w14:textId="52294718" w:rsidR="00AB4A96" w:rsidRPr="0018142A" w:rsidRDefault="00AB4A96" w:rsidP="00142F55">
            <w:pPr>
              <w:numPr>
                <w:ilvl w:val="0"/>
                <w:numId w:val="5"/>
              </w:numPr>
              <w:ind w:hanging="358"/>
              <w:jc w:val="both"/>
              <w:rPr>
                <w:strike/>
                <w:sz w:val="22"/>
                <w:szCs w:val="22"/>
              </w:rPr>
            </w:pPr>
            <w:r w:rsidRPr="0018142A">
              <w:rPr>
                <w:rFonts w:eastAsia="Calibri"/>
                <w:i/>
                <w:strike/>
                <w:sz w:val="22"/>
                <w:szCs w:val="22"/>
              </w:rPr>
              <w:t>z komutacją kanałów, w tym połączenia głosowe, połączenia wideo, przesyłanie faksów, SMS,</w:t>
            </w:r>
            <w:r w:rsidR="004A2F4B">
              <w:rPr>
                <w:rFonts w:eastAsia="Calibri"/>
                <w:i/>
                <w:strike/>
                <w:sz w:val="22"/>
                <w:szCs w:val="22"/>
              </w:rPr>
              <w:t xml:space="preserve"> </w:t>
            </w:r>
            <w:r w:rsidRPr="0018142A">
              <w:rPr>
                <w:rFonts w:eastAsia="Calibri"/>
                <w:i/>
                <w:strike/>
                <w:sz w:val="22"/>
                <w:szCs w:val="22"/>
              </w:rPr>
              <w:t>transmisji danych z wykorzystaniem komutacji łączy (</w:t>
            </w:r>
            <w:proofErr w:type="spellStart"/>
            <w:r w:rsidRPr="0018142A">
              <w:rPr>
                <w:rFonts w:eastAsia="Calibri"/>
                <w:i/>
                <w:strike/>
                <w:sz w:val="22"/>
                <w:szCs w:val="22"/>
              </w:rPr>
              <w:t>Circuit</w:t>
            </w:r>
            <w:proofErr w:type="spellEnd"/>
            <w:r w:rsidRPr="0018142A">
              <w:rPr>
                <w:rFonts w:eastAsia="Calibri"/>
                <w:i/>
                <w:strike/>
                <w:sz w:val="22"/>
                <w:szCs w:val="22"/>
              </w:rPr>
              <w:t xml:space="preserve"> </w:t>
            </w:r>
            <w:proofErr w:type="spellStart"/>
            <w:r w:rsidRPr="0018142A">
              <w:rPr>
                <w:rFonts w:eastAsia="Calibri"/>
                <w:i/>
                <w:strike/>
                <w:sz w:val="22"/>
                <w:szCs w:val="22"/>
              </w:rPr>
              <w:t>Switched</w:t>
            </w:r>
            <w:proofErr w:type="spellEnd"/>
            <w:r w:rsidRPr="0018142A">
              <w:rPr>
                <w:rFonts w:eastAsia="Calibri"/>
                <w:i/>
                <w:strike/>
                <w:sz w:val="22"/>
                <w:szCs w:val="22"/>
              </w:rPr>
              <w:t xml:space="preserve"> Data); </w:t>
            </w:r>
          </w:p>
          <w:p w14:paraId="35E75670" w14:textId="77777777" w:rsidR="00AB4A96" w:rsidRPr="0018142A" w:rsidRDefault="00AB4A96" w:rsidP="00142F55">
            <w:pPr>
              <w:numPr>
                <w:ilvl w:val="0"/>
                <w:numId w:val="5"/>
              </w:numPr>
              <w:ind w:hanging="358"/>
              <w:jc w:val="both"/>
              <w:rPr>
                <w:strike/>
                <w:sz w:val="22"/>
                <w:szCs w:val="22"/>
              </w:rPr>
            </w:pPr>
            <w:r w:rsidRPr="0018142A">
              <w:rPr>
                <w:rFonts w:eastAsia="Calibri"/>
                <w:i/>
                <w:strike/>
                <w:sz w:val="22"/>
                <w:szCs w:val="22"/>
              </w:rPr>
              <w:t xml:space="preserve">transmisji pakietowej w ruchomych publicznych sieciach telefonicznych, zwanych dalej „sieciami ruchomymi”; </w:t>
            </w:r>
          </w:p>
          <w:p w14:paraId="4E6ADFC0" w14:textId="77777777" w:rsidR="00AB4A96" w:rsidRPr="0018142A" w:rsidRDefault="00AB4A96" w:rsidP="00142F55">
            <w:pPr>
              <w:numPr>
                <w:ilvl w:val="0"/>
                <w:numId w:val="5"/>
              </w:numPr>
              <w:ind w:hanging="358"/>
              <w:jc w:val="both"/>
              <w:rPr>
                <w:strike/>
                <w:sz w:val="22"/>
                <w:szCs w:val="22"/>
              </w:rPr>
            </w:pPr>
            <w:r w:rsidRPr="0018142A">
              <w:rPr>
                <w:rFonts w:eastAsia="Calibri"/>
                <w:i/>
                <w:strike/>
                <w:sz w:val="22"/>
                <w:szCs w:val="22"/>
              </w:rPr>
              <w:t xml:space="preserve">dostępu do sieci </w:t>
            </w:r>
            <w:proofErr w:type="spellStart"/>
            <w:r w:rsidRPr="0018142A">
              <w:rPr>
                <w:rFonts w:eastAsia="Calibri"/>
                <w:i/>
                <w:strike/>
                <w:sz w:val="22"/>
                <w:szCs w:val="22"/>
              </w:rPr>
              <w:t>internet</w:t>
            </w:r>
            <w:proofErr w:type="spellEnd"/>
            <w:r w:rsidRPr="0018142A">
              <w:rPr>
                <w:rFonts w:eastAsia="Calibri"/>
                <w:i/>
                <w:strike/>
                <w:sz w:val="22"/>
                <w:szCs w:val="22"/>
              </w:rPr>
              <w:t>;</w:t>
            </w:r>
          </w:p>
          <w:p w14:paraId="06EBD478" w14:textId="4D004245" w:rsidR="00AB4A96" w:rsidRPr="0018142A" w:rsidRDefault="00AB4A96" w:rsidP="00142F55">
            <w:pPr>
              <w:numPr>
                <w:ilvl w:val="0"/>
                <w:numId w:val="5"/>
              </w:numPr>
              <w:ind w:hanging="358"/>
              <w:jc w:val="both"/>
              <w:rPr>
                <w:sz w:val="22"/>
                <w:szCs w:val="22"/>
              </w:rPr>
            </w:pPr>
            <w:r w:rsidRPr="0018142A">
              <w:rPr>
                <w:rFonts w:eastAsia="Calibri"/>
                <w:i/>
                <w:strike/>
                <w:sz w:val="22"/>
                <w:szCs w:val="22"/>
              </w:rPr>
              <w:t>VoIP</w:t>
            </w:r>
            <w:r w:rsidRPr="0018142A">
              <w:rPr>
                <w:rFonts w:eastAsia="Calibri"/>
                <w:i/>
                <w:sz w:val="22"/>
                <w:szCs w:val="22"/>
              </w:rPr>
              <w:t xml:space="preserve">. </w:t>
            </w:r>
          </w:p>
          <w:p w14:paraId="2042A18A" w14:textId="77777777" w:rsidR="00AB4A96" w:rsidRPr="0018142A" w:rsidRDefault="00AB4A96" w:rsidP="00142F55">
            <w:pPr>
              <w:spacing w:after="120"/>
              <w:ind w:left="-5" w:right="-9"/>
              <w:jc w:val="both"/>
              <w:rPr>
                <w:sz w:val="22"/>
                <w:szCs w:val="22"/>
              </w:rPr>
            </w:pPr>
            <w:r w:rsidRPr="0018142A">
              <w:rPr>
                <w:rFonts w:eastAsia="Calibri"/>
                <w:b/>
                <w:i/>
                <w:sz w:val="22"/>
                <w:szCs w:val="22"/>
              </w:rPr>
              <w:t xml:space="preserve">Dopuszcza się zapewnienie dodatkowych kryteriów wyboru monitorowanych usług zgodnie z ustaleniami zawartymi w umowie, o której mowa w art. 43 ust. 5 ustawy. </w:t>
            </w:r>
          </w:p>
          <w:p w14:paraId="373BE979" w14:textId="77777777" w:rsidR="00AB4A96" w:rsidRPr="0018142A" w:rsidRDefault="00AB4A96"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340206DD" w14:textId="576536E7" w:rsidR="00AB4A96" w:rsidRPr="0018142A" w:rsidRDefault="00AB4A96" w:rsidP="00142F55">
            <w:pPr>
              <w:ind w:left="-5"/>
              <w:jc w:val="both"/>
              <w:rPr>
                <w:sz w:val="22"/>
                <w:szCs w:val="22"/>
              </w:rPr>
            </w:pPr>
            <w:r w:rsidRPr="0018142A">
              <w:rPr>
                <w:sz w:val="22"/>
                <w:szCs w:val="22"/>
              </w:rPr>
              <w:t>PIIT wnosi o zmianę treści ww. podpunktu. Proponujemy zmianę klasyfikacji usług telekomunikacyjnych adekwatną do aktualnej architektury sieci i wykorzystywanych technologii. Dopuszczenie dodatkowych kryteriów daje LEA możliwość realizacji zadań w sieciach, w których występują technologie i kryteria niezdefiniowane powyżej.</w:t>
            </w:r>
            <w:r w:rsidR="004A2F4B">
              <w:rPr>
                <w:sz w:val="22"/>
                <w:szCs w:val="22"/>
              </w:rPr>
              <w:t xml:space="preserve"> </w:t>
            </w:r>
          </w:p>
        </w:tc>
        <w:tc>
          <w:tcPr>
            <w:tcW w:w="3941" w:type="dxa"/>
            <w:tcBorders>
              <w:bottom w:val="single" w:sz="4" w:space="0" w:color="auto"/>
            </w:tcBorders>
          </w:tcPr>
          <w:p w14:paraId="4CCE1052" w14:textId="24039A95" w:rsidR="00AB4A96" w:rsidRPr="0018142A" w:rsidRDefault="003747E8" w:rsidP="0018142A">
            <w:pPr>
              <w:pStyle w:val="Bezodstpw"/>
              <w:jc w:val="both"/>
              <w:rPr>
                <w:rFonts w:ascii="Times New Roman" w:hAnsi="Times New Roman" w:cs="Times New Roman"/>
                <w:b/>
                <w:bCs/>
              </w:rPr>
            </w:pPr>
            <w:r w:rsidRPr="0018142A">
              <w:rPr>
                <w:rFonts w:ascii="Times New Roman" w:hAnsi="Times New Roman" w:cs="Times New Roman"/>
                <w:b/>
                <w:bCs/>
              </w:rPr>
              <w:t>Uwaga uwzględniona</w:t>
            </w:r>
            <w:r w:rsidR="00620D7C">
              <w:rPr>
                <w:rFonts w:ascii="Times New Roman" w:hAnsi="Times New Roman" w:cs="Times New Roman"/>
                <w:b/>
                <w:bCs/>
              </w:rPr>
              <w:t xml:space="preserve"> zgodnie z jej treścią.</w:t>
            </w:r>
          </w:p>
        </w:tc>
      </w:tr>
      <w:tr w:rsidR="00F00917" w:rsidRPr="00893C20" w14:paraId="7F667D45" w14:textId="77777777" w:rsidTr="0018142A">
        <w:tc>
          <w:tcPr>
            <w:tcW w:w="596" w:type="dxa"/>
            <w:tcBorders>
              <w:bottom w:val="single" w:sz="4" w:space="0" w:color="auto"/>
            </w:tcBorders>
            <w:vAlign w:val="center"/>
          </w:tcPr>
          <w:p w14:paraId="21CB9D69"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7EA5D0D2"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1B628762" w14:textId="2136788F"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6.9 i 6.10</w:t>
            </w:r>
          </w:p>
        </w:tc>
        <w:tc>
          <w:tcPr>
            <w:tcW w:w="1692" w:type="dxa"/>
            <w:tcBorders>
              <w:bottom w:val="single" w:sz="4" w:space="0" w:color="auto"/>
            </w:tcBorders>
          </w:tcPr>
          <w:p w14:paraId="2DF083F5" w14:textId="1BFD7C5F"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3C5B0397" w14:textId="29F7132C" w:rsidR="00F00917" w:rsidRPr="0018142A" w:rsidRDefault="00142F55" w:rsidP="00142F55">
            <w:pPr>
              <w:ind w:left="-5"/>
              <w:jc w:val="both"/>
              <w:rPr>
                <w:sz w:val="22"/>
                <w:szCs w:val="22"/>
              </w:rPr>
            </w:pPr>
            <w:r w:rsidRPr="0018142A">
              <w:rPr>
                <w:sz w:val="22"/>
                <w:szCs w:val="22"/>
              </w:rPr>
              <w:t xml:space="preserve">Propozycja </w:t>
            </w:r>
            <w:r w:rsidR="00F00917" w:rsidRPr="0018142A">
              <w:rPr>
                <w:sz w:val="22"/>
                <w:szCs w:val="22"/>
              </w:rPr>
              <w:t>usunięci</w:t>
            </w:r>
            <w:r w:rsidRPr="0018142A">
              <w:rPr>
                <w:sz w:val="22"/>
                <w:szCs w:val="22"/>
              </w:rPr>
              <w:t>a</w:t>
            </w:r>
            <w:r w:rsidR="00F00917" w:rsidRPr="0018142A">
              <w:rPr>
                <w:sz w:val="22"/>
                <w:szCs w:val="22"/>
              </w:rPr>
              <w:t xml:space="preserve"> </w:t>
            </w:r>
            <w:proofErr w:type="spellStart"/>
            <w:r w:rsidR="00F00917" w:rsidRPr="0018142A">
              <w:rPr>
                <w:sz w:val="22"/>
                <w:szCs w:val="22"/>
              </w:rPr>
              <w:t>ppkt</w:t>
            </w:r>
            <w:proofErr w:type="spellEnd"/>
            <w:r w:rsidR="00F00917" w:rsidRPr="0018142A">
              <w:rPr>
                <w:sz w:val="22"/>
                <w:szCs w:val="22"/>
              </w:rPr>
              <w:t xml:space="preserve"> 6.9 oraz 6.10</w:t>
            </w:r>
            <w:r w:rsidR="004A2F4B">
              <w:rPr>
                <w:sz w:val="22"/>
                <w:szCs w:val="22"/>
              </w:rPr>
              <w:t xml:space="preserve"> </w:t>
            </w:r>
          </w:p>
          <w:p w14:paraId="0AA5930C" w14:textId="77777777" w:rsidR="00F00917" w:rsidRPr="0018142A" w:rsidRDefault="00F00917"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7F03212C" w14:textId="7E34105E" w:rsidR="00F00917" w:rsidRPr="0018142A" w:rsidRDefault="00F00917" w:rsidP="00142F55">
            <w:pPr>
              <w:ind w:left="-5"/>
              <w:jc w:val="both"/>
              <w:rPr>
                <w:sz w:val="22"/>
                <w:szCs w:val="22"/>
              </w:rPr>
            </w:pPr>
            <w:r w:rsidRPr="0018142A">
              <w:rPr>
                <w:sz w:val="22"/>
                <w:szCs w:val="22"/>
              </w:rPr>
              <w:t xml:space="preserve">Propozycja usunięcia wskazanych punktów wynika z braku możliwości ich praktycznej realizacji. </w:t>
            </w:r>
            <w:r w:rsidRPr="0018142A">
              <w:rPr>
                <w:rFonts w:eastAsia="Calibri"/>
                <w:sz w:val="22"/>
                <w:szCs w:val="22"/>
              </w:rPr>
              <w:t xml:space="preserve">Operator nie posiada wiedzy o zadedykowanych przez uprawnione podmioty kryteriach obserwacji oraz </w:t>
            </w:r>
            <w:r w:rsidRPr="0018142A">
              <w:rPr>
                <w:sz w:val="22"/>
                <w:szCs w:val="22"/>
              </w:rPr>
              <w:t xml:space="preserve">nie zna przyporządkowanych im </w:t>
            </w:r>
            <w:r w:rsidRPr="0018142A">
              <w:rPr>
                <w:sz w:val="22"/>
                <w:szCs w:val="22"/>
              </w:rPr>
              <w:lastRenderedPageBreak/>
              <w:t xml:space="preserve">LIID. Dodatkowo w sieciach mobilnych użytkownik przemieszcza się </w:t>
            </w:r>
            <w:r w:rsidRPr="0018142A">
              <w:rPr>
                <w:rFonts w:eastAsia="Calibri"/>
                <w:sz w:val="22"/>
                <w:szCs w:val="22"/>
              </w:rPr>
              <w:t xml:space="preserve">i </w:t>
            </w:r>
            <w:r w:rsidRPr="0018142A">
              <w:rPr>
                <w:sz w:val="22"/>
                <w:szCs w:val="22"/>
              </w:rPr>
              <w:t>wraz ze zmianą lokalizacji oraz wykorzystywanej technologii zmieniają się też urządzenia go obsługujące. Operator nie ma więc możliwości przekazania informacji</w:t>
            </w:r>
            <w:r w:rsidRPr="0018142A">
              <w:rPr>
                <w:rFonts w:eastAsia="Calibri"/>
                <w:sz w:val="22"/>
                <w:szCs w:val="22"/>
              </w:rPr>
              <w:t xml:space="preserve">, </w:t>
            </w:r>
            <w:r w:rsidRPr="0018142A">
              <w:rPr>
                <w:sz w:val="22"/>
                <w:szCs w:val="22"/>
              </w:rPr>
              <w:t>o których mowa</w:t>
            </w:r>
            <w:r w:rsidR="004A2F4B">
              <w:rPr>
                <w:sz w:val="22"/>
                <w:szCs w:val="22"/>
              </w:rPr>
              <w:t xml:space="preserve"> </w:t>
            </w:r>
            <w:r w:rsidRPr="0018142A">
              <w:rPr>
                <w:rFonts w:eastAsia="Calibri"/>
                <w:sz w:val="22"/>
                <w:szCs w:val="22"/>
              </w:rPr>
              <w:t>w ww. przepisach.</w:t>
            </w:r>
            <w:r w:rsidR="004A2F4B">
              <w:rPr>
                <w:rFonts w:eastAsia="Calibri"/>
                <w:sz w:val="22"/>
                <w:szCs w:val="22"/>
              </w:rPr>
              <w:t xml:space="preserve"> </w:t>
            </w:r>
          </w:p>
        </w:tc>
        <w:tc>
          <w:tcPr>
            <w:tcW w:w="3941" w:type="dxa"/>
            <w:tcBorders>
              <w:bottom w:val="single" w:sz="4" w:space="0" w:color="auto"/>
            </w:tcBorders>
          </w:tcPr>
          <w:p w14:paraId="361C86A7" w14:textId="1FE95793" w:rsidR="00F00917" w:rsidRPr="0018142A" w:rsidRDefault="003747E8" w:rsidP="0018142A">
            <w:pPr>
              <w:pStyle w:val="Bezodstpw"/>
              <w:jc w:val="both"/>
              <w:rPr>
                <w:rFonts w:ascii="Times New Roman" w:hAnsi="Times New Roman" w:cs="Times New Roman"/>
              </w:rPr>
            </w:pPr>
            <w:r w:rsidRPr="0018142A">
              <w:rPr>
                <w:rFonts w:ascii="Times New Roman" w:hAnsi="Times New Roman" w:cs="Times New Roman"/>
                <w:b/>
                <w:bCs/>
              </w:rPr>
              <w:lastRenderedPageBreak/>
              <w:t>Uwaga uwzględniona</w:t>
            </w:r>
            <w:r w:rsidR="00620D7C">
              <w:rPr>
                <w:rFonts w:ascii="Times New Roman" w:hAnsi="Times New Roman" w:cs="Times New Roman"/>
                <w:b/>
                <w:bCs/>
              </w:rPr>
              <w:t xml:space="preserve"> zgodnie z jej treścią.</w:t>
            </w:r>
          </w:p>
        </w:tc>
      </w:tr>
      <w:tr w:rsidR="00F00917" w:rsidRPr="00893C20" w14:paraId="1A3F4A8F" w14:textId="77777777" w:rsidTr="0018142A">
        <w:tc>
          <w:tcPr>
            <w:tcW w:w="596" w:type="dxa"/>
            <w:tcBorders>
              <w:bottom w:val="single" w:sz="4" w:space="0" w:color="auto"/>
            </w:tcBorders>
            <w:vAlign w:val="center"/>
          </w:tcPr>
          <w:p w14:paraId="7D85EF6A"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3E30BE4D"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163E9FD5" w14:textId="4ABD7C13"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6.14</w:t>
            </w:r>
          </w:p>
        </w:tc>
        <w:tc>
          <w:tcPr>
            <w:tcW w:w="1692" w:type="dxa"/>
            <w:tcBorders>
              <w:bottom w:val="single" w:sz="4" w:space="0" w:color="auto"/>
            </w:tcBorders>
          </w:tcPr>
          <w:p w14:paraId="7B867EA0" w14:textId="25FCEE73"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5F617FF" w14:textId="449905F3"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36091DBA" w14:textId="07904D67" w:rsidR="00F00917" w:rsidRPr="0018142A" w:rsidRDefault="00F00917" w:rsidP="00142F55">
            <w:pPr>
              <w:spacing w:after="108"/>
              <w:ind w:left="-5"/>
              <w:jc w:val="both"/>
              <w:rPr>
                <w:sz w:val="22"/>
                <w:szCs w:val="22"/>
              </w:rPr>
            </w:pPr>
            <w:r w:rsidRPr="0018142A">
              <w:rPr>
                <w:rFonts w:eastAsia="Calibri"/>
                <w:i/>
                <w:sz w:val="22"/>
                <w:szCs w:val="22"/>
              </w:rPr>
              <w:t xml:space="preserve">6.14. Szczegółowa struktura interfejsu HI1 przedstawiona jest w pkt 10. </w:t>
            </w:r>
            <w:r w:rsidRPr="0018142A">
              <w:rPr>
                <w:rFonts w:eastAsia="Calibri"/>
                <w:b/>
                <w:i/>
                <w:sz w:val="22"/>
                <w:szCs w:val="22"/>
              </w:rPr>
              <w:t xml:space="preserve">Dopuszcza się stosowanie interfejsu HI1 w wersji 1.0.5 lub nowszej. </w:t>
            </w:r>
          </w:p>
          <w:p w14:paraId="16C64436" w14:textId="77777777" w:rsidR="00F00917" w:rsidRPr="0018142A" w:rsidRDefault="00F00917"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71B4AE91" w14:textId="4F3384B6" w:rsidR="00F00917" w:rsidRPr="0018142A" w:rsidRDefault="00F00917" w:rsidP="00142F55">
            <w:pPr>
              <w:spacing w:after="120"/>
              <w:ind w:left="-6"/>
              <w:jc w:val="both"/>
              <w:rPr>
                <w:rFonts w:eastAsia="Calibri"/>
                <w:sz w:val="22"/>
                <w:szCs w:val="22"/>
              </w:rPr>
            </w:pPr>
            <w:r w:rsidRPr="0018142A">
              <w:rPr>
                <w:sz w:val="22"/>
                <w:szCs w:val="22"/>
              </w:rPr>
              <w:t>Proponowana zmiana ma na celu uwzględnienie norm, w oparciu, o które zostały zaprojektowane aktualnie funkcjonujące rozwiązania będące przedmiotem umów zawartych pomiędzy podmiotami uprawnionymi a przedsiębiorcami telekomunikacyjnymi.</w:t>
            </w:r>
          </w:p>
        </w:tc>
        <w:tc>
          <w:tcPr>
            <w:tcW w:w="3941" w:type="dxa"/>
            <w:tcBorders>
              <w:bottom w:val="single" w:sz="4" w:space="0" w:color="auto"/>
            </w:tcBorders>
          </w:tcPr>
          <w:p w14:paraId="6A5AFAB1" w14:textId="6E910CA7" w:rsidR="003747E8" w:rsidRPr="0018142A" w:rsidRDefault="003747E8" w:rsidP="0018142A">
            <w:pPr>
              <w:pStyle w:val="Bezodstpw"/>
              <w:jc w:val="both"/>
              <w:rPr>
                <w:rFonts w:ascii="Times New Roman" w:hAnsi="Times New Roman" w:cs="Times New Roman"/>
                <w:b/>
                <w:bCs/>
              </w:rPr>
            </w:pPr>
            <w:r w:rsidRPr="0018142A">
              <w:rPr>
                <w:rFonts w:ascii="Times New Roman" w:hAnsi="Times New Roman" w:cs="Times New Roman"/>
                <w:b/>
                <w:bCs/>
              </w:rPr>
              <w:t>Uwaga nieuwzględniona</w:t>
            </w:r>
          </w:p>
          <w:p w14:paraId="3B99E6FD" w14:textId="4991A079" w:rsidR="00F00917" w:rsidRPr="0018142A" w:rsidRDefault="003747E8" w:rsidP="0018142A">
            <w:pPr>
              <w:pStyle w:val="Bezodstpw"/>
              <w:jc w:val="both"/>
              <w:rPr>
                <w:rFonts w:ascii="Times New Roman" w:hAnsi="Times New Roman" w:cs="Times New Roman"/>
              </w:rPr>
            </w:pPr>
            <w:r w:rsidRPr="0018142A">
              <w:rPr>
                <w:rFonts w:ascii="Times New Roman" w:hAnsi="Times New Roman" w:cs="Times New Roman"/>
              </w:rPr>
              <w:t>Nie wiadomo czym jest wersja 1.0.5. Aktualnie norma funkcjonuje w</w:t>
            </w:r>
            <w:r w:rsidR="00125604">
              <w:rPr>
                <w:rFonts w:ascii="Times New Roman" w:hAnsi="Times New Roman" w:cs="Times New Roman"/>
              </w:rPr>
              <w:t> </w:t>
            </w:r>
            <w:r w:rsidRPr="0018142A">
              <w:rPr>
                <w:rFonts w:ascii="Times New Roman" w:hAnsi="Times New Roman" w:cs="Times New Roman"/>
              </w:rPr>
              <w:t>porozumieniach z trzema przedsiębiorcami, natomiast nie funkcjonuje jako oficjalny termin w</w:t>
            </w:r>
            <w:r w:rsidR="00125604">
              <w:rPr>
                <w:rFonts w:ascii="Times New Roman" w:hAnsi="Times New Roman" w:cs="Times New Roman"/>
              </w:rPr>
              <w:t> </w:t>
            </w:r>
            <w:r w:rsidRPr="0018142A">
              <w:rPr>
                <w:rFonts w:ascii="Times New Roman" w:hAnsi="Times New Roman" w:cs="Times New Roman"/>
              </w:rPr>
              <w:t>obszarze warunków technicznych.</w:t>
            </w:r>
          </w:p>
        </w:tc>
      </w:tr>
      <w:tr w:rsidR="00F00917" w:rsidRPr="00893C20" w14:paraId="79A7DFE3" w14:textId="77777777" w:rsidTr="0018142A">
        <w:tc>
          <w:tcPr>
            <w:tcW w:w="596" w:type="dxa"/>
            <w:tcBorders>
              <w:bottom w:val="single" w:sz="4" w:space="0" w:color="auto"/>
            </w:tcBorders>
            <w:vAlign w:val="center"/>
          </w:tcPr>
          <w:p w14:paraId="7F68D509"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4EEC9B4E"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73C1B36D" w14:textId="09DD86E8"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6.15</w:t>
            </w:r>
          </w:p>
        </w:tc>
        <w:tc>
          <w:tcPr>
            <w:tcW w:w="1692" w:type="dxa"/>
            <w:tcBorders>
              <w:bottom w:val="single" w:sz="4" w:space="0" w:color="auto"/>
            </w:tcBorders>
          </w:tcPr>
          <w:p w14:paraId="690D51DC" w14:textId="62246B3A"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066E9D9" w14:textId="5459FDD8"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4DFFEA6F" w14:textId="42A67AB0" w:rsidR="00F00917" w:rsidRPr="0018142A" w:rsidRDefault="00F00917" w:rsidP="00142F55">
            <w:pPr>
              <w:spacing w:after="108"/>
              <w:ind w:left="-5"/>
              <w:jc w:val="both"/>
              <w:rPr>
                <w:sz w:val="22"/>
                <w:szCs w:val="22"/>
              </w:rPr>
            </w:pPr>
            <w:r w:rsidRPr="0018142A">
              <w:rPr>
                <w:rFonts w:eastAsia="Calibri"/>
                <w:i/>
                <w:sz w:val="22"/>
                <w:szCs w:val="22"/>
              </w:rPr>
              <w:t xml:space="preserve">6.15. Za zgodą LEA dopuszcza się pracę interfejsu HI1 w trybie półautomatycznym, w którym pracownik przedsiębiorcy telekomunikacyjnego spełniający wymagania określone w art. 43 ust. 9 ustawy z dnia 12 lipca 2024 r. – Prawo komunikacji elektronicznej, po odebraniu zlecenia od LEMF wykonuje prace niezbędne do przygotowania sieci przedsiębiorcy telekomunikacyjnego do realizacji zlecenia. Czas na przeprowadzenie tych prac nie przekracza </w:t>
            </w:r>
            <w:r w:rsidRPr="0018142A">
              <w:rPr>
                <w:rFonts w:eastAsia="Calibri"/>
                <w:b/>
                <w:i/>
                <w:sz w:val="22"/>
                <w:szCs w:val="22"/>
              </w:rPr>
              <w:t>72 godziny</w:t>
            </w:r>
            <w:r w:rsidR="004A2F4B">
              <w:rPr>
                <w:rFonts w:eastAsia="Calibri"/>
                <w:i/>
                <w:sz w:val="22"/>
                <w:szCs w:val="22"/>
              </w:rPr>
              <w:t xml:space="preserve"> </w:t>
            </w:r>
            <w:r w:rsidRPr="0018142A">
              <w:rPr>
                <w:rFonts w:eastAsia="Calibri"/>
                <w:i/>
                <w:strike/>
                <w:sz w:val="22"/>
                <w:szCs w:val="22"/>
              </w:rPr>
              <w:t>24 godzin</w:t>
            </w:r>
            <w:r w:rsidRPr="0018142A">
              <w:rPr>
                <w:rFonts w:eastAsia="Calibri"/>
                <w:i/>
                <w:sz w:val="22"/>
                <w:szCs w:val="22"/>
              </w:rPr>
              <w:t xml:space="preserve">. </w:t>
            </w:r>
          </w:p>
          <w:p w14:paraId="6DD1776B" w14:textId="77777777" w:rsidR="00F00917" w:rsidRPr="0018142A" w:rsidRDefault="00F00917" w:rsidP="00142F55">
            <w:pPr>
              <w:spacing w:after="97"/>
              <w:ind w:left="-5" w:right="5298"/>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3F0A491A" w14:textId="21CC55BA" w:rsidR="00F00917" w:rsidRPr="0018142A" w:rsidRDefault="00F00917" w:rsidP="00142F55">
            <w:pPr>
              <w:ind w:left="-5"/>
              <w:jc w:val="both"/>
              <w:rPr>
                <w:sz w:val="22"/>
                <w:szCs w:val="22"/>
              </w:rPr>
            </w:pPr>
            <w:r w:rsidRPr="0018142A">
              <w:rPr>
                <w:sz w:val="22"/>
                <w:szCs w:val="22"/>
              </w:rPr>
              <w:t xml:space="preserve">PIIT wnosi o wydłużenie czasu na przeprowadzenie praz związanych z przygotowaniem do realizacji zlecenia wynikającego z </w:t>
            </w:r>
            <w:r w:rsidRPr="0018142A">
              <w:rPr>
                <w:rFonts w:eastAsia="Calibri"/>
                <w:i/>
                <w:sz w:val="22"/>
                <w:szCs w:val="22"/>
              </w:rPr>
              <w:t xml:space="preserve">w art. 43 ust. 9 PKE do 72 godzin. </w:t>
            </w:r>
            <w:r w:rsidRPr="0018142A">
              <w:rPr>
                <w:sz w:val="22"/>
                <w:szCs w:val="22"/>
              </w:rPr>
              <w:t xml:space="preserve">Wynika to z warunków organizacyjnych występujących u przedsiębiorców telekomunikacyjnych i czas ten jest adekwatny do czasu, w którym operator jest w stanie zagwarantować przygotowanie systemu do realizacji obowiązku. Dotychczasowy czas w szczególności 12 godzin jest obarczony dużym zakresem niepewności, szczególnie w przypadku </w:t>
            </w:r>
            <w:r w:rsidRPr="0018142A">
              <w:rPr>
                <w:rFonts w:eastAsia="Calibri"/>
                <w:sz w:val="22"/>
                <w:szCs w:val="22"/>
              </w:rPr>
              <w:t xml:space="preserve">otrzymania zlecenia przed okresem wolnym od pracy </w:t>
            </w:r>
            <w:r w:rsidRPr="0018142A">
              <w:rPr>
                <w:sz w:val="22"/>
                <w:szCs w:val="22"/>
              </w:rPr>
              <w:t>–</w:t>
            </w:r>
            <w:r w:rsidRPr="0018142A">
              <w:rPr>
                <w:rFonts w:eastAsia="Calibri"/>
                <w:sz w:val="22"/>
                <w:szCs w:val="22"/>
              </w:rPr>
              <w:t xml:space="preserve"> </w:t>
            </w:r>
            <w:r w:rsidRPr="0018142A">
              <w:rPr>
                <w:sz w:val="22"/>
                <w:szCs w:val="22"/>
              </w:rPr>
              <w:t>weekend, dni ustawowo wolne i konieczności zaangażowania do przygotowania sieci do realizacji zlecenia innych pracowników operatora niż przyjmujący zlecenie.</w:t>
            </w:r>
            <w:r w:rsidRPr="0018142A">
              <w:rPr>
                <w:rFonts w:eastAsia="Calibri"/>
                <w:sz w:val="22"/>
                <w:szCs w:val="22"/>
              </w:rPr>
              <w:t xml:space="preserve"> </w:t>
            </w:r>
          </w:p>
        </w:tc>
        <w:tc>
          <w:tcPr>
            <w:tcW w:w="3941" w:type="dxa"/>
            <w:tcBorders>
              <w:bottom w:val="single" w:sz="4" w:space="0" w:color="auto"/>
            </w:tcBorders>
          </w:tcPr>
          <w:p w14:paraId="56A68415" w14:textId="77777777" w:rsidR="0021638B" w:rsidRPr="0018142A" w:rsidRDefault="0021638B" w:rsidP="0018142A">
            <w:pPr>
              <w:pStyle w:val="Bezodstpw"/>
              <w:jc w:val="both"/>
              <w:rPr>
                <w:rFonts w:ascii="Times New Roman" w:hAnsi="Times New Roman" w:cs="Times New Roman"/>
                <w:b/>
                <w:bCs/>
              </w:rPr>
            </w:pPr>
            <w:r w:rsidRPr="0018142A">
              <w:rPr>
                <w:rFonts w:ascii="Times New Roman" w:hAnsi="Times New Roman" w:cs="Times New Roman"/>
                <w:b/>
                <w:bCs/>
              </w:rPr>
              <w:t>Uwaga nieuwzględniona</w:t>
            </w:r>
          </w:p>
          <w:p w14:paraId="08A33EAB" w14:textId="72C6143A" w:rsidR="00F00917" w:rsidRPr="0018142A" w:rsidRDefault="0021638B" w:rsidP="0018142A">
            <w:pPr>
              <w:pStyle w:val="Bezodstpw"/>
              <w:jc w:val="both"/>
              <w:rPr>
                <w:rFonts w:ascii="Times New Roman" w:hAnsi="Times New Roman" w:cs="Times New Roman"/>
              </w:rPr>
            </w:pPr>
            <w:r w:rsidRPr="0018142A">
              <w:rPr>
                <w:rFonts w:ascii="Times New Roman" w:hAnsi="Times New Roman" w:cs="Times New Roman"/>
              </w:rPr>
              <w:t>Czas prowadzonej kontroli operacyjnej wyznacza postanowienie sąd</w:t>
            </w:r>
            <w:r w:rsidR="00125604">
              <w:rPr>
                <w:rFonts w:ascii="Times New Roman" w:hAnsi="Times New Roman" w:cs="Times New Roman"/>
              </w:rPr>
              <w:t>u</w:t>
            </w:r>
            <w:r w:rsidRPr="0018142A">
              <w:rPr>
                <w:rFonts w:ascii="Times New Roman" w:hAnsi="Times New Roman" w:cs="Times New Roman"/>
              </w:rPr>
              <w:t>. Tym samym przedłużenie czasu na przygotowanie sieci do 72 godzin (3 doby) w znaczny sposób skraca obowiązek przeprowadzenia kontroli. Ponadto wskazany czas należy odczytywać w korelacji z art. 43 ust. 4 PKE również 24 godzinnym, a tym samym wydłużenie czasu będzie sprzeczne z przepisami ustawy.</w:t>
            </w:r>
          </w:p>
        </w:tc>
      </w:tr>
      <w:tr w:rsidR="00F00917" w:rsidRPr="00893C20" w14:paraId="0A2C1939" w14:textId="77777777" w:rsidTr="0018142A">
        <w:tc>
          <w:tcPr>
            <w:tcW w:w="596" w:type="dxa"/>
            <w:tcBorders>
              <w:bottom w:val="single" w:sz="4" w:space="0" w:color="auto"/>
            </w:tcBorders>
            <w:vAlign w:val="center"/>
          </w:tcPr>
          <w:p w14:paraId="569433C5"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5EB756C0"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0E92EB34" w14:textId="340521B0"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 7.1</w:t>
            </w:r>
          </w:p>
        </w:tc>
        <w:tc>
          <w:tcPr>
            <w:tcW w:w="1692" w:type="dxa"/>
            <w:tcBorders>
              <w:bottom w:val="single" w:sz="4" w:space="0" w:color="auto"/>
            </w:tcBorders>
          </w:tcPr>
          <w:p w14:paraId="3555ED2D" w14:textId="09247D57"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1757BA7" w14:textId="398909EE"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6CFF3EC7" w14:textId="5240226C" w:rsidR="00F00917" w:rsidRPr="0018142A" w:rsidRDefault="00F00917" w:rsidP="00142F55">
            <w:pPr>
              <w:spacing w:after="108"/>
              <w:ind w:left="-5"/>
              <w:jc w:val="both"/>
              <w:rPr>
                <w:strike/>
                <w:sz w:val="22"/>
                <w:szCs w:val="22"/>
              </w:rPr>
            </w:pPr>
            <w:r w:rsidRPr="0018142A">
              <w:rPr>
                <w:rFonts w:eastAsia="Calibri"/>
                <w:i/>
                <w:sz w:val="22"/>
                <w:szCs w:val="22"/>
              </w:rPr>
              <w:t>7.1. Informacje związane z objętymi monitorowaniem komunikatami elektronicznymi związanymi ze świadczoną usługą telekomunikacyjną przekazywane są do LEMF niezwłocznie, jednak nie później niż 10 minut od zakończenia przekazu</w:t>
            </w:r>
            <w:r w:rsidRPr="0018142A">
              <w:rPr>
                <w:rFonts w:eastAsia="Calibri"/>
                <w:i/>
                <w:strike/>
                <w:sz w:val="22"/>
                <w:szCs w:val="22"/>
              </w:rPr>
              <w:t xml:space="preserve">. Raporty dotyczące zdarzeń występujących w danej sesji komunikacyjnej powinny być wysyłane w kolejności wystąpienia tych zdarzeń. </w:t>
            </w:r>
          </w:p>
          <w:p w14:paraId="17184DC9" w14:textId="77777777" w:rsidR="00F00917" w:rsidRPr="0018142A" w:rsidRDefault="00F00917"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3C78B588" w14:textId="0D352824" w:rsidR="00F00917" w:rsidRPr="0018142A" w:rsidRDefault="00F00917" w:rsidP="00142F55">
            <w:pPr>
              <w:ind w:left="-5"/>
              <w:jc w:val="both"/>
              <w:rPr>
                <w:sz w:val="22"/>
                <w:szCs w:val="22"/>
              </w:rPr>
            </w:pPr>
            <w:r w:rsidRPr="0018142A">
              <w:rPr>
                <w:sz w:val="22"/>
                <w:szCs w:val="22"/>
              </w:rPr>
              <w:lastRenderedPageBreak/>
              <w:t>W ocenie Izby zaproponowane wymaganie jest nieadekwatne do celów z uwagi na fakt, że wystarczające jest numerowanie raportów, które umożliwia systemowi LEMF ustalenie prawidłowej kolejności raportów.</w:t>
            </w:r>
            <w:r w:rsidR="004A2F4B">
              <w:rPr>
                <w:sz w:val="22"/>
                <w:szCs w:val="22"/>
              </w:rPr>
              <w:t xml:space="preserve"> </w:t>
            </w:r>
          </w:p>
        </w:tc>
        <w:tc>
          <w:tcPr>
            <w:tcW w:w="3941" w:type="dxa"/>
            <w:tcBorders>
              <w:bottom w:val="single" w:sz="4" w:space="0" w:color="auto"/>
            </w:tcBorders>
          </w:tcPr>
          <w:p w14:paraId="7DD9089B" w14:textId="3051FD55" w:rsidR="00F00917" w:rsidRPr="0018142A" w:rsidRDefault="0048247C" w:rsidP="0018142A">
            <w:pPr>
              <w:pStyle w:val="Bezodstpw"/>
              <w:jc w:val="both"/>
              <w:rPr>
                <w:rFonts w:ascii="Times New Roman" w:hAnsi="Times New Roman" w:cs="Times New Roman"/>
              </w:rPr>
            </w:pPr>
            <w:r w:rsidRPr="0018142A">
              <w:rPr>
                <w:rFonts w:ascii="Times New Roman" w:hAnsi="Times New Roman" w:cs="Times New Roman"/>
                <w:b/>
                <w:bCs/>
              </w:rPr>
              <w:lastRenderedPageBreak/>
              <w:t>Uwaga uwzględniona</w:t>
            </w:r>
            <w:r w:rsidR="00682FFC">
              <w:rPr>
                <w:rFonts w:ascii="Times New Roman" w:hAnsi="Times New Roman" w:cs="Times New Roman"/>
                <w:b/>
                <w:bCs/>
              </w:rPr>
              <w:t xml:space="preserve"> zgodnie z jej treścią.</w:t>
            </w:r>
          </w:p>
        </w:tc>
      </w:tr>
      <w:tr w:rsidR="00F00917" w:rsidRPr="00893C20" w14:paraId="17B10B20" w14:textId="77777777" w:rsidTr="0018142A">
        <w:tc>
          <w:tcPr>
            <w:tcW w:w="596" w:type="dxa"/>
            <w:tcBorders>
              <w:bottom w:val="single" w:sz="4" w:space="0" w:color="auto"/>
            </w:tcBorders>
            <w:vAlign w:val="center"/>
          </w:tcPr>
          <w:p w14:paraId="029506CC" w14:textId="77777777" w:rsidR="00F00917" w:rsidRPr="0018142A" w:rsidRDefault="00F00917" w:rsidP="00F00917">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6615F21E" w14:textId="77777777"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Załącznik</w:t>
            </w:r>
          </w:p>
          <w:p w14:paraId="2A326CD8" w14:textId="1716D06E" w:rsidR="00F00917" w:rsidRPr="0018142A" w:rsidRDefault="00F00917" w:rsidP="00F00917">
            <w:pPr>
              <w:pStyle w:val="Bezodstpw"/>
              <w:jc w:val="center"/>
              <w:rPr>
                <w:rFonts w:ascii="Times New Roman" w:hAnsi="Times New Roman" w:cs="Times New Roman"/>
              </w:rPr>
            </w:pPr>
            <w:r w:rsidRPr="0018142A">
              <w:rPr>
                <w:rFonts w:ascii="Times New Roman" w:hAnsi="Times New Roman" w:cs="Times New Roman"/>
              </w:rPr>
              <w:t>pkt</w:t>
            </w:r>
            <w:r w:rsidR="003747E8" w:rsidRPr="0018142A">
              <w:rPr>
                <w:rFonts w:ascii="Times New Roman" w:hAnsi="Times New Roman" w:cs="Times New Roman"/>
              </w:rPr>
              <w:t xml:space="preserve"> </w:t>
            </w:r>
            <w:r w:rsidRPr="0018142A">
              <w:rPr>
                <w:rFonts w:ascii="Times New Roman" w:hAnsi="Times New Roman" w:cs="Times New Roman"/>
              </w:rPr>
              <w:t>7.2-7.6</w:t>
            </w:r>
          </w:p>
        </w:tc>
        <w:tc>
          <w:tcPr>
            <w:tcW w:w="1692" w:type="dxa"/>
            <w:tcBorders>
              <w:bottom w:val="single" w:sz="4" w:space="0" w:color="auto"/>
            </w:tcBorders>
          </w:tcPr>
          <w:p w14:paraId="6B865ECE" w14:textId="6DAD0FD8" w:rsidR="00F00917" w:rsidRPr="005D6380" w:rsidRDefault="00F00917" w:rsidP="00F00917">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33698836" w14:textId="49B5D25A" w:rsidR="00F00917" w:rsidRPr="0018142A" w:rsidRDefault="00F00917" w:rsidP="00142F55">
            <w:pPr>
              <w:spacing w:after="108"/>
              <w:ind w:left="-5"/>
              <w:jc w:val="both"/>
              <w:rPr>
                <w:rFonts w:eastAsia="Calibri"/>
                <w:iCs/>
                <w:sz w:val="22"/>
                <w:szCs w:val="22"/>
              </w:rPr>
            </w:pPr>
            <w:r w:rsidRPr="0018142A">
              <w:rPr>
                <w:rFonts w:eastAsia="Calibri"/>
                <w:iCs/>
                <w:sz w:val="22"/>
                <w:szCs w:val="22"/>
              </w:rPr>
              <w:t>Propozycja:</w:t>
            </w:r>
          </w:p>
          <w:p w14:paraId="0D9668CE" w14:textId="77777777" w:rsidR="00105DCA" w:rsidRPr="0018142A" w:rsidRDefault="00105DCA" w:rsidP="00105DCA">
            <w:pPr>
              <w:spacing w:after="120"/>
              <w:ind w:left="62"/>
              <w:jc w:val="both"/>
              <w:rPr>
                <w:rFonts w:eastAsia="Calibri"/>
                <w:i/>
                <w:iCs/>
                <w:sz w:val="22"/>
                <w:szCs w:val="22"/>
              </w:rPr>
            </w:pPr>
            <w:r w:rsidRPr="0018142A">
              <w:rPr>
                <w:rFonts w:eastAsia="Calibri"/>
                <w:i/>
                <w:iCs/>
                <w:sz w:val="22"/>
                <w:szCs w:val="22"/>
              </w:rPr>
              <w:t xml:space="preserve">7.2. Przesyłanie do LEMF informacji związanych z objętymi monitorowaniem komunikatami elektronicznymi związanymi ze świadczoną usługą telekomunikacyjną </w:t>
            </w:r>
            <w:proofErr w:type="spellStart"/>
            <w:r w:rsidRPr="0018142A">
              <w:rPr>
                <w:rFonts w:eastAsia="Calibri"/>
                <w:i/>
                <w:iCs/>
                <w:sz w:val="22"/>
                <w:szCs w:val="22"/>
              </w:rPr>
              <w:t>odbywasię</w:t>
            </w:r>
            <w:proofErr w:type="spellEnd"/>
            <w:r w:rsidRPr="0018142A">
              <w:rPr>
                <w:rFonts w:eastAsia="Calibri"/>
                <w:i/>
                <w:iCs/>
                <w:sz w:val="22"/>
                <w:szCs w:val="22"/>
              </w:rPr>
              <w:t xml:space="preserve"> z wykorzystaniem protokołu </w:t>
            </w:r>
            <w:r w:rsidRPr="0018142A">
              <w:rPr>
                <w:rFonts w:eastAsia="Calibri"/>
                <w:b/>
                <w:bCs/>
                <w:i/>
                <w:iCs/>
                <w:sz w:val="22"/>
                <w:szCs w:val="22"/>
              </w:rPr>
              <w:t>TCP</w:t>
            </w:r>
            <w:r w:rsidRPr="0018142A">
              <w:rPr>
                <w:rFonts w:eastAsia="Calibri"/>
                <w:i/>
                <w:iCs/>
                <w:sz w:val="22"/>
                <w:szCs w:val="22"/>
              </w:rPr>
              <w:t xml:space="preserve"> </w:t>
            </w:r>
            <w:r w:rsidRPr="0018142A">
              <w:rPr>
                <w:rFonts w:eastAsia="Calibri"/>
                <w:i/>
                <w:iCs/>
                <w:strike/>
                <w:sz w:val="22"/>
                <w:szCs w:val="22"/>
              </w:rPr>
              <w:t>FTP zdefiniowanym w IETF RFC 0959 [14] na zasadach określonych w ETSI TS 102 232-1 [2], ETSI TS 102 232-3 [3], ETSI TS 102 232-5 [4], ETSI TS 102 232-6 [5], ETSI TS 102 232-7 [6] oraz ETSI TS 102 280 [9].</w:t>
            </w:r>
          </w:p>
          <w:p w14:paraId="5E3F6CD1" w14:textId="77777777" w:rsidR="00105DCA" w:rsidRPr="0018142A" w:rsidRDefault="00105DCA" w:rsidP="00105DCA">
            <w:pPr>
              <w:spacing w:after="120"/>
              <w:ind w:left="62"/>
              <w:jc w:val="both"/>
              <w:rPr>
                <w:rFonts w:eastAsia="Calibri"/>
                <w:i/>
                <w:iCs/>
                <w:sz w:val="22"/>
                <w:szCs w:val="22"/>
              </w:rPr>
            </w:pPr>
            <w:r w:rsidRPr="0018142A">
              <w:rPr>
                <w:rFonts w:eastAsia="Calibri"/>
                <w:i/>
                <w:iCs/>
                <w:sz w:val="22"/>
                <w:szCs w:val="22"/>
              </w:rPr>
              <w:t xml:space="preserve">7.3. Sesje TCP </w:t>
            </w:r>
            <w:r w:rsidRPr="0018142A">
              <w:rPr>
                <w:rFonts w:eastAsia="Calibri"/>
                <w:i/>
                <w:iCs/>
                <w:strike/>
                <w:sz w:val="22"/>
                <w:szCs w:val="22"/>
              </w:rPr>
              <w:t>FTP</w:t>
            </w:r>
            <w:r w:rsidRPr="0018142A">
              <w:rPr>
                <w:rFonts w:eastAsia="Calibri"/>
                <w:i/>
                <w:iCs/>
                <w:sz w:val="22"/>
                <w:szCs w:val="22"/>
              </w:rPr>
              <w:t xml:space="preserve"> są nawiązywane tylko w kierunku od ADMF do LEMF w trybie pasywnym.</w:t>
            </w:r>
          </w:p>
          <w:p w14:paraId="423E80CB" w14:textId="77777777" w:rsidR="00105DCA" w:rsidRPr="0018142A" w:rsidRDefault="00105DCA" w:rsidP="00105DCA">
            <w:pPr>
              <w:spacing w:after="120"/>
              <w:ind w:left="62"/>
              <w:jc w:val="both"/>
              <w:rPr>
                <w:rFonts w:eastAsia="Calibri"/>
                <w:i/>
                <w:iCs/>
                <w:strike/>
                <w:sz w:val="22"/>
                <w:szCs w:val="22"/>
              </w:rPr>
            </w:pPr>
            <w:r w:rsidRPr="0018142A">
              <w:rPr>
                <w:rFonts w:eastAsia="Calibri"/>
                <w:i/>
                <w:iCs/>
                <w:strike/>
                <w:sz w:val="22"/>
                <w:szCs w:val="22"/>
              </w:rPr>
              <w:t>7.4. Do nazewnictwa plików wykorzystuje się Metodę A zdefiniowaną w Aneksie C, pkt C.2.2 w ETSI TS 101 671 [1]. Zgodnie z tą metodą nazwa pliku ma postać: &lt;</w:t>
            </w:r>
            <w:proofErr w:type="spellStart"/>
            <w:r w:rsidRPr="0018142A">
              <w:rPr>
                <w:rFonts w:eastAsia="Calibri"/>
                <w:i/>
                <w:iCs/>
                <w:strike/>
                <w:sz w:val="22"/>
                <w:szCs w:val="22"/>
              </w:rPr>
              <w:t>LIID</w:t>
            </w:r>
            <w:proofErr w:type="spellEnd"/>
            <w:r w:rsidRPr="0018142A">
              <w:rPr>
                <w:rFonts w:eastAsia="Calibri"/>
                <w:i/>
                <w:iCs/>
                <w:strike/>
                <w:sz w:val="22"/>
                <w:szCs w:val="22"/>
              </w:rPr>
              <w:t>&gt;_&lt;</w:t>
            </w:r>
            <w:proofErr w:type="spellStart"/>
            <w:r w:rsidRPr="0018142A">
              <w:rPr>
                <w:rFonts w:eastAsia="Calibri"/>
                <w:i/>
                <w:iCs/>
                <w:strike/>
                <w:sz w:val="22"/>
                <w:szCs w:val="22"/>
              </w:rPr>
              <w:t>seq</w:t>
            </w:r>
            <w:proofErr w:type="spellEnd"/>
            <w:r w:rsidRPr="0018142A">
              <w:rPr>
                <w:rFonts w:eastAsia="Calibri"/>
                <w:i/>
                <w:iCs/>
                <w:strike/>
                <w:sz w:val="22"/>
                <w:szCs w:val="22"/>
              </w:rPr>
              <w:t>&gt;.&lt;</w:t>
            </w:r>
            <w:proofErr w:type="spellStart"/>
            <w:r w:rsidRPr="0018142A">
              <w:rPr>
                <w:rFonts w:eastAsia="Calibri"/>
                <w:i/>
                <w:iCs/>
                <w:strike/>
                <w:sz w:val="22"/>
                <w:szCs w:val="22"/>
              </w:rPr>
              <w:t>ext</w:t>
            </w:r>
            <w:proofErr w:type="spellEnd"/>
            <w:r w:rsidRPr="0018142A">
              <w:rPr>
                <w:rFonts w:eastAsia="Calibri"/>
                <w:i/>
                <w:iCs/>
                <w:strike/>
                <w:sz w:val="22"/>
                <w:szCs w:val="22"/>
              </w:rPr>
              <w:t>&gt;.</w:t>
            </w:r>
          </w:p>
          <w:p w14:paraId="72DFB0AD" w14:textId="77777777" w:rsidR="00105DCA" w:rsidRPr="0018142A" w:rsidRDefault="00105DCA" w:rsidP="00105DCA">
            <w:pPr>
              <w:spacing w:after="120"/>
              <w:ind w:left="62"/>
              <w:jc w:val="both"/>
              <w:rPr>
                <w:rFonts w:eastAsia="Calibri"/>
                <w:i/>
                <w:iCs/>
                <w:strike/>
                <w:sz w:val="22"/>
                <w:szCs w:val="22"/>
              </w:rPr>
            </w:pPr>
            <w:r w:rsidRPr="0018142A">
              <w:rPr>
                <w:rFonts w:eastAsia="Calibri"/>
                <w:i/>
                <w:iCs/>
                <w:strike/>
                <w:sz w:val="22"/>
                <w:szCs w:val="22"/>
              </w:rPr>
              <w:t>7.5. Nazwa przesyłanego pliku jest zmieniana na docelową po udanym nagraniu. Plik tymczasowy posiada dodatkowe rozszerzenie .</w:t>
            </w:r>
            <w:proofErr w:type="spellStart"/>
            <w:r w:rsidRPr="0018142A">
              <w:rPr>
                <w:rFonts w:eastAsia="Calibri"/>
                <w:i/>
                <w:iCs/>
                <w:strike/>
                <w:sz w:val="22"/>
                <w:szCs w:val="22"/>
              </w:rPr>
              <w:t>tmp</w:t>
            </w:r>
            <w:proofErr w:type="spellEnd"/>
            <w:r w:rsidRPr="0018142A">
              <w:rPr>
                <w:rFonts w:eastAsia="Calibri"/>
                <w:i/>
                <w:iCs/>
                <w:strike/>
                <w:sz w:val="22"/>
                <w:szCs w:val="22"/>
              </w:rPr>
              <w:t xml:space="preserve"> (&lt;</w:t>
            </w:r>
            <w:proofErr w:type="spellStart"/>
            <w:r w:rsidRPr="0018142A">
              <w:rPr>
                <w:rFonts w:eastAsia="Calibri"/>
                <w:i/>
                <w:iCs/>
                <w:strike/>
                <w:sz w:val="22"/>
                <w:szCs w:val="22"/>
              </w:rPr>
              <w:t>LIID</w:t>
            </w:r>
            <w:proofErr w:type="spellEnd"/>
            <w:r w:rsidRPr="0018142A">
              <w:rPr>
                <w:rFonts w:eastAsia="Calibri"/>
                <w:i/>
                <w:iCs/>
                <w:strike/>
                <w:sz w:val="22"/>
                <w:szCs w:val="22"/>
              </w:rPr>
              <w:t>&gt;_&lt;</w:t>
            </w:r>
            <w:proofErr w:type="spellStart"/>
            <w:r w:rsidRPr="0018142A">
              <w:rPr>
                <w:rFonts w:eastAsia="Calibri"/>
                <w:i/>
                <w:iCs/>
                <w:strike/>
                <w:sz w:val="22"/>
                <w:szCs w:val="22"/>
              </w:rPr>
              <w:t>seq</w:t>
            </w:r>
            <w:proofErr w:type="spellEnd"/>
            <w:r w:rsidRPr="0018142A">
              <w:rPr>
                <w:rFonts w:eastAsia="Calibri"/>
                <w:i/>
                <w:iCs/>
                <w:strike/>
                <w:sz w:val="22"/>
                <w:szCs w:val="22"/>
              </w:rPr>
              <w:t>&gt;.&lt;</w:t>
            </w:r>
            <w:proofErr w:type="spellStart"/>
            <w:r w:rsidRPr="0018142A">
              <w:rPr>
                <w:rFonts w:eastAsia="Calibri"/>
                <w:i/>
                <w:iCs/>
                <w:strike/>
                <w:sz w:val="22"/>
                <w:szCs w:val="22"/>
              </w:rPr>
              <w:t>ext</w:t>
            </w:r>
            <w:proofErr w:type="spellEnd"/>
            <w:r w:rsidRPr="0018142A">
              <w:rPr>
                <w:rFonts w:eastAsia="Calibri"/>
                <w:i/>
                <w:iCs/>
                <w:strike/>
                <w:sz w:val="22"/>
                <w:szCs w:val="22"/>
              </w:rPr>
              <w:t>&gt;.</w:t>
            </w:r>
            <w:proofErr w:type="spellStart"/>
            <w:r w:rsidRPr="0018142A">
              <w:rPr>
                <w:rFonts w:eastAsia="Calibri"/>
                <w:i/>
                <w:iCs/>
                <w:strike/>
                <w:sz w:val="22"/>
                <w:szCs w:val="22"/>
              </w:rPr>
              <w:t>tmp</w:t>
            </w:r>
            <w:proofErr w:type="spellEnd"/>
            <w:r w:rsidRPr="0018142A">
              <w:rPr>
                <w:rFonts w:eastAsia="Calibri"/>
                <w:i/>
                <w:iCs/>
                <w:strike/>
                <w:sz w:val="22"/>
                <w:szCs w:val="22"/>
              </w:rPr>
              <w:t>).</w:t>
            </w:r>
          </w:p>
          <w:p w14:paraId="0A89E140" w14:textId="77777777" w:rsidR="00105DCA" w:rsidRPr="0018142A" w:rsidRDefault="00105DCA" w:rsidP="00105DCA">
            <w:pPr>
              <w:spacing w:after="120"/>
              <w:ind w:left="62"/>
              <w:jc w:val="both"/>
              <w:rPr>
                <w:rFonts w:eastAsia="Calibri"/>
                <w:i/>
                <w:iCs/>
                <w:sz w:val="22"/>
                <w:szCs w:val="22"/>
              </w:rPr>
            </w:pPr>
            <w:r w:rsidRPr="0018142A">
              <w:rPr>
                <w:rFonts w:eastAsia="Calibri"/>
                <w:i/>
                <w:iCs/>
                <w:sz w:val="22"/>
                <w:szCs w:val="22"/>
              </w:rPr>
              <w:t xml:space="preserve">7.6. Zawartości </w:t>
            </w:r>
            <w:r w:rsidRPr="0018142A">
              <w:rPr>
                <w:rFonts w:eastAsia="Calibri"/>
                <w:b/>
                <w:bCs/>
                <w:i/>
                <w:iCs/>
                <w:sz w:val="22"/>
                <w:szCs w:val="22"/>
              </w:rPr>
              <w:t xml:space="preserve">strumieni </w:t>
            </w:r>
            <w:r w:rsidRPr="0018142A">
              <w:rPr>
                <w:rFonts w:eastAsia="Calibri"/>
                <w:i/>
                <w:iCs/>
                <w:strike/>
                <w:sz w:val="22"/>
                <w:szCs w:val="22"/>
              </w:rPr>
              <w:t>plików</w:t>
            </w:r>
            <w:r w:rsidRPr="0018142A">
              <w:rPr>
                <w:rFonts w:eastAsia="Calibri"/>
                <w:i/>
                <w:iCs/>
                <w:sz w:val="22"/>
                <w:szCs w:val="22"/>
              </w:rPr>
              <w:t xml:space="preserve"> (zawierających </w:t>
            </w:r>
            <w:proofErr w:type="spellStart"/>
            <w:r w:rsidRPr="0018142A">
              <w:rPr>
                <w:rFonts w:eastAsia="Calibri"/>
                <w:i/>
                <w:iCs/>
                <w:sz w:val="22"/>
                <w:szCs w:val="22"/>
              </w:rPr>
              <w:t>IRI</w:t>
            </w:r>
            <w:proofErr w:type="spellEnd"/>
            <w:r w:rsidRPr="0018142A">
              <w:rPr>
                <w:rFonts w:eastAsia="Calibri"/>
                <w:i/>
                <w:iCs/>
                <w:sz w:val="22"/>
                <w:szCs w:val="22"/>
              </w:rPr>
              <w:t xml:space="preserve">) </w:t>
            </w:r>
            <w:proofErr w:type="spellStart"/>
            <w:r w:rsidRPr="0018142A">
              <w:rPr>
                <w:rFonts w:eastAsia="Calibri"/>
                <w:i/>
                <w:iCs/>
                <w:sz w:val="22"/>
                <w:szCs w:val="22"/>
              </w:rPr>
              <w:t>kodowan</w:t>
            </w:r>
            <w:r w:rsidRPr="0018142A">
              <w:rPr>
                <w:rFonts w:eastAsia="Calibri"/>
                <w:b/>
                <w:bCs/>
                <w:i/>
                <w:iCs/>
                <w:sz w:val="22"/>
                <w:szCs w:val="22"/>
              </w:rPr>
              <w:t>a</w:t>
            </w:r>
            <w:r w:rsidRPr="0018142A">
              <w:rPr>
                <w:rFonts w:eastAsia="Calibri"/>
                <w:i/>
                <w:iCs/>
                <w:strike/>
                <w:sz w:val="22"/>
                <w:szCs w:val="22"/>
              </w:rPr>
              <w:t>e</w:t>
            </w:r>
            <w:proofErr w:type="spellEnd"/>
            <w:r w:rsidRPr="0018142A">
              <w:rPr>
                <w:rFonts w:eastAsia="Calibri"/>
                <w:i/>
                <w:iCs/>
                <w:sz w:val="22"/>
                <w:szCs w:val="22"/>
              </w:rPr>
              <w:t xml:space="preserve"> </w:t>
            </w:r>
            <w:r w:rsidRPr="0018142A">
              <w:rPr>
                <w:rFonts w:eastAsia="Calibri"/>
                <w:i/>
                <w:iCs/>
                <w:strike/>
                <w:sz w:val="22"/>
                <w:szCs w:val="22"/>
              </w:rPr>
              <w:t>są</w:t>
            </w:r>
            <w:r w:rsidRPr="0018142A">
              <w:rPr>
                <w:rFonts w:eastAsia="Calibri"/>
                <w:i/>
                <w:iCs/>
                <w:sz w:val="22"/>
                <w:szCs w:val="22"/>
              </w:rPr>
              <w:t xml:space="preserve"> </w:t>
            </w:r>
            <w:r w:rsidRPr="0018142A">
              <w:rPr>
                <w:rFonts w:eastAsia="Calibri"/>
                <w:b/>
                <w:bCs/>
                <w:i/>
                <w:iCs/>
                <w:sz w:val="22"/>
                <w:szCs w:val="22"/>
              </w:rPr>
              <w:t>jest</w:t>
            </w:r>
            <w:r w:rsidRPr="0018142A">
              <w:rPr>
                <w:rFonts w:eastAsia="Calibri"/>
                <w:i/>
                <w:iCs/>
                <w:sz w:val="22"/>
                <w:szCs w:val="22"/>
              </w:rPr>
              <w:t xml:space="preserve"> z wykorzystaniem ASN.1/BER zgodnie z:</w:t>
            </w:r>
          </w:p>
          <w:p w14:paraId="6693063A" w14:textId="77777777"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102 232-7 [6] </w:t>
            </w:r>
            <w:r w:rsidRPr="0018142A">
              <w:rPr>
                <w:rFonts w:eastAsia="Calibri"/>
                <w:b/>
                <w:bCs/>
                <w:i/>
                <w:iCs/>
                <w:sz w:val="22"/>
                <w:szCs w:val="22"/>
              </w:rPr>
              <w:t>lub ETSI TS 133 108 [10]</w:t>
            </w:r>
            <w:r w:rsidRPr="0018142A">
              <w:rPr>
                <w:rFonts w:eastAsia="Calibri"/>
                <w:i/>
                <w:iCs/>
                <w:sz w:val="22"/>
                <w:szCs w:val="22"/>
              </w:rPr>
              <w:t xml:space="preserve"> w odniesieniu do usług świadczonych w sieciach ruchomych oraz usług transmisji pakietowej świadczonych w sieciach ruchomych;</w:t>
            </w:r>
          </w:p>
          <w:p w14:paraId="3162BED4" w14:textId="4B51AB7E"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102 232-1 [2] i ETSI TS 102 232-6 [5] </w:t>
            </w:r>
            <w:r w:rsidRPr="0018142A">
              <w:rPr>
                <w:rFonts w:eastAsia="Calibri"/>
                <w:b/>
                <w:bCs/>
                <w:i/>
                <w:iCs/>
                <w:sz w:val="22"/>
                <w:szCs w:val="22"/>
              </w:rPr>
              <w:t>lub ETSI TS 101 671 [1]</w:t>
            </w:r>
            <w:r w:rsidR="004A2F4B">
              <w:rPr>
                <w:rFonts w:eastAsia="Calibri"/>
                <w:i/>
                <w:iCs/>
                <w:sz w:val="22"/>
                <w:szCs w:val="22"/>
              </w:rPr>
              <w:t xml:space="preserve"> </w:t>
            </w:r>
            <w:r w:rsidRPr="0018142A">
              <w:rPr>
                <w:rFonts w:eastAsia="Calibri"/>
                <w:i/>
                <w:iCs/>
                <w:sz w:val="22"/>
                <w:szCs w:val="22"/>
              </w:rPr>
              <w:t xml:space="preserve"> w odniesieniu do usług świadczonych w stacjonarnej publicznej sieci telekomunikacyjnej </w:t>
            </w:r>
            <w:r w:rsidRPr="0018142A">
              <w:rPr>
                <w:rFonts w:eastAsia="Calibri"/>
                <w:b/>
                <w:bCs/>
                <w:i/>
                <w:iCs/>
                <w:sz w:val="22"/>
                <w:szCs w:val="22"/>
              </w:rPr>
              <w:t>oraz publicznej ruchomej sieci telekomunikacyjnej w technologii 2G/3G</w:t>
            </w:r>
            <w:r w:rsidRPr="0018142A">
              <w:rPr>
                <w:rFonts w:eastAsia="Calibri"/>
                <w:i/>
                <w:iCs/>
                <w:sz w:val="22"/>
                <w:szCs w:val="22"/>
              </w:rPr>
              <w:t>;</w:t>
            </w:r>
          </w:p>
          <w:p w14:paraId="343FAA1A" w14:textId="77777777"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102 232-1 [2] i ETSI TS 102 232-3 [3] w odniesieniu do usług dostępu do </w:t>
            </w:r>
            <w:proofErr w:type="spellStart"/>
            <w:r w:rsidRPr="0018142A">
              <w:rPr>
                <w:rFonts w:eastAsia="Calibri"/>
                <w:i/>
                <w:iCs/>
                <w:sz w:val="22"/>
                <w:szCs w:val="22"/>
              </w:rPr>
              <w:t>internetu</w:t>
            </w:r>
            <w:proofErr w:type="spellEnd"/>
            <w:r w:rsidRPr="0018142A">
              <w:rPr>
                <w:rFonts w:eastAsia="Calibri"/>
                <w:i/>
                <w:iCs/>
                <w:sz w:val="22"/>
                <w:szCs w:val="22"/>
              </w:rPr>
              <w:t>;</w:t>
            </w:r>
          </w:p>
          <w:p w14:paraId="096D6E2E" w14:textId="77777777" w:rsidR="00105DCA" w:rsidRPr="0018142A" w:rsidRDefault="00105DCA" w:rsidP="00105DCA">
            <w:pPr>
              <w:numPr>
                <w:ilvl w:val="0"/>
                <w:numId w:val="6"/>
              </w:numPr>
              <w:spacing w:after="120"/>
              <w:jc w:val="both"/>
              <w:rPr>
                <w:rFonts w:eastAsia="Calibri"/>
                <w:i/>
                <w:iCs/>
                <w:sz w:val="22"/>
                <w:szCs w:val="22"/>
              </w:rPr>
            </w:pPr>
            <w:r w:rsidRPr="0018142A">
              <w:rPr>
                <w:rFonts w:eastAsia="Calibri"/>
                <w:i/>
                <w:iCs/>
                <w:sz w:val="22"/>
                <w:szCs w:val="22"/>
              </w:rPr>
              <w:t xml:space="preserve">ETSI TS 102 232-1 [2] i ETSI TS 102 232-5 [4] w odniesieniu do usług telefonii internetowej. </w:t>
            </w:r>
          </w:p>
          <w:p w14:paraId="68D66E19" w14:textId="6BB0910E" w:rsidR="00F00917" w:rsidRPr="0018142A" w:rsidRDefault="00F00917" w:rsidP="005D79B0">
            <w:pPr>
              <w:spacing w:after="108"/>
              <w:jc w:val="both"/>
              <w:rPr>
                <w:sz w:val="22"/>
                <w:szCs w:val="22"/>
              </w:rPr>
            </w:pPr>
            <w:r w:rsidRPr="0018142A">
              <w:rPr>
                <w:rFonts w:eastAsia="Calibri"/>
                <w:i/>
                <w:sz w:val="22"/>
                <w:szCs w:val="22"/>
              </w:rPr>
              <w:t xml:space="preserve"> </w:t>
            </w:r>
            <w:r w:rsidRPr="0018142A">
              <w:rPr>
                <w:rFonts w:eastAsia="Calibri"/>
                <w:sz w:val="22"/>
                <w:szCs w:val="22"/>
                <w:u w:val="single" w:color="000000"/>
              </w:rPr>
              <w:t>Uzasadnienie:</w:t>
            </w:r>
            <w:r w:rsidRPr="0018142A">
              <w:rPr>
                <w:rFonts w:eastAsia="Calibri"/>
                <w:sz w:val="22"/>
                <w:szCs w:val="22"/>
              </w:rPr>
              <w:t xml:space="preserve"> </w:t>
            </w:r>
          </w:p>
          <w:p w14:paraId="1CEFE87E" w14:textId="054AA8DA" w:rsidR="00F00917" w:rsidRPr="0018142A" w:rsidRDefault="00F00917" w:rsidP="00142F55">
            <w:pPr>
              <w:spacing w:after="120"/>
              <w:ind w:left="-6"/>
              <w:jc w:val="both"/>
              <w:rPr>
                <w:rFonts w:eastAsia="Calibri"/>
                <w:sz w:val="22"/>
                <w:szCs w:val="22"/>
              </w:rPr>
            </w:pPr>
            <w:r w:rsidRPr="0018142A">
              <w:rPr>
                <w:sz w:val="22"/>
                <w:szCs w:val="22"/>
              </w:rPr>
              <w:t xml:space="preserve">W rozwiązaniach stosowanych i wykorzystywanych w ramach umów zawartych pomiędzy przedsiębiorcami telekomunikacyjnymi a uprawnionymi podmiotami, komunikacja odbywa się </w:t>
            </w:r>
            <w:r w:rsidRPr="0018142A">
              <w:rPr>
                <w:rFonts w:eastAsia="Calibri"/>
                <w:sz w:val="22"/>
                <w:szCs w:val="22"/>
              </w:rPr>
              <w:t xml:space="preserve">z </w:t>
            </w:r>
            <w:r w:rsidRPr="0018142A">
              <w:rPr>
                <w:sz w:val="22"/>
                <w:szCs w:val="22"/>
              </w:rPr>
              <w:t>wykorzystaniem protokołu TCP. W ocenie Izby brak uzasadnienia dla stosowania protokołu FTP.</w:t>
            </w:r>
          </w:p>
        </w:tc>
        <w:tc>
          <w:tcPr>
            <w:tcW w:w="3941" w:type="dxa"/>
            <w:tcBorders>
              <w:bottom w:val="single" w:sz="4" w:space="0" w:color="auto"/>
            </w:tcBorders>
          </w:tcPr>
          <w:p w14:paraId="77B1F5CB" w14:textId="77777777" w:rsidR="00F00917" w:rsidRDefault="005D79B0" w:rsidP="0018142A">
            <w:pPr>
              <w:pStyle w:val="Bezodstpw"/>
              <w:jc w:val="both"/>
              <w:rPr>
                <w:rFonts w:ascii="Times New Roman" w:hAnsi="Times New Roman" w:cs="Times New Roman"/>
                <w:b/>
                <w:bCs/>
              </w:rPr>
            </w:pPr>
            <w:r w:rsidRPr="0018142A">
              <w:rPr>
                <w:rFonts w:ascii="Times New Roman" w:hAnsi="Times New Roman" w:cs="Times New Roman"/>
                <w:b/>
                <w:bCs/>
              </w:rPr>
              <w:t>Uwaga uwzględniona</w:t>
            </w:r>
          </w:p>
          <w:p w14:paraId="161C23AA" w14:textId="6D523529" w:rsidR="00682FFC" w:rsidRDefault="00682FFC" w:rsidP="0018142A">
            <w:pPr>
              <w:pStyle w:val="Bezodstpw"/>
              <w:jc w:val="both"/>
              <w:rPr>
                <w:rFonts w:ascii="Times New Roman" w:hAnsi="Times New Roman" w:cs="Times New Roman"/>
              </w:rPr>
            </w:pPr>
            <w:r>
              <w:rPr>
                <w:rFonts w:ascii="Times New Roman" w:hAnsi="Times New Roman" w:cs="Times New Roman"/>
              </w:rPr>
              <w:t>Kierunkowo przeredagowano zgodnie z</w:t>
            </w:r>
            <w:r w:rsidR="00125604">
              <w:rPr>
                <w:rFonts w:ascii="Times New Roman" w:hAnsi="Times New Roman" w:cs="Times New Roman"/>
              </w:rPr>
              <w:t> </w:t>
            </w:r>
            <w:r>
              <w:rPr>
                <w:rFonts w:ascii="Times New Roman" w:hAnsi="Times New Roman" w:cs="Times New Roman"/>
              </w:rPr>
              <w:t>treścią uwagi.</w:t>
            </w:r>
          </w:p>
          <w:p w14:paraId="3AB6F3BA" w14:textId="599185DE" w:rsidR="002D7742" w:rsidRPr="0018142A" w:rsidRDefault="002D7742" w:rsidP="0018142A">
            <w:pPr>
              <w:pStyle w:val="Bezodstpw"/>
              <w:jc w:val="both"/>
              <w:rPr>
                <w:rFonts w:ascii="Times New Roman" w:hAnsi="Times New Roman" w:cs="Times New Roman"/>
              </w:rPr>
            </w:pPr>
            <w:r>
              <w:rPr>
                <w:rFonts w:ascii="Times New Roman" w:hAnsi="Times New Roman" w:cs="Times New Roman"/>
              </w:rPr>
              <w:t xml:space="preserve">Treść ustalono w trakcie warsztatów </w:t>
            </w:r>
            <w:r w:rsidRPr="002C457F">
              <w:rPr>
                <w:rFonts w:ascii="Times New Roman" w:eastAsia="Times New Roman" w:hAnsi="Times New Roman" w:cs="Times New Roman"/>
                <w:lang w:eastAsia="pl-PL"/>
              </w:rPr>
              <w:t>z</w:t>
            </w:r>
            <w:r w:rsidR="00125604">
              <w:rPr>
                <w:rFonts w:ascii="Times New Roman" w:eastAsia="Times New Roman" w:hAnsi="Times New Roman" w:cs="Times New Roman"/>
                <w:lang w:eastAsia="pl-PL"/>
              </w:rPr>
              <w:t> </w:t>
            </w:r>
            <w:r w:rsidRPr="002C457F">
              <w:rPr>
                <w:rFonts w:ascii="Times New Roman" w:eastAsia="Times New Roman" w:hAnsi="Times New Roman" w:cs="Times New Roman"/>
                <w:lang w:eastAsia="pl-PL"/>
              </w:rPr>
              <w:t>udziałem przedstawicieli uprawnionych podmiotów i</w:t>
            </w:r>
            <w:r w:rsidR="004A2F4B">
              <w:rPr>
                <w:rFonts w:ascii="Times New Roman" w:eastAsia="Times New Roman" w:hAnsi="Times New Roman" w:cs="Times New Roman"/>
                <w:lang w:eastAsia="pl-PL"/>
              </w:rPr>
              <w:t xml:space="preserve"> </w:t>
            </w:r>
            <w:r w:rsidRPr="002C457F">
              <w:rPr>
                <w:rFonts w:ascii="Times New Roman" w:eastAsia="Times New Roman" w:hAnsi="Times New Roman" w:cs="Times New Roman"/>
                <w:lang w:eastAsia="pl-PL"/>
              </w:rPr>
              <w:t>przedsiębiorców telekomunikacyjnych</w:t>
            </w:r>
            <w:r>
              <w:rPr>
                <w:rFonts w:ascii="Times New Roman" w:hAnsi="Times New Roman" w:cs="Times New Roman"/>
              </w:rPr>
              <w:t>, w tym Polskiej Izby Informatyki i</w:t>
            </w:r>
            <w:r w:rsidR="004A2F4B">
              <w:rPr>
                <w:rFonts w:ascii="Times New Roman" w:hAnsi="Times New Roman" w:cs="Times New Roman"/>
              </w:rPr>
              <w:t xml:space="preserve"> </w:t>
            </w:r>
            <w:r>
              <w:rPr>
                <w:rFonts w:ascii="Times New Roman" w:hAnsi="Times New Roman" w:cs="Times New Roman"/>
              </w:rPr>
              <w:t>Telekomunikacji</w:t>
            </w:r>
            <w:r w:rsidR="005D6380">
              <w:rPr>
                <w:rFonts w:ascii="Times New Roman" w:hAnsi="Times New Roman" w:cs="Times New Roman"/>
              </w:rPr>
              <w:t>.</w:t>
            </w:r>
          </w:p>
        </w:tc>
      </w:tr>
      <w:tr w:rsidR="00972DBD" w:rsidRPr="00893C20" w14:paraId="463D8CCD" w14:textId="77777777" w:rsidTr="0018142A">
        <w:trPr>
          <w:trHeight w:val="1259"/>
        </w:trPr>
        <w:tc>
          <w:tcPr>
            <w:tcW w:w="596" w:type="dxa"/>
            <w:tcBorders>
              <w:bottom w:val="single" w:sz="4" w:space="0" w:color="auto"/>
            </w:tcBorders>
            <w:vAlign w:val="center"/>
          </w:tcPr>
          <w:p w14:paraId="6F95B8A9" w14:textId="77777777" w:rsidR="00972DBD" w:rsidRPr="0018142A" w:rsidRDefault="00972DBD" w:rsidP="00972DBD">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047B0DF1" w14:textId="77777777"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Załącznik</w:t>
            </w:r>
          </w:p>
          <w:p w14:paraId="5DDA14E4" w14:textId="1B600B8B"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pkt 7.7</w:t>
            </w:r>
          </w:p>
        </w:tc>
        <w:tc>
          <w:tcPr>
            <w:tcW w:w="1692" w:type="dxa"/>
            <w:tcBorders>
              <w:bottom w:val="single" w:sz="4" w:space="0" w:color="auto"/>
            </w:tcBorders>
          </w:tcPr>
          <w:p w14:paraId="12606571" w14:textId="4C399260" w:rsidR="00972DBD" w:rsidRPr="005D6380" w:rsidRDefault="00972DBD" w:rsidP="00972DBD">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5EC9F297" w14:textId="74F7D12F" w:rsidR="00972DBD" w:rsidRPr="0018142A" w:rsidRDefault="00142F55" w:rsidP="00142F55">
            <w:pPr>
              <w:spacing w:after="110"/>
              <w:jc w:val="both"/>
              <w:rPr>
                <w:sz w:val="22"/>
                <w:szCs w:val="22"/>
              </w:rPr>
            </w:pPr>
            <w:r w:rsidRPr="0018142A">
              <w:rPr>
                <w:sz w:val="22"/>
                <w:szCs w:val="22"/>
              </w:rPr>
              <w:t xml:space="preserve">Propozycja usunięcia </w:t>
            </w:r>
            <w:proofErr w:type="spellStart"/>
            <w:r w:rsidR="00972DBD" w:rsidRPr="0018142A">
              <w:rPr>
                <w:sz w:val="22"/>
                <w:szCs w:val="22"/>
              </w:rPr>
              <w:t>ppkt</w:t>
            </w:r>
            <w:proofErr w:type="spellEnd"/>
            <w:r w:rsidR="00972DBD" w:rsidRPr="0018142A">
              <w:rPr>
                <w:sz w:val="22"/>
                <w:szCs w:val="22"/>
              </w:rPr>
              <w:t xml:space="preserve"> 7.7</w:t>
            </w:r>
            <w:r w:rsidR="004A2F4B">
              <w:rPr>
                <w:sz w:val="22"/>
                <w:szCs w:val="22"/>
              </w:rPr>
              <w:t xml:space="preserve"> </w:t>
            </w:r>
          </w:p>
          <w:p w14:paraId="046C7149" w14:textId="77777777" w:rsidR="00972DBD" w:rsidRPr="0018142A" w:rsidRDefault="00972DBD"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17206822" w14:textId="23D0A556" w:rsidR="00972DBD" w:rsidRPr="0018142A" w:rsidRDefault="00972DBD"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3B873C6B" w14:textId="77777777" w:rsidR="00972DBD" w:rsidRPr="0018142A" w:rsidRDefault="005D79B0" w:rsidP="0018142A">
            <w:pPr>
              <w:pStyle w:val="Bezodstpw"/>
              <w:spacing w:after="120"/>
              <w:jc w:val="both"/>
              <w:rPr>
                <w:rFonts w:ascii="Times New Roman" w:hAnsi="Times New Roman" w:cs="Times New Roman"/>
                <w:b/>
                <w:bCs/>
              </w:rPr>
            </w:pPr>
            <w:r w:rsidRPr="0018142A">
              <w:rPr>
                <w:rFonts w:ascii="Times New Roman" w:hAnsi="Times New Roman" w:cs="Times New Roman"/>
                <w:b/>
                <w:bCs/>
              </w:rPr>
              <w:t>Uwaga nieuwzględniona</w:t>
            </w:r>
          </w:p>
          <w:p w14:paraId="4E2598C1" w14:textId="77777777" w:rsidR="00436C68" w:rsidRPr="0018142A" w:rsidRDefault="00436C68"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5147B026" w14:textId="502E86F0" w:rsidR="00436C68" w:rsidRPr="0018142A" w:rsidRDefault="00436C68" w:rsidP="0018142A">
            <w:pPr>
              <w:pStyle w:val="Bezodstpw"/>
              <w:jc w:val="both"/>
              <w:rPr>
                <w:rFonts w:ascii="Times New Roman" w:hAnsi="Times New Roman" w:cs="Times New Roman"/>
                <w:b/>
                <w:bCs/>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972DBD" w:rsidRPr="00893C20" w14:paraId="6113B5AA" w14:textId="77777777" w:rsidTr="0018142A">
        <w:tc>
          <w:tcPr>
            <w:tcW w:w="596" w:type="dxa"/>
            <w:tcBorders>
              <w:bottom w:val="single" w:sz="4" w:space="0" w:color="auto"/>
            </w:tcBorders>
            <w:vAlign w:val="center"/>
          </w:tcPr>
          <w:p w14:paraId="3CD9789F" w14:textId="77777777" w:rsidR="00972DBD" w:rsidRPr="0018142A" w:rsidRDefault="00972DBD" w:rsidP="00972DBD">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C6D8BC6" w14:textId="77777777"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Załącznik</w:t>
            </w:r>
          </w:p>
          <w:p w14:paraId="7DF53C88" w14:textId="57284FFC" w:rsidR="00972DBD" w:rsidRPr="0018142A" w:rsidRDefault="00972DBD" w:rsidP="00972DBD">
            <w:pPr>
              <w:pStyle w:val="Bezodstpw"/>
              <w:jc w:val="center"/>
              <w:rPr>
                <w:rFonts w:ascii="Times New Roman" w:hAnsi="Times New Roman" w:cs="Times New Roman"/>
              </w:rPr>
            </w:pPr>
            <w:r w:rsidRPr="0018142A">
              <w:rPr>
                <w:rFonts w:ascii="Times New Roman" w:hAnsi="Times New Roman" w:cs="Times New Roman"/>
              </w:rPr>
              <w:t>pkt 7.8 i 7.9</w:t>
            </w:r>
          </w:p>
        </w:tc>
        <w:tc>
          <w:tcPr>
            <w:tcW w:w="1692" w:type="dxa"/>
            <w:tcBorders>
              <w:bottom w:val="single" w:sz="4" w:space="0" w:color="auto"/>
            </w:tcBorders>
          </w:tcPr>
          <w:p w14:paraId="44202644" w14:textId="3CA611A6" w:rsidR="00972DBD" w:rsidRPr="005D6380" w:rsidRDefault="00972DBD" w:rsidP="00972DBD">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3229CE17" w14:textId="08BB5192" w:rsidR="00972DBD" w:rsidRPr="0018142A" w:rsidRDefault="00142F55" w:rsidP="00142F55">
            <w:pPr>
              <w:spacing w:after="110"/>
              <w:jc w:val="both"/>
              <w:rPr>
                <w:sz w:val="22"/>
                <w:szCs w:val="22"/>
              </w:rPr>
            </w:pPr>
            <w:r w:rsidRPr="0018142A">
              <w:rPr>
                <w:sz w:val="22"/>
                <w:szCs w:val="22"/>
              </w:rPr>
              <w:t xml:space="preserve">Propozycja usunięcia </w:t>
            </w:r>
            <w:proofErr w:type="spellStart"/>
            <w:r w:rsidR="00972DBD" w:rsidRPr="0018142A">
              <w:rPr>
                <w:sz w:val="22"/>
                <w:szCs w:val="22"/>
              </w:rPr>
              <w:t>ppkt</w:t>
            </w:r>
            <w:proofErr w:type="spellEnd"/>
            <w:r w:rsidR="00972DBD" w:rsidRPr="0018142A">
              <w:rPr>
                <w:sz w:val="22"/>
                <w:szCs w:val="22"/>
              </w:rPr>
              <w:t xml:space="preserve"> 7.8 oraz 7.9.</w:t>
            </w:r>
            <w:r w:rsidR="004A2F4B">
              <w:rPr>
                <w:sz w:val="22"/>
                <w:szCs w:val="22"/>
              </w:rPr>
              <w:t xml:space="preserve"> </w:t>
            </w:r>
          </w:p>
          <w:p w14:paraId="08D41277" w14:textId="77777777" w:rsidR="00972DBD" w:rsidRPr="0018142A" w:rsidRDefault="00972DBD"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2068D818" w14:textId="3098B352" w:rsidR="00972DBD" w:rsidRPr="0018142A" w:rsidRDefault="00972DBD" w:rsidP="00142F55">
            <w:pPr>
              <w:ind w:left="-5"/>
              <w:jc w:val="both"/>
              <w:rPr>
                <w:sz w:val="22"/>
                <w:szCs w:val="22"/>
              </w:rPr>
            </w:pPr>
            <w:r w:rsidRPr="0018142A">
              <w:rPr>
                <w:sz w:val="22"/>
                <w:szCs w:val="22"/>
              </w:rPr>
              <w:t xml:space="preserve">Zgodnie z wcześniejszą uwagą, propozycja usunięcia </w:t>
            </w:r>
            <w:proofErr w:type="spellStart"/>
            <w:r w:rsidRPr="0018142A">
              <w:rPr>
                <w:sz w:val="22"/>
                <w:szCs w:val="22"/>
              </w:rPr>
              <w:t>ppkt</w:t>
            </w:r>
            <w:proofErr w:type="spellEnd"/>
            <w:r w:rsidRPr="0018142A">
              <w:rPr>
                <w:sz w:val="22"/>
                <w:szCs w:val="22"/>
              </w:rPr>
              <w:t xml:space="preserve"> z uwagi na fakt, że zachowują aktualność </w:t>
            </w:r>
            <w:r w:rsidRPr="0018142A">
              <w:rPr>
                <w:rFonts w:eastAsia="Calibri"/>
                <w:sz w:val="22"/>
                <w:szCs w:val="22"/>
              </w:rPr>
              <w:t xml:space="preserve">i </w:t>
            </w:r>
            <w:r w:rsidRPr="0018142A">
              <w:rPr>
                <w:sz w:val="22"/>
                <w:szCs w:val="22"/>
              </w:rPr>
              <w:t>zasadność wyłącznie w przypadku stosowania protokołu FTP.</w:t>
            </w:r>
            <w:r w:rsidR="004A2F4B">
              <w:rPr>
                <w:sz w:val="22"/>
                <w:szCs w:val="22"/>
              </w:rPr>
              <w:t xml:space="preserve"> </w:t>
            </w:r>
          </w:p>
        </w:tc>
        <w:tc>
          <w:tcPr>
            <w:tcW w:w="3941" w:type="dxa"/>
            <w:tcBorders>
              <w:bottom w:val="single" w:sz="4" w:space="0" w:color="auto"/>
            </w:tcBorders>
          </w:tcPr>
          <w:p w14:paraId="7136DEF1" w14:textId="6781375B" w:rsidR="00972DBD" w:rsidRPr="0018142A" w:rsidRDefault="0014373E" w:rsidP="0018142A">
            <w:pPr>
              <w:pStyle w:val="Bezodstpw"/>
              <w:jc w:val="both"/>
              <w:rPr>
                <w:rFonts w:ascii="Times New Roman" w:hAnsi="Times New Roman" w:cs="Times New Roman"/>
              </w:rPr>
            </w:pPr>
            <w:r w:rsidRPr="0018142A">
              <w:rPr>
                <w:rFonts w:ascii="Times New Roman" w:hAnsi="Times New Roman" w:cs="Times New Roman"/>
                <w:b/>
                <w:bCs/>
              </w:rPr>
              <w:t>Uwaga uwzględniona</w:t>
            </w:r>
            <w:r w:rsidR="00682FFC">
              <w:rPr>
                <w:rFonts w:ascii="Times New Roman" w:hAnsi="Times New Roman" w:cs="Times New Roman"/>
                <w:b/>
                <w:bCs/>
              </w:rPr>
              <w:t xml:space="preserve"> poprzez usuniecie wskazanych w niej punktów.</w:t>
            </w:r>
          </w:p>
        </w:tc>
      </w:tr>
      <w:tr w:rsidR="005C4D19" w:rsidRPr="00893C20" w14:paraId="045FC689" w14:textId="77777777" w:rsidTr="0018142A">
        <w:tc>
          <w:tcPr>
            <w:tcW w:w="596" w:type="dxa"/>
            <w:tcBorders>
              <w:bottom w:val="single" w:sz="4" w:space="0" w:color="auto"/>
            </w:tcBorders>
            <w:vAlign w:val="center"/>
          </w:tcPr>
          <w:p w14:paraId="088285DB" w14:textId="77777777" w:rsidR="005C4D19" w:rsidRPr="0018142A" w:rsidRDefault="005C4D19" w:rsidP="005C4D19">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711098C4" w14:textId="77777777" w:rsidR="005C4D19" w:rsidRPr="0018142A" w:rsidRDefault="005C4D19" w:rsidP="005C4D19">
            <w:pPr>
              <w:pStyle w:val="Bezodstpw"/>
              <w:jc w:val="center"/>
              <w:rPr>
                <w:rFonts w:ascii="Times New Roman" w:hAnsi="Times New Roman" w:cs="Times New Roman"/>
              </w:rPr>
            </w:pPr>
            <w:r w:rsidRPr="0018142A">
              <w:rPr>
                <w:rFonts w:ascii="Times New Roman" w:hAnsi="Times New Roman" w:cs="Times New Roman"/>
              </w:rPr>
              <w:t>Załącznik</w:t>
            </w:r>
          </w:p>
          <w:p w14:paraId="1255DE0E" w14:textId="18462ADA" w:rsidR="005C4D19" w:rsidRPr="0018142A" w:rsidRDefault="005C4D19" w:rsidP="005C4D19">
            <w:pPr>
              <w:pStyle w:val="Bezodstpw"/>
              <w:jc w:val="center"/>
              <w:rPr>
                <w:rFonts w:ascii="Times New Roman" w:hAnsi="Times New Roman" w:cs="Times New Roman"/>
              </w:rPr>
            </w:pPr>
            <w:r w:rsidRPr="0018142A">
              <w:rPr>
                <w:rFonts w:ascii="Times New Roman" w:hAnsi="Times New Roman" w:cs="Times New Roman"/>
              </w:rPr>
              <w:t>pkt 8.3</w:t>
            </w:r>
            <w:r w:rsidR="007D4273" w:rsidRPr="0018142A">
              <w:rPr>
                <w:rFonts w:ascii="Times New Roman" w:hAnsi="Times New Roman" w:cs="Times New Roman"/>
              </w:rPr>
              <w:t xml:space="preserve"> i 8.4</w:t>
            </w:r>
          </w:p>
        </w:tc>
        <w:tc>
          <w:tcPr>
            <w:tcW w:w="1692" w:type="dxa"/>
            <w:tcBorders>
              <w:bottom w:val="single" w:sz="4" w:space="0" w:color="auto"/>
            </w:tcBorders>
          </w:tcPr>
          <w:p w14:paraId="03347B1C" w14:textId="2E9E67C6" w:rsidR="005C4D19" w:rsidRPr="005D6380" w:rsidRDefault="005C4D19" w:rsidP="005C4D19">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27A4D2D7" w14:textId="27C5AD62" w:rsidR="00142F55" w:rsidRPr="0018142A" w:rsidRDefault="00142F55" w:rsidP="00142F55">
            <w:pPr>
              <w:spacing w:after="108"/>
              <w:ind w:left="-5"/>
              <w:jc w:val="both"/>
              <w:rPr>
                <w:rFonts w:eastAsia="Calibri"/>
                <w:iCs/>
                <w:sz w:val="22"/>
                <w:szCs w:val="22"/>
              </w:rPr>
            </w:pPr>
            <w:r w:rsidRPr="0018142A">
              <w:rPr>
                <w:rFonts w:eastAsia="Calibri"/>
                <w:iCs/>
                <w:sz w:val="22"/>
                <w:szCs w:val="22"/>
              </w:rPr>
              <w:t>Propozycja:</w:t>
            </w:r>
          </w:p>
          <w:p w14:paraId="00506F66" w14:textId="73CA0167" w:rsidR="005C4D19" w:rsidRPr="0018142A" w:rsidRDefault="005C4D19" w:rsidP="00142F55">
            <w:pPr>
              <w:spacing w:after="108"/>
              <w:ind w:left="-5"/>
              <w:jc w:val="both"/>
              <w:rPr>
                <w:strike/>
                <w:sz w:val="22"/>
                <w:szCs w:val="22"/>
              </w:rPr>
            </w:pPr>
            <w:r w:rsidRPr="0018142A">
              <w:rPr>
                <w:rFonts w:eastAsia="Calibri"/>
                <w:i/>
                <w:strike/>
                <w:sz w:val="22"/>
                <w:szCs w:val="22"/>
              </w:rPr>
              <w:t xml:space="preserve">8.3. Do przekazywania treści objętych monitorowaniem dla usług telekomunikacyjnych świadczonych w sieciach ruchomych stosuje się: </w:t>
            </w:r>
          </w:p>
          <w:p w14:paraId="28CE5394" w14:textId="6D241DAA" w:rsidR="005C4D19" w:rsidRPr="0018142A" w:rsidRDefault="005C4D19" w:rsidP="00142F55">
            <w:pPr>
              <w:spacing w:after="108"/>
              <w:jc w:val="both"/>
              <w:rPr>
                <w:strike/>
                <w:sz w:val="22"/>
                <w:szCs w:val="22"/>
              </w:rPr>
            </w:pPr>
            <w:r w:rsidRPr="0018142A">
              <w:rPr>
                <w:rFonts w:eastAsia="Calibri"/>
                <w:i/>
                <w:strike/>
                <w:sz w:val="22"/>
                <w:szCs w:val="22"/>
              </w:rPr>
              <w:t>1)</w:t>
            </w:r>
            <w:r w:rsidRPr="0018142A">
              <w:rPr>
                <w:rFonts w:eastAsia="Arial"/>
                <w:i/>
                <w:strike/>
                <w:sz w:val="22"/>
                <w:szCs w:val="22"/>
              </w:rPr>
              <w:t xml:space="preserve"> </w:t>
            </w:r>
            <w:r w:rsidRPr="0018142A">
              <w:rPr>
                <w:rFonts w:eastAsia="Calibri"/>
                <w:i/>
                <w:strike/>
                <w:sz w:val="22"/>
                <w:szCs w:val="22"/>
              </w:rPr>
              <w:t>dla trybu offline:</w:t>
            </w:r>
            <w:r w:rsidR="004A2F4B">
              <w:rPr>
                <w:rFonts w:eastAsia="Calibri"/>
                <w:i/>
                <w:strike/>
                <w:sz w:val="22"/>
                <w:szCs w:val="22"/>
              </w:rPr>
              <w:t xml:space="preserve"> </w:t>
            </w:r>
          </w:p>
          <w:p w14:paraId="0E691F19" w14:textId="77777777" w:rsidR="005C4D19" w:rsidRPr="0018142A" w:rsidRDefault="005C4D19" w:rsidP="00142F55">
            <w:pPr>
              <w:numPr>
                <w:ilvl w:val="2"/>
                <w:numId w:val="8"/>
              </w:numPr>
              <w:spacing w:after="108"/>
              <w:ind w:left="487" w:hanging="348"/>
              <w:jc w:val="both"/>
              <w:rPr>
                <w:strike/>
                <w:sz w:val="22"/>
                <w:szCs w:val="22"/>
              </w:rPr>
            </w:pPr>
            <w:r w:rsidRPr="0018142A">
              <w:rPr>
                <w:rFonts w:eastAsia="Calibri"/>
                <w:i/>
                <w:strike/>
                <w:sz w:val="22"/>
                <w:szCs w:val="22"/>
              </w:rPr>
              <w:t xml:space="preserve">FTP zdefiniowany w IETF RFC 0959 [14] na zasadach określonych w ETSI TS 133 108 [10], </w:t>
            </w:r>
          </w:p>
          <w:p w14:paraId="71DACB22" w14:textId="77777777" w:rsidR="005C4D19" w:rsidRPr="0018142A" w:rsidRDefault="005C4D19" w:rsidP="00142F55">
            <w:pPr>
              <w:numPr>
                <w:ilvl w:val="2"/>
                <w:numId w:val="8"/>
              </w:numPr>
              <w:spacing w:after="108"/>
              <w:ind w:left="487" w:hanging="348"/>
              <w:jc w:val="both"/>
              <w:rPr>
                <w:strike/>
                <w:sz w:val="22"/>
                <w:szCs w:val="22"/>
              </w:rPr>
            </w:pPr>
            <w:r w:rsidRPr="0018142A">
              <w:rPr>
                <w:rFonts w:eastAsia="Calibri"/>
                <w:i/>
                <w:strike/>
                <w:sz w:val="22"/>
                <w:szCs w:val="22"/>
              </w:rPr>
              <w:t xml:space="preserve">w przypadku połączeń głosowych zapis treści komunikatów elektronicznych może być realizowany na dwa sposoby. W pierwszym sposobie dla każdego z kierunków (w kierunku od i do obiektu monitorowanego) jest tworzony odrębny plik (tryb stereo). W drugim sposobie oba kierunki transmisji zapisywane są w ramach jednego pliku – oba kierunki połączenia są ze sobą zmiksowane w jeden strumień (tryb mono), </w:t>
            </w:r>
          </w:p>
          <w:p w14:paraId="71AFDB5F" w14:textId="77777777" w:rsidR="005C4D19" w:rsidRPr="0018142A" w:rsidRDefault="005C4D19" w:rsidP="00142F55">
            <w:pPr>
              <w:numPr>
                <w:ilvl w:val="2"/>
                <w:numId w:val="8"/>
              </w:numPr>
              <w:ind w:left="487" w:hanging="348"/>
              <w:jc w:val="both"/>
              <w:rPr>
                <w:strike/>
                <w:sz w:val="22"/>
                <w:szCs w:val="22"/>
              </w:rPr>
            </w:pPr>
            <w:r w:rsidRPr="0018142A">
              <w:rPr>
                <w:rFonts w:eastAsia="Calibri"/>
                <w:i/>
                <w:strike/>
                <w:sz w:val="22"/>
                <w:szCs w:val="22"/>
              </w:rPr>
              <w:t>treść przesyłana za pośrednictwem interfejsu HI3 jest zapisywana w plikach o nazwie zgodnej ze schematem: &lt;</w:t>
            </w:r>
            <w:proofErr w:type="spellStart"/>
            <w:r w:rsidRPr="0018142A">
              <w:rPr>
                <w:rFonts w:eastAsia="Calibri"/>
                <w:i/>
                <w:strike/>
                <w:sz w:val="22"/>
                <w:szCs w:val="22"/>
              </w:rPr>
              <w:t>LIID</w:t>
            </w:r>
            <w:proofErr w:type="spellEnd"/>
            <w:r w:rsidRPr="0018142A">
              <w:rPr>
                <w:rFonts w:eastAsia="Calibri"/>
                <w:i/>
                <w:strike/>
                <w:sz w:val="22"/>
                <w:szCs w:val="22"/>
              </w:rPr>
              <w:t>&gt;_&lt;</w:t>
            </w:r>
            <w:proofErr w:type="spellStart"/>
            <w:r w:rsidRPr="0018142A">
              <w:rPr>
                <w:rFonts w:eastAsia="Calibri"/>
                <w:i/>
                <w:strike/>
                <w:sz w:val="22"/>
                <w:szCs w:val="22"/>
              </w:rPr>
              <w:t>CIN</w:t>
            </w:r>
            <w:proofErr w:type="spellEnd"/>
            <w:r w:rsidRPr="0018142A">
              <w:rPr>
                <w:rFonts w:eastAsia="Calibri"/>
                <w:i/>
                <w:strike/>
                <w:sz w:val="22"/>
                <w:szCs w:val="22"/>
              </w:rPr>
              <w:t>&gt;.&lt;</w:t>
            </w:r>
            <w:proofErr w:type="spellStart"/>
            <w:r w:rsidRPr="0018142A">
              <w:rPr>
                <w:rFonts w:eastAsia="Calibri"/>
                <w:i/>
                <w:strike/>
                <w:sz w:val="22"/>
                <w:szCs w:val="22"/>
              </w:rPr>
              <w:t>ext</w:t>
            </w:r>
            <w:proofErr w:type="spellEnd"/>
            <w:r w:rsidRPr="0018142A">
              <w:rPr>
                <w:rFonts w:eastAsia="Calibri"/>
                <w:i/>
                <w:strike/>
                <w:sz w:val="22"/>
                <w:szCs w:val="22"/>
              </w:rPr>
              <w:t xml:space="preserve">&gt;, gdzie: </w:t>
            </w:r>
          </w:p>
          <w:p w14:paraId="027FCDD1" w14:textId="1D92EA89" w:rsidR="005C4D19" w:rsidRPr="0018142A" w:rsidRDefault="005C4D19" w:rsidP="00142F55">
            <w:pPr>
              <w:ind w:left="487"/>
              <w:jc w:val="both"/>
              <w:rPr>
                <w:strike/>
                <w:sz w:val="22"/>
                <w:szCs w:val="22"/>
              </w:rPr>
            </w:pPr>
            <w:proofErr w:type="spellStart"/>
            <w:r w:rsidRPr="0018142A">
              <w:rPr>
                <w:rFonts w:eastAsia="Calibri"/>
                <w:i/>
                <w:strike/>
                <w:sz w:val="22"/>
                <w:szCs w:val="22"/>
              </w:rPr>
              <w:t>ext</w:t>
            </w:r>
            <w:proofErr w:type="spellEnd"/>
            <w:r w:rsidRPr="0018142A">
              <w:rPr>
                <w:rFonts w:eastAsia="Calibri"/>
                <w:i/>
                <w:strike/>
                <w:sz w:val="22"/>
                <w:szCs w:val="22"/>
              </w:rPr>
              <w:t xml:space="preserve"> – rodzaj zawartej informacji, gdzie cyfra:</w:t>
            </w:r>
            <w:r w:rsidR="004A2F4B">
              <w:rPr>
                <w:rFonts w:eastAsia="Calibri"/>
                <w:i/>
                <w:strike/>
                <w:sz w:val="22"/>
                <w:szCs w:val="22"/>
              </w:rPr>
              <w:t xml:space="preserve"> </w:t>
            </w:r>
          </w:p>
          <w:p w14:paraId="7C07799A" w14:textId="283C5347" w:rsidR="005C4D19" w:rsidRPr="0018142A" w:rsidRDefault="005C4D19" w:rsidP="00142F55">
            <w:pPr>
              <w:ind w:left="771"/>
              <w:jc w:val="both"/>
              <w:rPr>
                <w:strike/>
                <w:sz w:val="22"/>
                <w:szCs w:val="22"/>
              </w:rPr>
            </w:pPr>
            <w:r w:rsidRPr="0018142A">
              <w:rPr>
                <w:rFonts w:eastAsia="Segoe UI Symbol"/>
                <w:strike/>
                <w:sz w:val="22"/>
                <w:szCs w:val="22"/>
              </w:rPr>
              <w:t>−</w:t>
            </w:r>
            <w:r w:rsidRPr="0018142A">
              <w:rPr>
                <w:rFonts w:eastAsia="Arial"/>
                <w:strike/>
                <w:sz w:val="22"/>
                <w:szCs w:val="22"/>
              </w:rPr>
              <w:t xml:space="preserve"> </w:t>
            </w:r>
            <w:r w:rsidRPr="0018142A">
              <w:rPr>
                <w:rFonts w:eastAsia="Calibri"/>
                <w:i/>
                <w:strike/>
                <w:sz w:val="22"/>
                <w:szCs w:val="22"/>
              </w:rPr>
              <w:t>2 oznacza CC od obiektu monitorowanego,</w:t>
            </w:r>
            <w:r w:rsidR="004A2F4B">
              <w:rPr>
                <w:rFonts w:eastAsia="Calibri"/>
                <w:i/>
                <w:strike/>
                <w:sz w:val="22"/>
                <w:szCs w:val="22"/>
              </w:rPr>
              <w:t xml:space="preserve"> </w:t>
            </w:r>
          </w:p>
          <w:p w14:paraId="33350BD5" w14:textId="77777777" w:rsidR="005C4D19" w:rsidRPr="0018142A" w:rsidRDefault="005C4D19" w:rsidP="00142F55">
            <w:pPr>
              <w:ind w:left="771"/>
              <w:jc w:val="both"/>
              <w:rPr>
                <w:rFonts w:eastAsia="Calibri"/>
                <w:i/>
                <w:strike/>
                <w:sz w:val="22"/>
                <w:szCs w:val="22"/>
              </w:rPr>
            </w:pPr>
            <w:r w:rsidRPr="0018142A">
              <w:rPr>
                <w:rFonts w:eastAsia="Segoe UI Symbol"/>
                <w:strike/>
                <w:sz w:val="22"/>
                <w:szCs w:val="22"/>
              </w:rPr>
              <w:t>−</w:t>
            </w:r>
            <w:r w:rsidRPr="0018142A">
              <w:rPr>
                <w:rFonts w:eastAsia="Arial"/>
                <w:strike/>
                <w:sz w:val="22"/>
                <w:szCs w:val="22"/>
              </w:rPr>
              <w:t xml:space="preserve"> </w:t>
            </w:r>
            <w:r w:rsidRPr="0018142A">
              <w:rPr>
                <w:rFonts w:eastAsia="Calibri"/>
                <w:i/>
                <w:strike/>
                <w:sz w:val="22"/>
                <w:szCs w:val="22"/>
              </w:rPr>
              <w:t>4 oznacza CC do obiektu monitorowanego,</w:t>
            </w:r>
          </w:p>
          <w:p w14:paraId="45D10F5E" w14:textId="59F8A73F" w:rsidR="005C4D19" w:rsidRPr="0018142A" w:rsidRDefault="005C4D19" w:rsidP="00142F55">
            <w:pPr>
              <w:ind w:left="771"/>
              <w:jc w:val="both"/>
              <w:rPr>
                <w:strike/>
                <w:sz w:val="22"/>
                <w:szCs w:val="22"/>
              </w:rPr>
            </w:pPr>
            <w:r w:rsidRPr="0018142A">
              <w:rPr>
                <w:rFonts w:eastAsia="Segoe UI Symbol"/>
                <w:strike/>
                <w:sz w:val="22"/>
                <w:szCs w:val="22"/>
              </w:rPr>
              <w:t>−</w:t>
            </w:r>
            <w:r w:rsidRPr="0018142A">
              <w:rPr>
                <w:rFonts w:eastAsia="Arial"/>
                <w:strike/>
                <w:sz w:val="22"/>
                <w:szCs w:val="22"/>
              </w:rPr>
              <w:t xml:space="preserve"> </w:t>
            </w:r>
            <w:r w:rsidRPr="0018142A">
              <w:rPr>
                <w:rFonts w:eastAsia="Calibri"/>
                <w:i/>
                <w:strike/>
                <w:sz w:val="22"/>
                <w:szCs w:val="22"/>
              </w:rPr>
              <w:t xml:space="preserve">6 oznacza CC do i od obiektu monitorowanego, </w:t>
            </w:r>
          </w:p>
          <w:p w14:paraId="004774D3" w14:textId="77777777" w:rsidR="005C4D19" w:rsidRPr="0018142A" w:rsidRDefault="005C4D19" w:rsidP="00142F55">
            <w:pPr>
              <w:numPr>
                <w:ilvl w:val="2"/>
                <w:numId w:val="8"/>
              </w:numPr>
              <w:spacing w:before="120" w:after="120"/>
              <w:ind w:left="488" w:hanging="346"/>
              <w:jc w:val="both"/>
              <w:rPr>
                <w:strike/>
                <w:sz w:val="22"/>
                <w:szCs w:val="22"/>
              </w:rPr>
            </w:pPr>
            <w:r w:rsidRPr="0018142A">
              <w:rPr>
                <w:rFonts w:eastAsia="Calibri"/>
                <w:i/>
                <w:strike/>
                <w:sz w:val="22"/>
                <w:szCs w:val="22"/>
              </w:rPr>
              <w:lastRenderedPageBreak/>
              <w:t>nazwa przesyłanego pliku jest zmieniana na docelową po udanym nagraniu; plik tymczasowy posiada dodatkowe rozszerzenie .</w:t>
            </w:r>
            <w:proofErr w:type="spellStart"/>
            <w:r w:rsidRPr="0018142A">
              <w:rPr>
                <w:rFonts w:eastAsia="Calibri"/>
                <w:i/>
                <w:strike/>
                <w:sz w:val="22"/>
                <w:szCs w:val="22"/>
              </w:rPr>
              <w:t>tmp</w:t>
            </w:r>
            <w:proofErr w:type="spellEnd"/>
            <w:r w:rsidRPr="0018142A">
              <w:rPr>
                <w:rFonts w:eastAsia="Calibri"/>
                <w:i/>
                <w:strike/>
                <w:sz w:val="22"/>
                <w:szCs w:val="22"/>
              </w:rPr>
              <w:t xml:space="preserve"> (&lt;</w:t>
            </w:r>
            <w:proofErr w:type="spellStart"/>
            <w:r w:rsidRPr="0018142A">
              <w:rPr>
                <w:rFonts w:eastAsia="Calibri"/>
                <w:i/>
                <w:strike/>
                <w:sz w:val="22"/>
                <w:szCs w:val="22"/>
              </w:rPr>
              <w:t>LIID</w:t>
            </w:r>
            <w:proofErr w:type="spellEnd"/>
            <w:r w:rsidRPr="0018142A">
              <w:rPr>
                <w:rFonts w:eastAsia="Calibri"/>
                <w:i/>
                <w:strike/>
                <w:sz w:val="22"/>
                <w:szCs w:val="22"/>
              </w:rPr>
              <w:t>&gt;_&lt;</w:t>
            </w:r>
            <w:proofErr w:type="spellStart"/>
            <w:r w:rsidRPr="0018142A">
              <w:rPr>
                <w:rFonts w:eastAsia="Calibri"/>
                <w:i/>
                <w:strike/>
                <w:sz w:val="22"/>
                <w:szCs w:val="22"/>
              </w:rPr>
              <w:t>CIN</w:t>
            </w:r>
            <w:proofErr w:type="spellEnd"/>
            <w:r w:rsidRPr="0018142A">
              <w:rPr>
                <w:rFonts w:eastAsia="Calibri"/>
                <w:i/>
                <w:strike/>
                <w:sz w:val="22"/>
                <w:szCs w:val="22"/>
              </w:rPr>
              <w:t>&gt;.&lt;</w:t>
            </w:r>
            <w:proofErr w:type="spellStart"/>
            <w:r w:rsidRPr="0018142A">
              <w:rPr>
                <w:rFonts w:eastAsia="Calibri"/>
                <w:i/>
                <w:strike/>
                <w:sz w:val="22"/>
                <w:szCs w:val="22"/>
              </w:rPr>
              <w:t>ext</w:t>
            </w:r>
            <w:proofErr w:type="spellEnd"/>
            <w:r w:rsidRPr="0018142A">
              <w:rPr>
                <w:rFonts w:eastAsia="Calibri"/>
                <w:i/>
                <w:strike/>
                <w:sz w:val="22"/>
                <w:szCs w:val="22"/>
              </w:rPr>
              <w:t>&gt;.</w:t>
            </w:r>
            <w:proofErr w:type="spellStart"/>
            <w:r w:rsidRPr="0018142A">
              <w:rPr>
                <w:rFonts w:eastAsia="Calibri"/>
                <w:i/>
                <w:strike/>
                <w:sz w:val="22"/>
                <w:szCs w:val="22"/>
              </w:rPr>
              <w:t>tmp</w:t>
            </w:r>
            <w:proofErr w:type="spellEnd"/>
            <w:r w:rsidRPr="0018142A">
              <w:rPr>
                <w:rFonts w:eastAsia="Calibri"/>
                <w:i/>
                <w:strike/>
                <w:sz w:val="22"/>
                <w:szCs w:val="22"/>
              </w:rPr>
              <w:t xml:space="preserve">), </w:t>
            </w:r>
          </w:p>
          <w:p w14:paraId="505976CD" w14:textId="77777777" w:rsidR="005C4D19" w:rsidRPr="0018142A" w:rsidRDefault="005C4D19" w:rsidP="00142F55">
            <w:pPr>
              <w:numPr>
                <w:ilvl w:val="2"/>
                <w:numId w:val="8"/>
              </w:numPr>
              <w:spacing w:after="108"/>
              <w:ind w:left="487" w:hanging="348"/>
              <w:jc w:val="both"/>
              <w:rPr>
                <w:strike/>
                <w:sz w:val="22"/>
                <w:szCs w:val="22"/>
              </w:rPr>
            </w:pPr>
            <w:r w:rsidRPr="0018142A">
              <w:rPr>
                <w:rFonts w:eastAsia="Calibri"/>
                <w:i/>
                <w:strike/>
                <w:sz w:val="22"/>
                <w:szCs w:val="22"/>
              </w:rPr>
              <w:t xml:space="preserve">przedsiębiorca telekomunikacyjny nieodpłatnie dostarcza LEA urządzenia lub programy przeznaczone do przekształcania strumienia danych lub sygnału (kodeki) umożliwiające odczyt plików audio i wideo oraz innych formatów danych i plików stosowanych przez przedsiębiorcę telekomunikacyjnego; </w:t>
            </w:r>
          </w:p>
          <w:p w14:paraId="132F8080" w14:textId="77777777" w:rsidR="005C4D19" w:rsidRPr="0018142A" w:rsidRDefault="005C4D19" w:rsidP="00142F55">
            <w:pPr>
              <w:spacing w:after="108"/>
              <w:ind w:left="62"/>
              <w:jc w:val="both"/>
              <w:rPr>
                <w:strike/>
                <w:sz w:val="22"/>
                <w:szCs w:val="22"/>
              </w:rPr>
            </w:pPr>
            <w:r w:rsidRPr="0018142A">
              <w:rPr>
                <w:rFonts w:eastAsia="Calibri"/>
                <w:i/>
                <w:strike/>
                <w:sz w:val="22"/>
                <w:szCs w:val="22"/>
              </w:rPr>
              <w:t>2)</w:t>
            </w:r>
            <w:r w:rsidRPr="0018142A">
              <w:rPr>
                <w:rFonts w:eastAsia="Arial"/>
                <w:i/>
                <w:strike/>
                <w:sz w:val="22"/>
                <w:szCs w:val="22"/>
              </w:rPr>
              <w:t xml:space="preserve"> </w:t>
            </w:r>
            <w:r w:rsidRPr="0018142A">
              <w:rPr>
                <w:rFonts w:eastAsia="Calibri"/>
                <w:i/>
                <w:strike/>
                <w:sz w:val="22"/>
                <w:szCs w:val="22"/>
              </w:rPr>
              <w:t xml:space="preserve">dla trybu online: </w:t>
            </w:r>
          </w:p>
          <w:p w14:paraId="20617130"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komunikaty elektroniczne wysyłane i odbierane przez obiekt monitorowany ADMF przesyła do LEMF w czasie rzeczywistym, </w:t>
            </w:r>
          </w:p>
          <w:p w14:paraId="55400B3D"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do przesyłania przekazów stosuje się SIP, zgodny z IETF RFC 3261 [18], </w:t>
            </w:r>
          </w:p>
          <w:p w14:paraId="14FC03F8"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format pola Call-ID w nagłówku SIP przyjmuje postać LIID_CIN, </w:t>
            </w:r>
          </w:p>
          <w:p w14:paraId="23310EA6" w14:textId="77777777" w:rsidR="005C4D19" w:rsidRPr="0018142A" w:rsidRDefault="005C4D19" w:rsidP="00142F55">
            <w:pPr>
              <w:numPr>
                <w:ilvl w:val="3"/>
                <w:numId w:val="9"/>
              </w:numPr>
              <w:spacing w:after="108"/>
              <w:ind w:left="629" w:hanging="360"/>
              <w:jc w:val="both"/>
              <w:rPr>
                <w:strike/>
                <w:sz w:val="22"/>
                <w:szCs w:val="22"/>
              </w:rPr>
            </w:pPr>
            <w:r w:rsidRPr="0018142A">
              <w:rPr>
                <w:rFonts w:eastAsia="Calibri"/>
                <w:i/>
                <w:strike/>
                <w:sz w:val="22"/>
                <w:szCs w:val="22"/>
              </w:rPr>
              <w:t xml:space="preserve">przedsiębiorca telekomunikacyjny nieodpłatnie dostarcza LEA kodeki umożliwiające odbiór połączeń głosowych i wideo, </w:t>
            </w:r>
          </w:p>
          <w:p w14:paraId="2C0BA9B5" w14:textId="77777777" w:rsidR="005C4D19" w:rsidRPr="0018142A" w:rsidRDefault="005C4D19" w:rsidP="00142F55">
            <w:pPr>
              <w:numPr>
                <w:ilvl w:val="3"/>
                <w:numId w:val="9"/>
              </w:numPr>
              <w:spacing w:after="108"/>
              <w:ind w:left="629" w:hanging="360"/>
              <w:jc w:val="both"/>
              <w:rPr>
                <w:sz w:val="22"/>
                <w:szCs w:val="22"/>
              </w:rPr>
            </w:pPr>
            <w:r w:rsidRPr="0018142A">
              <w:rPr>
                <w:rFonts w:eastAsia="Calibri"/>
                <w:i/>
                <w:strike/>
                <w:sz w:val="22"/>
                <w:szCs w:val="22"/>
              </w:rPr>
              <w:t xml:space="preserve">adres docelowy SIP jest określany na podstawie parametru </w:t>
            </w:r>
            <w:proofErr w:type="spellStart"/>
            <w:r w:rsidRPr="0018142A">
              <w:rPr>
                <w:rFonts w:eastAsia="Calibri"/>
                <w:i/>
                <w:strike/>
                <w:sz w:val="22"/>
                <w:szCs w:val="22"/>
              </w:rPr>
              <w:t>forwardingAddrres</w:t>
            </w:r>
            <w:proofErr w:type="spellEnd"/>
            <w:r w:rsidRPr="0018142A">
              <w:rPr>
                <w:rFonts w:eastAsia="Calibri"/>
                <w:i/>
                <w:strike/>
                <w:sz w:val="22"/>
                <w:szCs w:val="22"/>
              </w:rPr>
              <w:t>, który LEA określa za pomocą interfejsu HI1.</w:t>
            </w:r>
            <w:r w:rsidRPr="0018142A">
              <w:rPr>
                <w:rFonts w:eastAsia="Calibri"/>
                <w:i/>
                <w:sz w:val="22"/>
                <w:szCs w:val="22"/>
              </w:rPr>
              <w:t xml:space="preserve"> </w:t>
            </w:r>
          </w:p>
          <w:p w14:paraId="567A4F75" w14:textId="77777777" w:rsidR="005C4D19" w:rsidRPr="0018142A" w:rsidRDefault="005C4D19" w:rsidP="00142F55">
            <w:pPr>
              <w:spacing w:after="108"/>
              <w:ind w:left="-5"/>
              <w:jc w:val="both"/>
              <w:rPr>
                <w:sz w:val="22"/>
                <w:szCs w:val="22"/>
              </w:rPr>
            </w:pPr>
            <w:r w:rsidRPr="0018142A">
              <w:rPr>
                <w:rFonts w:eastAsia="Calibri"/>
                <w:i/>
                <w:sz w:val="22"/>
                <w:szCs w:val="22"/>
              </w:rPr>
              <w:t xml:space="preserve">8.4. Do przekazywania treści objętych monitorowaniem dla usług telekomunikacyjnych świadczonych w sieciach ruchomych stosuje się zasady określone </w:t>
            </w:r>
            <w:r w:rsidRPr="0018142A">
              <w:rPr>
                <w:rFonts w:eastAsia="Calibri"/>
                <w:i/>
                <w:strike/>
                <w:sz w:val="22"/>
                <w:szCs w:val="22"/>
              </w:rPr>
              <w:t>w Dopuszcza się przekazywanie treści komunikacji objętej monitorowaniem, o których mowa w pkt 8.3, zgodnie z zasadami określonymi</w:t>
            </w:r>
            <w:r w:rsidRPr="0018142A">
              <w:rPr>
                <w:rFonts w:eastAsia="Calibri"/>
                <w:i/>
                <w:sz w:val="22"/>
                <w:szCs w:val="22"/>
              </w:rPr>
              <w:t xml:space="preserve"> w ETSI TS 102 2321 [2] i ETSI TS 102 232-6 [5]. </w:t>
            </w:r>
          </w:p>
          <w:p w14:paraId="2D471904" w14:textId="77777777" w:rsidR="005C4D19" w:rsidRPr="0018142A" w:rsidRDefault="005C4D19"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0F63813F" w14:textId="7836C231" w:rsidR="005C4D19" w:rsidRPr="0018142A" w:rsidRDefault="005C4D19" w:rsidP="00142F55">
            <w:pPr>
              <w:ind w:left="-5"/>
              <w:jc w:val="both"/>
              <w:rPr>
                <w:sz w:val="22"/>
                <w:szCs w:val="22"/>
              </w:rPr>
            </w:pPr>
            <w:r w:rsidRPr="0018142A">
              <w:rPr>
                <w:sz w:val="22"/>
                <w:szCs w:val="22"/>
              </w:rPr>
              <w:t>Proponowana zmiana ma na celu uwzględnienie norm, w oparciu, o które zostały zaprojektowane aktualnie funkcjonujące rozwiązania będące przedmiotem umów zawartych pomiędzy podmiotami uprawnionymi a przedsiębiorcami telekomunikacyjnymi.</w:t>
            </w:r>
            <w:r w:rsidR="004A2F4B">
              <w:rPr>
                <w:sz w:val="22"/>
                <w:szCs w:val="22"/>
              </w:rPr>
              <w:t xml:space="preserve"> </w:t>
            </w:r>
          </w:p>
        </w:tc>
        <w:tc>
          <w:tcPr>
            <w:tcW w:w="3941" w:type="dxa"/>
            <w:tcBorders>
              <w:bottom w:val="single" w:sz="4" w:space="0" w:color="auto"/>
            </w:tcBorders>
          </w:tcPr>
          <w:p w14:paraId="1BA089ED" w14:textId="77777777" w:rsidR="005C4D19" w:rsidRPr="0018142A" w:rsidRDefault="007D4273"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nieuwzględniona</w:t>
            </w:r>
          </w:p>
          <w:p w14:paraId="7761F779" w14:textId="0807C768" w:rsidR="007D4273" w:rsidRPr="0018142A" w:rsidRDefault="00682FFC" w:rsidP="0018142A">
            <w:pPr>
              <w:pStyle w:val="Bezodstpw"/>
              <w:jc w:val="both"/>
              <w:rPr>
                <w:rFonts w:ascii="Times New Roman" w:hAnsi="Times New Roman" w:cs="Times New Roman"/>
              </w:rPr>
            </w:pPr>
            <w:r>
              <w:rPr>
                <w:rFonts w:ascii="Times New Roman" w:hAnsi="Times New Roman" w:cs="Times New Roman"/>
              </w:rPr>
              <w:t>Kierunkowo przeredagowano zgodnie z</w:t>
            </w:r>
            <w:r w:rsidR="0018142A">
              <w:rPr>
                <w:rFonts w:ascii="Times New Roman" w:hAnsi="Times New Roman" w:cs="Times New Roman"/>
              </w:rPr>
              <w:t> </w:t>
            </w:r>
            <w:r>
              <w:rPr>
                <w:rFonts w:ascii="Times New Roman" w:hAnsi="Times New Roman" w:cs="Times New Roman"/>
              </w:rPr>
              <w:t xml:space="preserve">treścią uwagi. Ponadto </w:t>
            </w:r>
            <w:r w:rsidR="007D4273" w:rsidRPr="0018142A">
              <w:rPr>
                <w:rFonts w:ascii="Times New Roman" w:hAnsi="Times New Roman" w:cs="Times New Roman"/>
              </w:rPr>
              <w:t xml:space="preserve">treść pkt 8 </w:t>
            </w:r>
            <w:r>
              <w:rPr>
                <w:rFonts w:ascii="Times New Roman" w:hAnsi="Times New Roman" w:cs="Times New Roman"/>
              </w:rPr>
              <w:t xml:space="preserve">ustalono w trakcie warsztatów </w:t>
            </w:r>
            <w:r w:rsidRPr="002C457F">
              <w:rPr>
                <w:rFonts w:ascii="Times New Roman" w:eastAsia="Times New Roman" w:hAnsi="Times New Roman" w:cs="Times New Roman"/>
                <w:lang w:eastAsia="pl-PL"/>
              </w:rPr>
              <w:t>z udziałem przedstawicieli uprawnionych podmiotów i przedsiębiorców telekomunikacyjnych</w:t>
            </w:r>
            <w:r w:rsidR="002D7742">
              <w:rPr>
                <w:rFonts w:ascii="Times New Roman" w:hAnsi="Times New Roman" w:cs="Times New Roman"/>
              </w:rPr>
              <w:t>, w tym Polskiej Izby Informatyki i</w:t>
            </w:r>
            <w:r w:rsidR="0018142A">
              <w:rPr>
                <w:rFonts w:ascii="Times New Roman" w:hAnsi="Times New Roman" w:cs="Times New Roman"/>
              </w:rPr>
              <w:t> </w:t>
            </w:r>
            <w:r w:rsidR="002D7742">
              <w:rPr>
                <w:rFonts w:ascii="Times New Roman" w:hAnsi="Times New Roman" w:cs="Times New Roman"/>
              </w:rPr>
              <w:t>Telekomunikacji</w:t>
            </w:r>
            <w:r w:rsidR="002D7742">
              <w:rPr>
                <w:rFonts w:ascii="Times New Roman" w:eastAsia="Times New Roman" w:hAnsi="Times New Roman" w:cs="Times New Roman"/>
                <w:lang w:eastAsia="pl-PL"/>
              </w:rPr>
              <w:t>.</w:t>
            </w:r>
          </w:p>
        </w:tc>
      </w:tr>
      <w:tr w:rsidR="00142F55" w:rsidRPr="00893C20" w14:paraId="77441056" w14:textId="77777777" w:rsidTr="0018142A">
        <w:tc>
          <w:tcPr>
            <w:tcW w:w="596" w:type="dxa"/>
            <w:tcBorders>
              <w:bottom w:val="single" w:sz="4" w:space="0" w:color="auto"/>
            </w:tcBorders>
            <w:vAlign w:val="center"/>
          </w:tcPr>
          <w:p w14:paraId="25198583" w14:textId="77777777" w:rsidR="00142F55" w:rsidRPr="0018142A" w:rsidRDefault="00142F55" w:rsidP="00142F5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0A269FBE" w14:textId="77777777"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Załącznik</w:t>
            </w:r>
          </w:p>
          <w:p w14:paraId="5F23BA25" w14:textId="32295EA8"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pkt 8.5</w:t>
            </w:r>
          </w:p>
        </w:tc>
        <w:tc>
          <w:tcPr>
            <w:tcW w:w="1692" w:type="dxa"/>
            <w:tcBorders>
              <w:bottom w:val="single" w:sz="4" w:space="0" w:color="auto"/>
            </w:tcBorders>
          </w:tcPr>
          <w:p w14:paraId="78A9092F" w14:textId="356C2F7B" w:rsidR="00142F55" w:rsidRPr="005D6380" w:rsidRDefault="00142F55" w:rsidP="00142F5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44578948" w14:textId="72E6A6CF" w:rsidR="00142F55" w:rsidRPr="0018142A" w:rsidRDefault="00142F55" w:rsidP="00142F55">
            <w:pPr>
              <w:spacing w:after="108"/>
              <w:ind w:left="-5"/>
              <w:jc w:val="both"/>
              <w:rPr>
                <w:rFonts w:eastAsia="Calibri"/>
                <w:iCs/>
                <w:sz w:val="22"/>
                <w:szCs w:val="22"/>
              </w:rPr>
            </w:pPr>
            <w:r w:rsidRPr="0018142A">
              <w:rPr>
                <w:rFonts w:eastAsia="Calibri"/>
                <w:iCs/>
                <w:sz w:val="22"/>
                <w:szCs w:val="22"/>
              </w:rPr>
              <w:t>Propozycja:</w:t>
            </w:r>
          </w:p>
          <w:p w14:paraId="33B81A1B" w14:textId="023DFEC5" w:rsidR="00142F55" w:rsidRPr="0018142A" w:rsidRDefault="00105DCA" w:rsidP="00105DCA">
            <w:pPr>
              <w:spacing w:after="108"/>
              <w:ind w:left="-5"/>
              <w:jc w:val="both"/>
              <w:rPr>
                <w:sz w:val="22"/>
                <w:szCs w:val="22"/>
              </w:rPr>
            </w:pPr>
            <w:r w:rsidRPr="0018142A">
              <w:rPr>
                <w:rFonts w:eastAsia="Calibri"/>
                <w:i/>
                <w:iCs/>
                <w:sz w:val="22"/>
                <w:szCs w:val="22"/>
              </w:rPr>
              <w:t xml:space="preserve">8.5. </w:t>
            </w:r>
            <w:r w:rsidRPr="0018142A">
              <w:rPr>
                <w:rFonts w:eastAsia="Calibri"/>
                <w:b/>
                <w:bCs/>
                <w:i/>
                <w:iCs/>
                <w:sz w:val="22"/>
                <w:szCs w:val="22"/>
              </w:rPr>
              <w:t>Przekazywanie treści objętej monitorowaniem</w:t>
            </w:r>
            <w:r w:rsidRPr="0018142A">
              <w:rPr>
                <w:rFonts w:eastAsia="Calibri"/>
                <w:i/>
                <w:iCs/>
                <w:sz w:val="22"/>
                <w:szCs w:val="22"/>
              </w:rPr>
              <w:t xml:space="preserve"> </w:t>
            </w:r>
            <w:r w:rsidRPr="0018142A">
              <w:rPr>
                <w:rFonts w:eastAsia="Calibri"/>
                <w:i/>
                <w:iCs/>
                <w:strike/>
                <w:sz w:val="22"/>
                <w:szCs w:val="22"/>
              </w:rPr>
              <w:t xml:space="preserve">W przypadku </w:t>
            </w:r>
            <w:r w:rsidRPr="0018142A">
              <w:rPr>
                <w:rFonts w:eastAsia="Calibri"/>
                <w:i/>
                <w:iCs/>
                <w:sz w:val="22"/>
                <w:szCs w:val="22"/>
              </w:rPr>
              <w:t xml:space="preserve">usług transmisji pakietowej w sieci ruchomej, </w:t>
            </w:r>
            <w:r w:rsidRPr="0018142A">
              <w:rPr>
                <w:rFonts w:eastAsia="Calibri"/>
                <w:b/>
                <w:bCs/>
                <w:i/>
                <w:iCs/>
                <w:sz w:val="22"/>
                <w:szCs w:val="22"/>
              </w:rPr>
              <w:t>jest realizowane zgodnie zasadami określonymi w ETSI TS 102 232-1 [2] i ETSI TS 133 108 [10]</w:t>
            </w:r>
            <w:r w:rsidRPr="0018142A">
              <w:rPr>
                <w:rFonts w:eastAsia="Calibri"/>
                <w:i/>
                <w:iCs/>
                <w:sz w:val="22"/>
                <w:szCs w:val="22"/>
              </w:rPr>
              <w:t xml:space="preserve"> </w:t>
            </w:r>
            <w:r w:rsidRPr="0018142A">
              <w:rPr>
                <w:rFonts w:eastAsia="Calibri"/>
                <w:i/>
                <w:iCs/>
                <w:strike/>
                <w:sz w:val="22"/>
                <w:szCs w:val="22"/>
              </w:rPr>
              <w:t>do przekazywania treści komunikacji objętych monitorowaniem stosuje się protokół GLIC z zastosowaniem zasad określonych w ETSI TS 101 671 [1], będący mechanizmem przekazywania treści monitorowanej komunikacji do LEMF, dotyczącym monitorowania transmisji danych pakietowych w sieciach ruchomych (</w:t>
            </w:r>
            <w:proofErr w:type="spellStart"/>
            <w:r w:rsidRPr="0018142A">
              <w:rPr>
                <w:rFonts w:eastAsia="Calibri"/>
                <w:i/>
                <w:iCs/>
                <w:strike/>
                <w:sz w:val="22"/>
                <w:szCs w:val="22"/>
              </w:rPr>
              <w:t>GPRS</w:t>
            </w:r>
            <w:proofErr w:type="spellEnd"/>
            <w:r w:rsidRPr="0018142A">
              <w:rPr>
                <w:rFonts w:eastAsia="Calibri"/>
                <w:i/>
                <w:iCs/>
                <w:strike/>
                <w:sz w:val="22"/>
                <w:szCs w:val="22"/>
              </w:rPr>
              <w:t xml:space="preserve"> LI </w:t>
            </w:r>
            <w:proofErr w:type="spellStart"/>
            <w:r w:rsidRPr="0018142A">
              <w:rPr>
                <w:rFonts w:eastAsia="Calibri"/>
                <w:i/>
                <w:iCs/>
                <w:strike/>
                <w:sz w:val="22"/>
                <w:szCs w:val="22"/>
              </w:rPr>
              <w:t>Correlation</w:t>
            </w:r>
            <w:proofErr w:type="spellEnd"/>
            <w:r w:rsidRPr="0018142A">
              <w:rPr>
                <w:rFonts w:eastAsia="Calibri"/>
                <w:i/>
                <w:iCs/>
                <w:strike/>
                <w:sz w:val="22"/>
                <w:szCs w:val="22"/>
              </w:rPr>
              <w:t>).</w:t>
            </w:r>
            <w:r w:rsidR="004A2F4B">
              <w:rPr>
                <w:rFonts w:eastAsia="Calibri"/>
                <w:i/>
                <w:sz w:val="22"/>
                <w:szCs w:val="22"/>
              </w:rPr>
              <w:t xml:space="preserve"> </w:t>
            </w:r>
          </w:p>
          <w:p w14:paraId="38CE510E" w14:textId="77777777" w:rsidR="00142F55" w:rsidRPr="0018142A" w:rsidRDefault="00142F55" w:rsidP="00142F55">
            <w:pPr>
              <w:spacing w:before="120"/>
              <w:ind w:left="-6" w:right="5296"/>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07D257EC" w14:textId="4794B498" w:rsidR="00142F55" w:rsidRPr="0018142A" w:rsidRDefault="00142F55" w:rsidP="00142F55">
            <w:pPr>
              <w:ind w:left="-5"/>
              <w:jc w:val="both"/>
              <w:rPr>
                <w:sz w:val="22"/>
                <w:szCs w:val="22"/>
              </w:rPr>
            </w:pPr>
            <w:r w:rsidRPr="0018142A">
              <w:rPr>
                <w:sz w:val="22"/>
                <w:szCs w:val="22"/>
              </w:rPr>
              <w:lastRenderedPageBreak/>
              <w:t>Proponowana zmiana ma na celu uwzględnienie norm, w oparciu, o które zostały zaprojektowane aktualnie funkcjonujące rozwiązania będące przedmiotem umów zawartych pomiędzy podmiotami uprawnionymi a przedsiębiorcami telekomunikacyjnymi.</w:t>
            </w:r>
            <w:r w:rsidR="004A2F4B">
              <w:rPr>
                <w:sz w:val="22"/>
                <w:szCs w:val="22"/>
              </w:rPr>
              <w:t xml:space="preserve"> </w:t>
            </w:r>
          </w:p>
        </w:tc>
        <w:tc>
          <w:tcPr>
            <w:tcW w:w="3941" w:type="dxa"/>
            <w:tcBorders>
              <w:bottom w:val="single" w:sz="4" w:space="0" w:color="auto"/>
            </w:tcBorders>
          </w:tcPr>
          <w:p w14:paraId="18EE7CD7" w14:textId="77777777" w:rsidR="00436C68" w:rsidRPr="0018142A" w:rsidRDefault="00436C68" w:rsidP="0018142A">
            <w:pPr>
              <w:pStyle w:val="Bezodstpw"/>
              <w:jc w:val="both"/>
              <w:rPr>
                <w:rFonts w:ascii="Times New Roman" w:hAnsi="Times New Roman" w:cs="Times New Roman"/>
                <w:b/>
                <w:bCs/>
              </w:rPr>
            </w:pPr>
            <w:r w:rsidRPr="0018142A">
              <w:rPr>
                <w:rFonts w:ascii="Times New Roman" w:hAnsi="Times New Roman" w:cs="Times New Roman"/>
                <w:b/>
                <w:bCs/>
              </w:rPr>
              <w:lastRenderedPageBreak/>
              <w:t>Uwaga nieuwzględniona</w:t>
            </w:r>
          </w:p>
          <w:p w14:paraId="2B83B85A" w14:textId="72821DAF" w:rsidR="00142F55" w:rsidRPr="0018142A" w:rsidRDefault="00436C68" w:rsidP="0018142A">
            <w:pPr>
              <w:pStyle w:val="Bezodstpw"/>
              <w:jc w:val="both"/>
              <w:rPr>
                <w:rFonts w:ascii="Times New Roman" w:hAnsi="Times New Roman" w:cs="Times New Roman"/>
              </w:rPr>
            </w:pPr>
            <w:r w:rsidRPr="0018142A">
              <w:rPr>
                <w:rFonts w:ascii="Times New Roman" w:hAnsi="Times New Roman" w:cs="Times New Roman"/>
              </w:rPr>
              <w:t>Zmodyfikowano treść pkt 8 zgodnie z</w:t>
            </w:r>
            <w:r w:rsidR="00125604">
              <w:rPr>
                <w:rFonts w:ascii="Times New Roman" w:hAnsi="Times New Roman" w:cs="Times New Roman"/>
              </w:rPr>
              <w:t> </w:t>
            </w:r>
            <w:r w:rsidRPr="0018142A">
              <w:rPr>
                <w:rFonts w:ascii="Times New Roman" w:hAnsi="Times New Roman" w:cs="Times New Roman"/>
              </w:rPr>
              <w:t>propozycją uprawnionych podmiotów.</w:t>
            </w:r>
            <w:r w:rsidR="00E87F06">
              <w:rPr>
                <w:rFonts w:ascii="Times New Roman" w:hAnsi="Times New Roman" w:cs="Times New Roman"/>
              </w:rPr>
              <w:t xml:space="preserve"> Modyfikacja treści pkt 8 został</w:t>
            </w:r>
            <w:r w:rsidR="00A8505A">
              <w:rPr>
                <w:rFonts w:ascii="Times New Roman" w:hAnsi="Times New Roman" w:cs="Times New Roman"/>
              </w:rPr>
              <w:t>a</w:t>
            </w:r>
            <w:r w:rsidR="00E87F06">
              <w:rPr>
                <w:rFonts w:ascii="Times New Roman" w:hAnsi="Times New Roman" w:cs="Times New Roman"/>
              </w:rPr>
              <w:t xml:space="preserve"> uzgodniona w trakcie warsztatów z</w:t>
            </w:r>
            <w:r w:rsidR="00125604">
              <w:rPr>
                <w:rFonts w:ascii="Times New Roman" w:hAnsi="Times New Roman" w:cs="Times New Roman"/>
              </w:rPr>
              <w:t> </w:t>
            </w:r>
            <w:r w:rsidR="00E87F06">
              <w:rPr>
                <w:rFonts w:ascii="Times New Roman" w:hAnsi="Times New Roman" w:cs="Times New Roman"/>
              </w:rPr>
              <w:t>udziałem przedstawicieli uprawnionych podmiotów oraz przedsiębiorców telekomunikacyjnych, w</w:t>
            </w:r>
            <w:r w:rsidR="004A2F4B">
              <w:rPr>
                <w:rFonts w:ascii="Times New Roman" w:hAnsi="Times New Roman" w:cs="Times New Roman"/>
              </w:rPr>
              <w:t xml:space="preserve"> </w:t>
            </w:r>
            <w:r w:rsidR="00E87F06">
              <w:rPr>
                <w:rFonts w:ascii="Times New Roman" w:hAnsi="Times New Roman" w:cs="Times New Roman"/>
              </w:rPr>
              <w:t xml:space="preserve">tym </w:t>
            </w:r>
            <w:r w:rsidR="002D7742">
              <w:rPr>
                <w:rFonts w:ascii="Times New Roman" w:hAnsi="Times New Roman" w:cs="Times New Roman"/>
              </w:rPr>
              <w:t>Polskiej Izby Informatyki i</w:t>
            </w:r>
            <w:r w:rsidR="004A2F4B">
              <w:rPr>
                <w:rFonts w:ascii="Times New Roman" w:hAnsi="Times New Roman" w:cs="Times New Roman"/>
              </w:rPr>
              <w:t xml:space="preserve"> </w:t>
            </w:r>
            <w:r w:rsidR="002D7742">
              <w:rPr>
                <w:rFonts w:ascii="Times New Roman" w:hAnsi="Times New Roman" w:cs="Times New Roman"/>
              </w:rPr>
              <w:t>Telekomunikacji</w:t>
            </w:r>
            <w:r w:rsidR="00E87F06">
              <w:rPr>
                <w:rFonts w:ascii="Times New Roman" w:hAnsi="Times New Roman" w:cs="Times New Roman"/>
              </w:rPr>
              <w:t>.</w:t>
            </w:r>
          </w:p>
        </w:tc>
      </w:tr>
      <w:tr w:rsidR="00142F55" w:rsidRPr="00893C20" w14:paraId="6EEAFDFA" w14:textId="77777777" w:rsidTr="0018142A">
        <w:tc>
          <w:tcPr>
            <w:tcW w:w="596" w:type="dxa"/>
            <w:tcBorders>
              <w:bottom w:val="single" w:sz="4" w:space="0" w:color="auto"/>
            </w:tcBorders>
            <w:vAlign w:val="center"/>
          </w:tcPr>
          <w:p w14:paraId="556E3CBF" w14:textId="77777777" w:rsidR="00142F55" w:rsidRPr="0018142A" w:rsidRDefault="00142F55" w:rsidP="00142F5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2EBB3B0D" w14:textId="77777777"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Załącznik</w:t>
            </w:r>
          </w:p>
          <w:p w14:paraId="011D508B" w14:textId="0AD2AB7B"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pkt 9</w:t>
            </w:r>
          </w:p>
        </w:tc>
        <w:tc>
          <w:tcPr>
            <w:tcW w:w="1692" w:type="dxa"/>
            <w:tcBorders>
              <w:bottom w:val="single" w:sz="4" w:space="0" w:color="auto"/>
            </w:tcBorders>
          </w:tcPr>
          <w:p w14:paraId="5CA7A036" w14:textId="126C1436" w:rsidR="00142F55" w:rsidRPr="005D6380" w:rsidRDefault="00142F55" w:rsidP="00142F5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B5BEE67" w14:textId="77F7ABBA" w:rsidR="00142F55" w:rsidRPr="0018142A" w:rsidRDefault="00142F55" w:rsidP="00142F55">
            <w:pPr>
              <w:ind w:right="312"/>
              <w:jc w:val="both"/>
              <w:rPr>
                <w:sz w:val="22"/>
                <w:szCs w:val="22"/>
              </w:rPr>
            </w:pPr>
            <w:r w:rsidRPr="0018142A">
              <w:rPr>
                <w:sz w:val="22"/>
                <w:szCs w:val="22"/>
              </w:rPr>
              <w:t xml:space="preserve">Propozycja usunięcia pkt 9 </w:t>
            </w:r>
          </w:p>
          <w:p w14:paraId="53D1D8BB" w14:textId="75424B9E" w:rsidR="00142F55" w:rsidRPr="0018142A" w:rsidRDefault="00142F55" w:rsidP="00142F55">
            <w:pPr>
              <w:spacing w:before="120"/>
              <w:ind w:right="312"/>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25BA2EE8" w14:textId="784334CD" w:rsidR="00142F55" w:rsidRPr="0018142A" w:rsidRDefault="00142F55"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789CFC54" w14:textId="77777777" w:rsidR="00436C68" w:rsidRPr="0018142A" w:rsidRDefault="00436C68"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3989226B" w14:textId="77777777" w:rsidR="00436C68" w:rsidRPr="0018142A" w:rsidRDefault="00436C68"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72A63FD0" w14:textId="64DCA4C3" w:rsidR="00142F55" w:rsidRPr="0018142A" w:rsidRDefault="00436C68" w:rsidP="0018142A">
            <w:pPr>
              <w:pStyle w:val="Bezodstpw"/>
              <w:jc w:val="both"/>
              <w:rPr>
                <w:rFonts w:ascii="Times New Roman" w:hAnsi="Times New Roman" w:cs="Times New Roman"/>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r w:rsidR="00142F55" w:rsidRPr="00893C20" w14:paraId="6A834CFB" w14:textId="77777777" w:rsidTr="0018142A">
        <w:tc>
          <w:tcPr>
            <w:tcW w:w="596" w:type="dxa"/>
            <w:tcBorders>
              <w:bottom w:val="single" w:sz="4" w:space="0" w:color="auto"/>
            </w:tcBorders>
            <w:vAlign w:val="center"/>
          </w:tcPr>
          <w:p w14:paraId="178290C3" w14:textId="77777777" w:rsidR="00142F55" w:rsidRPr="0018142A" w:rsidRDefault="00142F55" w:rsidP="00142F55">
            <w:pPr>
              <w:pStyle w:val="Bezodstpw"/>
              <w:numPr>
                <w:ilvl w:val="0"/>
                <w:numId w:val="2"/>
              </w:numPr>
              <w:ind w:left="171" w:hanging="171"/>
              <w:jc w:val="center"/>
              <w:rPr>
                <w:rFonts w:ascii="Times New Roman" w:hAnsi="Times New Roman" w:cs="Times New Roman"/>
              </w:rPr>
            </w:pPr>
          </w:p>
        </w:tc>
        <w:tc>
          <w:tcPr>
            <w:tcW w:w="1399" w:type="dxa"/>
            <w:tcBorders>
              <w:bottom w:val="single" w:sz="4" w:space="0" w:color="auto"/>
            </w:tcBorders>
          </w:tcPr>
          <w:p w14:paraId="4EA2CF23" w14:textId="77777777"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Załącznik</w:t>
            </w:r>
          </w:p>
          <w:p w14:paraId="06F83F04" w14:textId="220AA1A5" w:rsidR="00142F55" w:rsidRPr="0018142A" w:rsidRDefault="00142F55" w:rsidP="00142F55">
            <w:pPr>
              <w:pStyle w:val="Bezodstpw"/>
              <w:jc w:val="center"/>
              <w:rPr>
                <w:rFonts w:ascii="Times New Roman" w:hAnsi="Times New Roman" w:cs="Times New Roman"/>
              </w:rPr>
            </w:pPr>
            <w:r w:rsidRPr="0018142A">
              <w:rPr>
                <w:rFonts w:ascii="Times New Roman" w:hAnsi="Times New Roman" w:cs="Times New Roman"/>
              </w:rPr>
              <w:t xml:space="preserve">pkt </w:t>
            </w:r>
            <w:r w:rsidR="00436C68" w:rsidRPr="0018142A">
              <w:rPr>
                <w:rFonts w:ascii="Times New Roman" w:hAnsi="Times New Roman" w:cs="Times New Roman"/>
              </w:rPr>
              <w:t>11</w:t>
            </w:r>
          </w:p>
        </w:tc>
        <w:tc>
          <w:tcPr>
            <w:tcW w:w="1692" w:type="dxa"/>
            <w:tcBorders>
              <w:bottom w:val="single" w:sz="4" w:space="0" w:color="auto"/>
            </w:tcBorders>
          </w:tcPr>
          <w:p w14:paraId="7C963C70" w14:textId="04C0B7AC" w:rsidR="00142F55" w:rsidRPr="005D6380" w:rsidRDefault="00142F55" w:rsidP="00142F55">
            <w:pPr>
              <w:pStyle w:val="Bezodstpw"/>
              <w:jc w:val="center"/>
              <w:rPr>
                <w:rFonts w:ascii="Times New Roman" w:hAnsi="Times New Roman" w:cs="Times New Roman"/>
                <w:b/>
                <w:bCs/>
              </w:rPr>
            </w:pPr>
            <w:r w:rsidRPr="005D6380">
              <w:rPr>
                <w:rFonts w:ascii="Times New Roman" w:hAnsi="Times New Roman" w:cs="Times New Roman"/>
                <w:b/>
                <w:bCs/>
              </w:rPr>
              <w:t>Polska Izba Informatyki i Telekomunikacji</w:t>
            </w:r>
          </w:p>
        </w:tc>
        <w:tc>
          <w:tcPr>
            <w:tcW w:w="7535" w:type="dxa"/>
            <w:tcBorders>
              <w:bottom w:val="single" w:sz="4" w:space="0" w:color="auto"/>
            </w:tcBorders>
          </w:tcPr>
          <w:p w14:paraId="07191E39" w14:textId="281437A6" w:rsidR="00142F55" w:rsidRPr="0018142A" w:rsidRDefault="00142F55" w:rsidP="00142F55">
            <w:pPr>
              <w:jc w:val="both"/>
              <w:rPr>
                <w:sz w:val="22"/>
                <w:szCs w:val="22"/>
              </w:rPr>
            </w:pPr>
            <w:r w:rsidRPr="0018142A">
              <w:rPr>
                <w:sz w:val="22"/>
                <w:szCs w:val="22"/>
              </w:rPr>
              <w:t>Propozycja usunięcia pkt 11</w:t>
            </w:r>
          </w:p>
          <w:p w14:paraId="6388D795" w14:textId="45C73A6C" w:rsidR="00142F55" w:rsidRPr="0018142A" w:rsidRDefault="00142F55" w:rsidP="00142F55">
            <w:pPr>
              <w:spacing w:before="120"/>
              <w:jc w:val="both"/>
              <w:rPr>
                <w:sz w:val="22"/>
                <w:szCs w:val="22"/>
              </w:rPr>
            </w:pPr>
            <w:r w:rsidRPr="0018142A">
              <w:rPr>
                <w:rFonts w:eastAsia="Calibri"/>
                <w:sz w:val="22"/>
                <w:szCs w:val="22"/>
                <w:u w:val="single" w:color="000000"/>
              </w:rPr>
              <w:t>Uzasadnienie:</w:t>
            </w:r>
            <w:r w:rsidRPr="0018142A">
              <w:rPr>
                <w:rFonts w:eastAsia="Calibri"/>
                <w:sz w:val="22"/>
                <w:szCs w:val="22"/>
              </w:rPr>
              <w:t xml:space="preserve"> </w:t>
            </w:r>
          </w:p>
          <w:p w14:paraId="2A999989" w14:textId="65BE93E9" w:rsidR="00142F55" w:rsidRPr="0018142A" w:rsidRDefault="00142F55" w:rsidP="00142F55">
            <w:pPr>
              <w:ind w:left="-5"/>
              <w:jc w:val="both"/>
              <w:rPr>
                <w:sz w:val="22"/>
                <w:szCs w:val="22"/>
              </w:rPr>
            </w:pPr>
            <w:r w:rsidRPr="0018142A">
              <w:rPr>
                <w:sz w:val="22"/>
                <w:szCs w:val="22"/>
              </w:rPr>
              <w:t>Zgodnie z wcześniejszą ogólną uwagą dot. interfejsu HI A</w:t>
            </w:r>
            <w:r w:rsidRPr="0018142A">
              <w:rPr>
                <w:rFonts w:eastAsia="Calibri"/>
                <w:sz w:val="22"/>
                <w:szCs w:val="22"/>
              </w:rPr>
              <w:t>-</w:t>
            </w:r>
            <w:r w:rsidRPr="0018142A">
              <w:rPr>
                <w:sz w:val="22"/>
                <w:szCs w:val="22"/>
              </w:rPr>
              <w:t>B Izba postuluje usunięcie z treści rozporządzeń przepisów referujących do tego interfejsu.</w:t>
            </w:r>
            <w:r w:rsidR="004A2F4B">
              <w:rPr>
                <w:sz w:val="22"/>
                <w:szCs w:val="22"/>
              </w:rPr>
              <w:t xml:space="preserve"> </w:t>
            </w:r>
          </w:p>
        </w:tc>
        <w:tc>
          <w:tcPr>
            <w:tcW w:w="3941" w:type="dxa"/>
            <w:tcBorders>
              <w:bottom w:val="single" w:sz="4" w:space="0" w:color="auto"/>
            </w:tcBorders>
          </w:tcPr>
          <w:p w14:paraId="5A1AA88D" w14:textId="77777777" w:rsidR="00436C68" w:rsidRPr="0018142A" w:rsidRDefault="00436C68" w:rsidP="0018142A">
            <w:pPr>
              <w:pStyle w:val="Bezodstpw"/>
              <w:jc w:val="both"/>
              <w:rPr>
                <w:rFonts w:ascii="Times New Roman" w:eastAsia="Times New Roman" w:hAnsi="Times New Roman" w:cs="Times New Roman"/>
                <w:b/>
                <w:bCs/>
                <w:lang w:eastAsia="pl-PL"/>
              </w:rPr>
            </w:pPr>
            <w:r w:rsidRPr="0018142A">
              <w:rPr>
                <w:rFonts w:ascii="Times New Roman" w:eastAsia="Times New Roman" w:hAnsi="Times New Roman" w:cs="Times New Roman"/>
                <w:b/>
                <w:bCs/>
                <w:lang w:eastAsia="pl-PL"/>
              </w:rPr>
              <w:t>Uwaga nieuwzględniona</w:t>
            </w:r>
          </w:p>
          <w:p w14:paraId="4BC10396" w14:textId="77777777" w:rsidR="00436C68" w:rsidRPr="0018142A" w:rsidRDefault="00436C68" w:rsidP="0018142A">
            <w:pPr>
              <w:pStyle w:val="Bezodstpw"/>
              <w:spacing w:after="120"/>
              <w:jc w:val="both"/>
              <w:rPr>
                <w:rFonts w:ascii="Times New Roman" w:eastAsia="Times New Roman" w:hAnsi="Times New Roman" w:cs="Times New Roman"/>
                <w:lang w:eastAsia="pl-PL"/>
              </w:rPr>
            </w:pPr>
            <w:r w:rsidRPr="0018142A">
              <w:rPr>
                <w:rFonts w:ascii="Times New Roman" w:eastAsia="Times New Roman" w:hAnsi="Times New Roman" w:cs="Times New Roman"/>
                <w:lang w:eastAsia="pl-PL"/>
              </w:rPr>
              <w:t>Zastosowanie interfejsów nie jest obligatoryjne, więc pozostawienie interfejsu HI A-B jako jednego ze sposobów udostępniania danych jest uzasadnione.</w:t>
            </w:r>
          </w:p>
          <w:p w14:paraId="61A3F88E" w14:textId="2EC4A0D6" w:rsidR="00142F55" w:rsidRPr="0018142A" w:rsidRDefault="00436C68" w:rsidP="0018142A">
            <w:pPr>
              <w:pStyle w:val="Bezodstpw"/>
              <w:jc w:val="both"/>
              <w:rPr>
                <w:rFonts w:ascii="Times New Roman" w:hAnsi="Times New Roman" w:cs="Times New Roman"/>
              </w:rPr>
            </w:pPr>
            <w:r w:rsidRPr="0018142A">
              <w:rPr>
                <w:rFonts w:ascii="Times New Roman" w:eastAsia="Times New Roman" w:hAnsi="Times New Roman" w:cs="Times New Roman"/>
                <w:lang w:eastAsia="pl-PL"/>
              </w:rPr>
              <w:t xml:space="preserve">W trakcie warsztatów </w:t>
            </w:r>
            <w:r w:rsidR="004B12F0" w:rsidRPr="0018142A">
              <w:rPr>
                <w:rFonts w:ascii="Times New Roman" w:eastAsia="Times New Roman" w:hAnsi="Times New Roman" w:cs="Times New Roman"/>
                <w:lang w:eastAsia="pl-PL"/>
              </w:rPr>
              <w:t xml:space="preserve">z udziałem przedstawicieli uprawnionych podmiotów i przedsiębiorców telekomunikacyjnych, </w:t>
            </w:r>
            <w:r w:rsidRPr="0018142A">
              <w:rPr>
                <w:rFonts w:ascii="Times New Roman" w:eastAsia="Times New Roman" w:hAnsi="Times New Roman" w:cs="Times New Roman"/>
                <w:lang w:eastAsia="pl-PL"/>
              </w:rPr>
              <w:t>uprawnione podmioty wyraziły negatywną opinię w</w:t>
            </w:r>
            <w:r w:rsidR="00125604">
              <w:rPr>
                <w:rFonts w:ascii="Times New Roman" w:eastAsia="Times New Roman" w:hAnsi="Times New Roman" w:cs="Times New Roman"/>
                <w:lang w:eastAsia="pl-PL"/>
              </w:rPr>
              <w:t> </w:t>
            </w:r>
            <w:r w:rsidRPr="0018142A">
              <w:rPr>
                <w:rFonts w:ascii="Times New Roman" w:eastAsia="Times New Roman" w:hAnsi="Times New Roman" w:cs="Times New Roman"/>
                <w:lang w:eastAsia="pl-PL"/>
              </w:rPr>
              <w:t>kwestii usunięcia przepisów dotyczących interfejsu HI A-B.</w:t>
            </w:r>
          </w:p>
        </w:tc>
      </w:tr>
    </w:tbl>
    <w:p w14:paraId="3E628F99" w14:textId="35F18D46" w:rsidR="000B14AB" w:rsidRPr="0018142A" w:rsidRDefault="000B14AB" w:rsidP="003318A6">
      <w:pPr>
        <w:pStyle w:val="Bezodstpw"/>
        <w:spacing w:line="276" w:lineRule="auto"/>
        <w:rPr>
          <w:rFonts w:ascii="Times New Roman" w:hAnsi="Times New Roman" w:cs="Times New Roman"/>
        </w:rPr>
      </w:pPr>
    </w:p>
    <w:sectPr w:rsidR="000B14AB" w:rsidRPr="0018142A" w:rsidSect="00D841A6">
      <w:pgSz w:w="16838" w:h="11906" w:orient="landscape"/>
      <w:pgMar w:top="537"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09D5" w14:textId="77777777" w:rsidR="005601FE" w:rsidRDefault="005601FE" w:rsidP="00D841A6">
      <w:r>
        <w:separator/>
      </w:r>
    </w:p>
  </w:endnote>
  <w:endnote w:type="continuationSeparator" w:id="0">
    <w:p w14:paraId="6FBB02C9" w14:textId="77777777" w:rsidR="005601FE" w:rsidRDefault="005601FE" w:rsidP="00D8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28EFE" w14:textId="77777777" w:rsidR="005601FE" w:rsidRDefault="005601FE" w:rsidP="00D841A6">
      <w:r>
        <w:separator/>
      </w:r>
    </w:p>
  </w:footnote>
  <w:footnote w:type="continuationSeparator" w:id="0">
    <w:p w14:paraId="40B88E58" w14:textId="77777777" w:rsidR="005601FE" w:rsidRDefault="005601FE" w:rsidP="00D8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84"/>
    <w:multiLevelType w:val="hybridMultilevel"/>
    <w:tmpl w:val="70584F10"/>
    <w:lvl w:ilvl="0" w:tplc="8E26C53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4CFAE4">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7ED78A">
      <w:start w:val="15"/>
      <w:numFmt w:val="decimal"/>
      <w:lvlRestart w:val="0"/>
      <w:lvlText w:val="%3."/>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46CA72">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DEABD0">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3EE79E">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00C63E">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8EA79C">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584EB6">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F67F91"/>
    <w:multiLevelType w:val="hybridMultilevel"/>
    <w:tmpl w:val="46BAE420"/>
    <w:lvl w:ilvl="0" w:tplc="7DD4A444">
      <w:start w:val="1"/>
      <w:numFmt w:val="decimal"/>
      <w:lvlText w:val="%1)"/>
      <w:lvlJc w:val="left"/>
      <w:pPr>
        <w:ind w:left="720" w:hanging="360"/>
      </w:pPr>
      <w:rPr>
        <w:rFonts w:asciiTheme="minorHAnsi" w:hAnsiTheme="minorHAnsi" w:cstheme="minorBid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D3939"/>
    <w:multiLevelType w:val="hybridMultilevel"/>
    <w:tmpl w:val="212E38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BC41F8"/>
    <w:multiLevelType w:val="hybridMultilevel"/>
    <w:tmpl w:val="F6D885BE"/>
    <w:lvl w:ilvl="0" w:tplc="4420FB72">
      <w:start w:val="2"/>
      <w:numFmt w:val="decimal"/>
      <w:lvlText w:val="[%1]"/>
      <w:lvlJc w:val="left"/>
      <w:pPr>
        <w:ind w:left="3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12803E20">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924C67C">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1F6B5E2">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702CFDA">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7A1AAE9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396E8104">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19ECDA66">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0A7CB15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A63FD5"/>
    <w:multiLevelType w:val="hybridMultilevel"/>
    <w:tmpl w:val="07DA8F84"/>
    <w:lvl w:ilvl="0" w:tplc="227C5254">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F484240E">
      <w:start w:val="1"/>
      <w:numFmt w:val="lowerLetter"/>
      <w:lvlText w:val="%2"/>
      <w:lvlJc w:val="left"/>
      <w:pPr>
        <w:ind w:left="5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8F0C29E">
      <w:start w:val="1"/>
      <w:numFmt w:val="lowerLetter"/>
      <w:lvlRestart w:val="0"/>
      <w:lvlText w:val="%3)"/>
      <w:lvlJc w:val="left"/>
      <w:pPr>
        <w:ind w:left="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B6EAB0C6">
      <w:start w:val="1"/>
      <w:numFmt w:val="decimal"/>
      <w:lvlText w:val="%4"/>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29D2A670">
      <w:start w:val="1"/>
      <w:numFmt w:val="lowerLetter"/>
      <w:lvlText w:val="%5"/>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A6EC407A">
      <w:start w:val="1"/>
      <w:numFmt w:val="lowerRoman"/>
      <w:lvlText w:val="%6"/>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F16FBAC">
      <w:start w:val="1"/>
      <w:numFmt w:val="decimal"/>
      <w:lvlText w:val="%7"/>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7CD2F43C">
      <w:start w:val="1"/>
      <w:numFmt w:val="lowerLetter"/>
      <w:lvlText w:val="%8"/>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44439EE">
      <w:start w:val="1"/>
      <w:numFmt w:val="lowerRoman"/>
      <w:lvlText w:val="%9"/>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AA554B"/>
    <w:multiLevelType w:val="hybridMultilevel"/>
    <w:tmpl w:val="B78AA788"/>
    <w:lvl w:ilvl="0" w:tplc="786C39E4">
      <w:start w:val="1"/>
      <w:numFmt w:val="decimal"/>
      <w:lvlText w:val="%1)"/>
      <w:lvlJc w:val="left"/>
      <w:pPr>
        <w:ind w:left="641"/>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EBC3582">
      <w:start w:val="1"/>
      <w:numFmt w:val="lowerLetter"/>
      <w:lvlText w:val="%2"/>
      <w:lvlJc w:val="left"/>
      <w:pPr>
        <w:ind w:left="13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48FE886A">
      <w:start w:val="1"/>
      <w:numFmt w:val="lowerRoman"/>
      <w:lvlText w:val="%3"/>
      <w:lvlJc w:val="left"/>
      <w:pPr>
        <w:ind w:left="20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EC4761E">
      <w:start w:val="1"/>
      <w:numFmt w:val="decimal"/>
      <w:lvlText w:val="%4"/>
      <w:lvlJc w:val="left"/>
      <w:pPr>
        <w:ind w:left="28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F6CED76E">
      <w:start w:val="1"/>
      <w:numFmt w:val="lowerLetter"/>
      <w:lvlText w:val="%5"/>
      <w:lvlJc w:val="left"/>
      <w:pPr>
        <w:ind w:left="35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1AB4B5B4">
      <w:start w:val="1"/>
      <w:numFmt w:val="lowerRoman"/>
      <w:lvlText w:val="%6"/>
      <w:lvlJc w:val="left"/>
      <w:pPr>
        <w:ind w:left="42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4DDA1C7C">
      <w:start w:val="1"/>
      <w:numFmt w:val="decimal"/>
      <w:lvlText w:val="%7"/>
      <w:lvlJc w:val="left"/>
      <w:pPr>
        <w:ind w:left="49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58EFCFE">
      <w:start w:val="1"/>
      <w:numFmt w:val="lowerLetter"/>
      <w:lvlText w:val="%8"/>
      <w:lvlJc w:val="left"/>
      <w:pPr>
        <w:ind w:left="56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8EAA1FC">
      <w:start w:val="1"/>
      <w:numFmt w:val="lowerRoman"/>
      <w:lvlText w:val="%9"/>
      <w:lvlJc w:val="left"/>
      <w:pPr>
        <w:ind w:left="64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9E7D54"/>
    <w:multiLevelType w:val="hybridMultilevel"/>
    <w:tmpl w:val="A7AE6D34"/>
    <w:lvl w:ilvl="0" w:tplc="BE78BD3A">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07FCCDF4">
      <w:start w:val="1"/>
      <w:numFmt w:val="lowerLetter"/>
      <w:lvlText w:val="%2"/>
      <w:lvlJc w:val="left"/>
      <w:pPr>
        <w:ind w:left="644"/>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B0DC953E">
      <w:start w:val="1"/>
      <w:numFmt w:val="lowerRoman"/>
      <w:lvlText w:val="%3"/>
      <w:lvlJc w:val="left"/>
      <w:pPr>
        <w:ind w:left="9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0AB40FAC">
      <w:start w:val="1"/>
      <w:numFmt w:val="lowerLetter"/>
      <w:lvlRestart w:val="0"/>
      <w:lvlText w:val="%4)"/>
      <w:lvlJc w:val="left"/>
      <w:pPr>
        <w:ind w:left="12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244A196">
      <w:start w:val="1"/>
      <w:numFmt w:val="lowerLetter"/>
      <w:lvlText w:val="%5"/>
      <w:lvlJc w:val="left"/>
      <w:pPr>
        <w:ind w:left="193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9C9EC912">
      <w:start w:val="1"/>
      <w:numFmt w:val="lowerRoman"/>
      <w:lvlText w:val="%6"/>
      <w:lvlJc w:val="left"/>
      <w:pPr>
        <w:ind w:left="265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65650A2">
      <w:start w:val="1"/>
      <w:numFmt w:val="decimal"/>
      <w:lvlText w:val="%7"/>
      <w:lvlJc w:val="left"/>
      <w:pPr>
        <w:ind w:left="337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D28E33FE">
      <w:start w:val="1"/>
      <w:numFmt w:val="lowerLetter"/>
      <w:lvlText w:val="%8"/>
      <w:lvlJc w:val="left"/>
      <w:pPr>
        <w:ind w:left="409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64CBF1E">
      <w:start w:val="1"/>
      <w:numFmt w:val="lowerRoman"/>
      <w:lvlText w:val="%9"/>
      <w:lvlJc w:val="left"/>
      <w:pPr>
        <w:ind w:left="48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ED37AA"/>
    <w:multiLevelType w:val="hybridMultilevel"/>
    <w:tmpl w:val="7700B642"/>
    <w:lvl w:ilvl="0" w:tplc="7568B4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86FBF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787F4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78AF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6AB74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C30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DCA7B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7A31A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98CCC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9766BF"/>
    <w:multiLevelType w:val="hybridMultilevel"/>
    <w:tmpl w:val="E98AE662"/>
    <w:lvl w:ilvl="0" w:tplc="AB5A3BC6">
      <w:start w:val="1"/>
      <w:numFmt w:val="decimal"/>
      <w:lvlText w:val="%1)"/>
      <w:lvlJc w:val="left"/>
      <w:pPr>
        <w:ind w:left="720" w:hanging="360"/>
      </w:pPr>
      <w:rPr>
        <w:rFonts w:ascii="Lato" w:hAnsi="Lato" w:cs="Times New Roman" w:hint="default"/>
        <w:b w:val="0"/>
        <w:i w:val="0"/>
        <w:caps w:val="0"/>
        <w:strike w:val="0"/>
        <w:dstrike w:val="0"/>
        <w:vanish w:val="0"/>
        <w:color w:val="auto"/>
        <w:sz w:val="20"/>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2341D8E"/>
    <w:multiLevelType w:val="hybridMultilevel"/>
    <w:tmpl w:val="257EDBEE"/>
    <w:lvl w:ilvl="0" w:tplc="F24E3930">
      <w:start w:val="1"/>
      <w:numFmt w:val="decimal"/>
      <w:lvlText w:val="%1"/>
      <w:lvlJc w:val="left"/>
      <w:pPr>
        <w:ind w:left="3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70E8FC76">
      <w:start w:val="1"/>
      <w:numFmt w:val="decimal"/>
      <w:lvlRestart w:val="0"/>
      <w:lvlText w:val="%2)"/>
      <w:lvlJc w:val="left"/>
      <w:pPr>
        <w:ind w:left="6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F6ACEE20">
      <w:start w:val="1"/>
      <w:numFmt w:val="lowerRoman"/>
      <w:lvlText w:val="%3"/>
      <w:lvlJc w:val="left"/>
      <w:pPr>
        <w:ind w:left="13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E014E94C">
      <w:start w:val="1"/>
      <w:numFmt w:val="decimal"/>
      <w:lvlText w:val="%4"/>
      <w:lvlJc w:val="left"/>
      <w:pPr>
        <w:ind w:left="20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A6B4D62C">
      <w:start w:val="1"/>
      <w:numFmt w:val="lowerLetter"/>
      <w:lvlText w:val="%5"/>
      <w:lvlJc w:val="left"/>
      <w:pPr>
        <w:ind w:left="280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0A4082AC">
      <w:start w:val="1"/>
      <w:numFmt w:val="lowerRoman"/>
      <w:lvlText w:val="%6"/>
      <w:lvlJc w:val="left"/>
      <w:pPr>
        <w:ind w:left="352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FD6973A">
      <w:start w:val="1"/>
      <w:numFmt w:val="decimal"/>
      <w:lvlText w:val="%7"/>
      <w:lvlJc w:val="left"/>
      <w:pPr>
        <w:ind w:left="424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2676EAC4">
      <w:start w:val="1"/>
      <w:numFmt w:val="lowerLetter"/>
      <w:lvlText w:val="%8"/>
      <w:lvlJc w:val="left"/>
      <w:pPr>
        <w:ind w:left="496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EE0CCD12">
      <w:start w:val="1"/>
      <w:numFmt w:val="lowerRoman"/>
      <w:lvlText w:val="%9"/>
      <w:lvlJc w:val="left"/>
      <w:pPr>
        <w:ind w:left="568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9AB5A53"/>
    <w:multiLevelType w:val="hybridMultilevel"/>
    <w:tmpl w:val="15E434A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86359420">
    <w:abstractNumId w:val="1"/>
  </w:num>
  <w:num w:numId="2" w16cid:durableId="408967821">
    <w:abstractNumId w:val="2"/>
  </w:num>
  <w:num w:numId="3" w16cid:durableId="790176074">
    <w:abstractNumId w:val="8"/>
  </w:num>
  <w:num w:numId="4" w16cid:durableId="965231575">
    <w:abstractNumId w:val="3"/>
  </w:num>
  <w:num w:numId="5" w16cid:durableId="1924298111">
    <w:abstractNumId w:val="5"/>
  </w:num>
  <w:num w:numId="6" w16cid:durableId="1987663653">
    <w:abstractNumId w:val="9"/>
  </w:num>
  <w:num w:numId="7" w16cid:durableId="1562210926">
    <w:abstractNumId w:val="7"/>
  </w:num>
  <w:num w:numId="8" w16cid:durableId="1491094068">
    <w:abstractNumId w:val="4"/>
  </w:num>
  <w:num w:numId="9" w16cid:durableId="1532722385">
    <w:abstractNumId w:val="6"/>
  </w:num>
  <w:num w:numId="10" w16cid:durableId="708533616">
    <w:abstractNumId w:val="0"/>
  </w:num>
  <w:num w:numId="11" w16cid:durableId="8294402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75"/>
    <w:rsid w:val="00021A18"/>
    <w:rsid w:val="0003508E"/>
    <w:rsid w:val="000351D4"/>
    <w:rsid w:val="00050B75"/>
    <w:rsid w:val="00062B92"/>
    <w:rsid w:val="00087092"/>
    <w:rsid w:val="000B14AB"/>
    <w:rsid w:val="000B394D"/>
    <w:rsid w:val="000D2A2C"/>
    <w:rsid w:val="000F7612"/>
    <w:rsid w:val="001018E3"/>
    <w:rsid w:val="00105DCA"/>
    <w:rsid w:val="00105E79"/>
    <w:rsid w:val="00110686"/>
    <w:rsid w:val="00111205"/>
    <w:rsid w:val="0012268F"/>
    <w:rsid w:val="00125604"/>
    <w:rsid w:val="00142F55"/>
    <w:rsid w:val="0014373E"/>
    <w:rsid w:val="00180AB7"/>
    <w:rsid w:val="0018142A"/>
    <w:rsid w:val="001B4560"/>
    <w:rsid w:val="001D14B4"/>
    <w:rsid w:val="00214AF9"/>
    <w:rsid w:val="0021638B"/>
    <w:rsid w:val="002323DB"/>
    <w:rsid w:val="0026503B"/>
    <w:rsid w:val="00270FF9"/>
    <w:rsid w:val="002730BB"/>
    <w:rsid w:val="002B7F97"/>
    <w:rsid w:val="002C6980"/>
    <w:rsid w:val="002D523F"/>
    <w:rsid w:val="002D7742"/>
    <w:rsid w:val="002E67DA"/>
    <w:rsid w:val="003253AD"/>
    <w:rsid w:val="003318A6"/>
    <w:rsid w:val="003559AF"/>
    <w:rsid w:val="00357A9A"/>
    <w:rsid w:val="003747E8"/>
    <w:rsid w:val="003806A5"/>
    <w:rsid w:val="00396DAE"/>
    <w:rsid w:val="00397CC1"/>
    <w:rsid w:val="003B1623"/>
    <w:rsid w:val="003E0F79"/>
    <w:rsid w:val="003F34F9"/>
    <w:rsid w:val="00417CEA"/>
    <w:rsid w:val="00431D75"/>
    <w:rsid w:val="00436C68"/>
    <w:rsid w:val="00436EBB"/>
    <w:rsid w:val="00461197"/>
    <w:rsid w:val="00471299"/>
    <w:rsid w:val="0048247C"/>
    <w:rsid w:val="004A2F4B"/>
    <w:rsid w:val="004B12F0"/>
    <w:rsid w:val="004C0B30"/>
    <w:rsid w:val="004D2795"/>
    <w:rsid w:val="00525C4F"/>
    <w:rsid w:val="00536C0A"/>
    <w:rsid w:val="00552AE5"/>
    <w:rsid w:val="005601FE"/>
    <w:rsid w:val="00566ACF"/>
    <w:rsid w:val="0057644A"/>
    <w:rsid w:val="00576A96"/>
    <w:rsid w:val="0059083E"/>
    <w:rsid w:val="005C2F85"/>
    <w:rsid w:val="005C4D19"/>
    <w:rsid w:val="005D26E1"/>
    <w:rsid w:val="005D6380"/>
    <w:rsid w:val="005D6A96"/>
    <w:rsid w:val="005D79B0"/>
    <w:rsid w:val="005E064C"/>
    <w:rsid w:val="00620D7C"/>
    <w:rsid w:val="0062103A"/>
    <w:rsid w:val="0064569A"/>
    <w:rsid w:val="0065577B"/>
    <w:rsid w:val="00662CE9"/>
    <w:rsid w:val="00667993"/>
    <w:rsid w:val="00682FFC"/>
    <w:rsid w:val="006B014A"/>
    <w:rsid w:val="006E7782"/>
    <w:rsid w:val="006F492C"/>
    <w:rsid w:val="007124A3"/>
    <w:rsid w:val="00724868"/>
    <w:rsid w:val="0074115F"/>
    <w:rsid w:val="0074319A"/>
    <w:rsid w:val="00767CD4"/>
    <w:rsid w:val="00773374"/>
    <w:rsid w:val="00777F8A"/>
    <w:rsid w:val="007C2209"/>
    <w:rsid w:val="007C6FA0"/>
    <w:rsid w:val="007D4273"/>
    <w:rsid w:val="007F1E4C"/>
    <w:rsid w:val="00803445"/>
    <w:rsid w:val="00822E68"/>
    <w:rsid w:val="008347E5"/>
    <w:rsid w:val="00881BBD"/>
    <w:rsid w:val="0088536F"/>
    <w:rsid w:val="00886C58"/>
    <w:rsid w:val="00893C20"/>
    <w:rsid w:val="008978B5"/>
    <w:rsid w:val="008B59C7"/>
    <w:rsid w:val="008D6C95"/>
    <w:rsid w:val="008F6203"/>
    <w:rsid w:val="00903D65"/>
    <w:rsid w:val="00910C8B"/>
    <w:rsid w:val="009338C4"/>
    <w:rsid w:val="00943A75"/>
    <w:rsid w:val="00972DBD"/>
    <w:rsid w:val="009753A3"/>
    <w:rsid w:val="00992370"/>
    <w:rsid w:val="0099273F"/>
    <w:rsid w:val="009A2493"/>
    <w:rsid w:val="009B0D83"/>
    <w:rsid w:val="009B5C0D"/>
    <w:rsid w:val="009D019C"/>
    <w:rsid w:val="009D0595"/>
    <w:rsid w:val="009D222D"/>
    <w:rsid w:val="009D6187"/>
    <w:rsid w:val="00A15263"/>
    <w:rsid w:val="00A37947"/>
    <w:rsid w:val="00A410EF"/>
    <w:rsid w:val="00A50AD3"/>
    <w:rsid w:val="00A675BC"/>
    <w:rsid w:val="00A8505A"/>
    <w:rsid w:val="00A9454E"/>
    <w:rsid w:val="00AB4A96"/>
    <w:rsid w:val="00AE571F"/>
    <w:rsid w:val="00B0199B"/>
    <w:rsid w:val="00B0728D"/>
    <w:rsid w:val="00B135DF"/>
    <w:rsid w:val="00B142E2"/>
    <w:rsid w:val="00B20DFA"/>
    <w:rsid w:val="00B3054D"/>
    <w:rsid w:val="00B57604"/>
    <w:rsid w:val="00B762CB"/>
    <w:rsid w:val="00B82022"/>
    <w:rsid w:val="00B852C8"/>
    <w:rsid w:val="00BA2ABB"/>
    <w:rsid w:val="00BC2179"/>
    <w:rsid w:val="00BD2374"/>
    <w:rsid w:val="00BD2BBF"/>
    <w:rsid w:val="00BF0B52"/>
    <w:rsid w:val="00BF7D81"/>
    <w:rsid w:val="00C35730"/>
    <w:rsid w:val="00C61D85"/>
    <w:rsid w:val="00CB72F9"/>
    <w:rsid w:val="00CE3DC4"/>
    <w:rsid w:val="00CF0DA1"/>
    <w:rsid w:val="00CF46E8"/>
    <w:rsid w:val="00CF7A97"/>
    <w:rsid w:val="00D17F79"/>
    <w:rsid w:val="00D33B90"/>
    <w:rsid w:val="00D841A6"/>
    <w:rsid w:val="00D9512C"/>
    <w:rsid w:val="00DA4915"/>
    <w:rsid w:val="00DA6AF0"/>
    <w:rsid w:val="00DC7E9F"/>
    <w:rsid w:val="00DD491B"/>
    <w:rsid w:val="00DD56AD"/>
    <w:rsid w:val="00DF1772"/>
    <w:rsid w:val="00DF2ECD"/>
    <w:rsid w:val="00DF4527"/>
    <w:rsid w:val="00DF58E7"/>
    <w:rsid w:val="00E226B6"/>
    <w:rsid w:val="00E65C89"/>
    <w:rsid w:val="00E83D5D"/>
    <w:rsid w:val="00E86A5D"/>
    <w:rsid w:val="00E87F06"/>
    <w:rsid w:val="00EA6EA6"/>
    <w:rsid w:val="00EB1444"/>
    <w:rsid w:val="00EB7419"/>
    <w:rsid w:val="00ED0899"/>
    <w:rsid w:val="00EE7E41"/>
    <w:rsid w:val="00EF5063"/>
    <w:rsid w:val="00EF664D"/>
    <w:rsid w:val="00F00917"/>
    <w:rsid w:val="00F10815"/>
    <w:rsid w:val="00F24B15"/>
    <w:rsid w:val="00F26242"/>
    <w:rsid w:val="00F2651F"/>
    <w:rsid w:val="00F3088A"/>
    <w:rsid w:val="00F32D08"/>
    <w:rsid w:val="00F42A24"/>
    <w:rsid w:val="00F85964"/>
    <w:rsid w:val="00FB4350"/>
    <w:rsid w:val="00FC3619"/>
    <w:rsid w:val="00FD41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9F7"/>
  <w15:chartTrackingRefBased/>
  <w15:docId w15:val="{93B21FEE-3A9F-44A9-A3D0-188F836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1A18"/>
    <w:pPr>
      <w:spacing w:after="0" w:line="240" w:lineRule="auto"/>
    </w:pPr>
    <w:rPr>
      <w:rFonts w:ascii="Times New Roman" w:eastAsia="Times New Roman" w:hAnsi="Times New Roman" w:cs="Times New Roman"/>
      <w:kern w:val="0"/>
      <w:sz w:val="28"/>
      <w:szCs w:val="20"/>
      <w:lang w:eastAsia="pl-PL"/>
      <w14:ligatures w14:val="none"/>
    </w:rPr>
  </w:style>
  <w:style w:type="paragraph" w:styleId="Nagwek1">
    <w:name w:val="heading 1"/>
    <w:basedOn w:val="Normalny"/>
    <w:next w:val="Normalny"/>
    <w:link w:val="Nagwek1Znak"/>
    <w:uiPriority w:val="9"/>
    <w:qFormat/>
    <w:rsid w:val="0005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5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50B75"/>
    <w:pPr>
      <w:keepNext/>
      <w:keepLines/>
      <w:spacing w:before="160" w:after="80"/>
      <w:outlineLvl w:val="2"/>
    </w:pPr>
    <w:rPr>
      <w:rFonts w:eastAsiaTheme="majorEastAsia" w:cstheme="majorBidi"/>
      <w:color w:val="0F4761" w:themeColor="accent1" w:themeShade="BF"/>
      <w:szCs w:val="28"/>
    </w:rPr>
  </w:style>
  <w:style w:type="paragraph" w:styleId="Nagwek4">
    <w:name w:val="heading 4"/>
    <w:basedOn w:val="Normalny"/>
    <w:next w:val="Normalny"/>
    <w:link w:val="Nagwek4Znak"/>
    <w:uiPriority w:val="9"/>
    <w:semiHidden/>
    <w:unhideWhenUsed/>
    <w:qFormat/>
    <w:rsid w:val="00050B7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50B7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50B7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50B7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50B7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50B7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50B7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50B7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50B7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50B7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50B7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50B7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50B7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50B7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50B75"/>
    <w:rPr>
      <w:rFonts w:eastAsiaTheme="majorEastAsia" w:cstheme="majorBidi"/>
      <w:color w:val="272727" w:themeColor="text1" w:themeTint="D8"/>
    </w:rPr>
  </w:style>
  <w:style w:type="paragraph" w:styleId="Tytu">
    <w:name w:val="Title"/>
    <w:basedOn w:val="Normalny"/>
    <w:next w:val="Normalny"/>
    <w:link w:val="TytuZnak"/>
    <w:uiPriority w:val="10"/>
    <w:qFormat/>
    <w:rsid w:val="00050B7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50B7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50B75"/>
    <w:pPr>
      <w:numPr>
        <w:ilvl w:val="1"/>
      </w:numPr>
    </w:pPr>
    <w:rPr>
      <w:rFonts w:eastAsiaTheme="majorEastAsia" w:cstheme="majorBidi"/>
      <w:color w:val="595959" w:themeColor="text1" w:themeTint="A6"/>
      <w:spacing w:val="15"/>
      <w:szCs w:val="28"/>
    </w:rPr>
  </w:style>
  <w:style w:type="character" w:customStyle="1" w:styleId="PodtytuZnak">
    <w:name w:val="Podtytuł Znak"/>
    <w:basedOn w:val="Domylnaczcionkaakapitu"/>
    <w:link w:val="Podtytu"/>
    <w:uiPriority w:val="11"/>
    <w:rsid w:val="00050B7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50B75"/>
    <w:pPr>
      <w:spacing w:before="160"/>
      <w:jc w:val="center"/>
    </w:pPr>
    <w:rPr>
      <w:i/>
      <w:iCs/>
      <w:color w:val="404040" w:themeColor="text1" w:themeTint="BF"/>
    </w:rPr>
  </w:style>
  <w:style w:type="character" w:customStyle="1" w:styleId="CytatZnak">
    <w:name w:val="Cytat Znak"/>
    <w:basedOn w:val="Domylnaczcionkaakapitu"/>
    <w:link w:val="Cytat"/>
    <w:uiPriority w:val="29"/>
    <w:rsid w:val="00050B75"/>
    <w:rPr>
      <w:i/>
      <w:iCs/>
      <w:color w:val="404040" w:themeColor="text1" w:themeTint="BF"/>
    </w:rPr>
  </w:style>
  <w:style w:type="paragraph" w:styleId="Akapitzlist">
    <w:name w:val="List Paragraph"/>
    <w:basedOn w:val="Normalny"/>
    <w:uiPriority w:val="34"/>
    <w:qFormat/>
    <w:rsid w:val="00050B75"/>
    <w:pPr>
      <w:ind w:left="720"/>
      <w:contextualSpacing/>
    </w:pPr>
  </w:style>
  <w:style w:type="character" w:styleId="Wyrnienieintensywne">
    <w:name w:val="Intense Emphasis"/>
    <w:basedOn w:val="Domylnaczcionkaakapitu"/>
    <w:uiPriority w:val="21"/>
    <w:qFormat/>
    <w:rsid w:val="00050B75"/>
    <w:rPr>
      <w:i/>
      <w:iCs/>
      <w:color w:val="0F4761" w:themeColor="accent1" w:themeShade="BF"/>
    </w:rPr>
  </w:style>
  <w:style w:type="paragraph" w:styleId="Cytatintensywny">
    <w:name w:val="Intense Quote"/>
    <w:basedOn w:val="Normalny"/>
    <w:next w:val="Normalny"/>
    <w:link w:val="CytatintensywnyZnak"/>
    <w:uiPriority w:val="30"/>
    <w:qFormat/>
    <w:rsid w:val="0005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50B75"/>
    <w:rPr>
      <w:i/>
      <w:iCs/>
      <w:color w:val="0F4761" w:themeColor="accent1" w:themeShade="BF"/>
    </w:rPr>
  </w:style>
  <w:style w:type="character" w:styleId="Odwoanieintensywne">
    <w:name w:val="Intense Reference"/>
    <w:basedOn w:val="Domylnaczcionkaakapitu"/>
    <w:uiPriority w:val="32"/>
    <w:qFormat/>
    <w:rsid w:val="00050B75"/>
    <w:rPr>
      <w:b/>
      <w:bCs/>
      <w:smallCaps/>
      <w:color w:val="0F4761" w:themeColor="accent1" w:themeShade="BF"/>
      <w:spacing w:val="5"/>
    </w:rPr>
  </w:style>
  <w:style w:type="paragraph" w:styleId="Bezodstpw">
    <w:name w:val="No Spacing"/>
    <w:uiPriority w:val="1"/>
    <w:qFormat/>
    <w:rsid w:val="00DF4527"/>
    <w:pPr>
      <w:spacing w:after="0" w:line="240" w:lineRule="auto"/>
    </w:pPr>
  </w:style>
  <w:style w:type="table" w:styleId="Tabela-Siatka">
    <w:name w:val="Table Grid"/>
    <w:basedOn w:val="Standardowy"/>
    <w:uiPriority w:val="39"/>
    <w:rsid w:val="00DF4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021A18"/>
    <w:rPr>
      <w:sz w:val="20"/>
    </w:rPr>
  </w:style>
  <w:style w:type="character" w:customStyle="1" w:styleId="TekstkomentarzaZnak">
    <w:name w:val="Tekst komentarza Znak"/>
    <w:basedOn w:val="Domylnaczcionkaakapitu"/>
    <w:link w:val="Tekstkomentarza"/>
    <w:uiPriority w:val="99"/>
    <w:rsid w:val="00021A18"/>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rsid w:val="00021A18"/>
    <w:rPr>
      <w:b/>
      <w:bCs/>
    </w:rPr>
  </w:style>
  <w:style w:type="character" w:customStyle="1" w:styleId="TematkomentarzaZnak">
    <w:name w:val="Temat komentarza Znak"/>
    <w:basedOn w:val="TekstkomentarzaZnak"/>
    <w:link w:val="Tematkomentarza"/>
    <w:rsid w:val="00021A18"/>
    <w:rPr>
      <w:rFonts w:ascii="Times New Roman" w:eastAsia="Times New Roman" w:hAnsi="Times New Roman" w:cs="Times New Roman"/>
      <w:b/>
      <w:bCs/>
      <w:kern w:val="0"/>
      <w:sz w:val="20"/>
      <w:szCs w:val="20"/>
      <w:lang w:eastAsia="pl-PL"/>
      <w14:ligatures w14:val="none"/>
    </w:rPr>
  </w:style>
  <w:style w:type="paragraph" w:styleId="Poprawka">
    <w:name w:val="Revision"/>
    <w:hidden/>
    <w:uiPriority w:val="99"/>
    <w:semiHidden/>
    <w:rsid w:val="00A9454E"/>
    <w:pPr>
      <w:spacing w:after="0" w:line="240" w:lineRule="auto"/>
    </w:pPr>
    <w:rPr>
      <w:rFonts w:ascii="Times New Roman" w:eastAsia="Times New Roman" w:hAnsi="Times New Roman" w:cs="Times New Roman"/>
      <w:kern w:val="0"/>
      <w:sz w:val="28"/>
      <w:szCs w:val="20"/>
      <w:lang w:eastAsia="pl-PL"/>
      <w14:ligatures w14:val="none"/>
    </w:rPr>
  </w:style>
  <w:style w:type="character" w:styleId="Odwoaniedokomentarza">
    <w:name w:val="annotation reference"/>
    <w:basedOn w:val="Domylnaczcionkaakapitu"/>
    <w:uiPriority w:val="99"/>
    <w:semiHidden/>
    <w:unhideWhenUsed/>
    <w:rsid w:val="003559AF"/>
    <w:rPr>
      <w:sz w:val="16"/>
      <w:szCs w:val="16"/>
    </w:rPr>
  </w:style>
  <w:style w:type="paragraph" w:styleId="Nagwek">
    <w:name w:val="header"/>
    <w:basedOn w:val="Normalny"/>
    <w:link w:val="NagwekZnak"/>
    <w:uiPriority w:val="99"/>
    <w:unhideWhenUsed/>
    <w:rsid w:val="00D841A6"/>
    <w:pPr>
      <w:tabs>
        <w:tab w:val="center" w:pos="4536"/>
        <w:tab w:val="right" w:pos="9072"/>
      </w:tabs>
    </w:pPr>
  </w:style>
  <w:style w:type="character" w:customStyle="1" w:styleId="NagwekZnak">
    <w:name w:val="Nagłówek Znak"/>
    <w:basedOn w:val="Domylnaczcionkaakapitu"/>
    <w:link w:val="Nagwek"/>
    <w:uiPriority w:val="99"/>
    <w:rsid w:val="00D841A6"/>
    <w:rPr>
      <w:rFonts w:ascii="Times New Roman" w:eastAsia="Times New Roman" w:hAnsi="Times New Roman" w:cs="Times New Roman"/>
      <w:kern w:val="0"/>
      <w:sz w:val="28"/>
      <w:szCs w:val="20"/>
      <w:lang w:eastAsia="pl-PL"/>
      <w14:ligatures w14:val="none"/>
    </w:rPr>
  </w:style>
  <w:style w:type="paragraph" w:styleId="Stopka">
    <w:name w:val="footer"/>
    <w:basedOn w:val="Normalny"/>
    <w:link w:val="StopkaZnak"/>
    <w:uiPriority w:val="99"/>
    <w:unhideWhenUsed/>
    <w:rsid w:val="00D841A6"/>
    <w:pPr>
      <w:tabs>
        <w:tab w:val="center" w:pos="4536"/>
        <w:tab w:val="right" w:pos="9072"/>
      </w:tabs>
    </w:pPr>
  </w:style>
  <w:style w:type="character" w:customStyle="1" w:styleId="StopkaZnak">
    <w:name w:val="Stopka Znak"/>
    <w:basedOn w:val="Domylnaczcionkaakapitu"/>
    <w:link w:val="Stopka"/>
    <w:uiPriority w:val="99"/>
    <w:rsid w:val="00D841A6"/>
    <w:rPr>
      <w:rFonts w:ascii="Times New Roman" w:eastAsia="Times New Roman" w:hAnsi="Times New Roman" w:cs="Times New Roman"/>
      <w:kern w:val="0"/>
      <w:sz w:val="28"/>
      <w:szCs w:val="20"/>
      <w:lang w:eastAsia="pl-PL"/>
      <w14:ligatures w14:val="none"/>
    </w:rPr>
  </w:style>
  <w:style w:type="paragraph" w:customStyle="1" w:styleId="paragraph">
    <w:name w:val="paragraph"/>
    <w:basedOn w:val="Normalny"/>
    <w:rsid w:val="00105D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808063">
      <w:bodyDiv w:val="1"/>
      <w:marLeft w:val="0"/>
      <w:marRight w:val="0"/>
      <w:marTop w:val="0"/>
      <w:marBottom w:val="0"/>
      <w:divBdr>
        <w:top w:val="none" w:sz="0" w:space="0" w:color="auto"/>
        <w:left w:val="none" w:sz="0" w:space="0" w:color="auto"/>
        <w:bottom w:val="none" w:sz="0" w:space="0" w:color="auto"/>
        <w:right w:val="none" w:sz="0" w:space="0" w:color="auto"/>
      </w:divBdr>
    </w:div>
    <w:div w:id="1414350697">
      <w:bodyDiv w:val="1"/>
      <w:marLeft w:val="0"/>
      <w:marRight w:val="0"/>
      <w:marTop w:val="0"/>
      <w:marBottom w:val="0"/>
      <w:divBdr>
        <w:top w:val="none" w:sz="0" w:space="0" w:color="auto"/>
        <w:left w:val="none" w:sz="0" w:space="0" w:color="auto"/>
        <w:bottom w:val="none" w:sz="0" w:space="0" w:color="auto"/>
        <w:right w:val="none" w:sz="0" w:space="0" w:color="auto"/>
      </w:divBdr>
    </w:div>
    <w:div w:id="1526137988">
      <w:bodyDiv w:val="1"/>
      <w:marLeft w:val="0"/>
      <w:marRight w:val="0"/>
      <w:marTop w:val="0"/>
      <w:marBottom w:val="0"/>
      <w:divBdr>
        <w:top w:val="none" w:sz="0" w:space="0" w:color="auto"/>
        <w:left w:val="none" w:sz="0" w:space="0" w:color="auto"/>
        <w:bottom w:val="none" w:sz="0" w:space="0" w:color="auto"/>
        <w:right w:val="none" w:sz="0" w:space="0" w:color="auto"/>
      </w:divBdr>
    </w:div>
    <w:div w:id="1654605761">
      <w:bodyDiv w:val="1"/>
      <w:marLeft w:val="0"/>
      <w:marRight w:val="0"/>
      <w:marTop w:val="0"/>
      <w:marBottom w:val="0"/>
      <w:divBdr>
        <w:top w:val="none" w:sz="0" w:space="0" w:color="auto"/>
        <w:left w:val="none" w:sz="0" w:space="0" w:color="auto"/>
        <w:bottom w:val="none" w:sz="0" w:space="0" w:color="auto"/>
        <w:right w:val="none" w:sz="0" w:space="0" w:color="auto"/>
      </w:divBdr>
    </w:div>
    <w:div w:id="1806506158">
      <w:bodyDiv w:val="1"/>
      <w:marLeft w:val="0"/>
      <w:marRight w:val="0"/>
      <w:marTop w:val="0"/>
      <w:marBottom w:val="0"/>
      <w:divBdr>
        <w:top w:val="none" w:sz="0" w:space="0" w:color="auto"/>
        <w:left w:val="none" w:sz="0" w:space="0" w:color="auto"/>
        <w:bottom w:val="none" w:sz="0" w:space="0" w:color="auto"/>
        <w:right w:val="none" w:sz="0" w:space="0" w:color="auto"/>
      </w:divBdr>
    </w:div>
    <w:div w:id="1819490615">
      <w:bodyDiv w:val="1"/>
      <w:marLeft w:val="0"/>
      <w:marRight w:val="0"/>
      <w:marTop w:val="0"/>
      <w:marBottom w:val="0"/>
      <w:divBdr>
        <w:top w:val="none" w:sz="0" w:space="0" w:color="auto"/>
        <w:left w:val="none" w:sz="0" w:space="0" w:color="auto"/>
        <w:bottom w:val="none" w:sz="0" w:space="0" w:color="auto"/>
        <w:right w:val="none" w:sz="0" w:space="0" w:color="auto"/>
      </w:divBdr>
    </w:div>
    <w:div w:id="2029139036">
      <w:bodyDiv w:val="1"/>
      <w:marLeft w:val="0"/>
      <w:marRight w:val="0"/>
      <w:marTop w:val="0"/>
      <w:marBottom w:val="0"/>
      <w:divBdr>
        <w:top w:val="none" w:sz="0" w:space="0" w:color="auto"/>
        <w:left w:val="none" w:sz="0" w:space="0" w:color="auto"/>
        <w:bottom w:val="none" w:sz="0" w:space="0" w:color="auto"/>
        <w:right w:val="none" w:sz="0" w:space="0" w:color="auto"/>
      </w:divBdr>
    </w:div>
    <w:div w:id="212769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79E0C-216C-4DB3-B615-09A73CE3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4279</Words>
  <Characters>25678</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Muszyński Marcin</dc:creator>
  <cp:keywords/>
  <dc:description/>
  <cp:lastModifiedBy>Markowska Anna</cp:lastModifiedBy>
  <cp:revision>16</cp:revision>
  <dcterms:created xsi:type="dcterms:W3CDTF">2026-06-15T12:39:00Z</dcterms:created>
  <dcterms:modified xsi:type="dcterms:W3CDTF">2026-06-24T16:07:00Z</dcterms:modified>
</cp:coreProperties>
</file>