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6E47" w14:textId="74F069E5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 xml:space="preserve"> dnia</w:t>
      </w:r>
      <w:r w:rsidR="0021237D">
        <w:rPr>
          <w:rFonts w:ascii="Lato" w:hAnsi="Lato" w:cs="Arial"/>
          <w:sz w:val="20"/>
          <w:szCs w:val="20"/>
        </w:rPr>
        <w:t xml:space="preserve"> 14 sierpnia </w:t>
      </w:r>
      <w:r w:rsidRPr="00846A68">
        <w:rPr>
          <w:rFonts w:ascii="Lato" w:hAnsi="Lato" w:cs="Arial"/>
          <w:sz w:val="20"/>
          <w:szCs w:val="20"/>
        </w:rPr>
        <w:t>202</w:t>
      </w:r>
      <w:r w:rsidR="00F9757A" w:rsidRPr="00846A68">
        <w:rPr>
          <w:rFonts w:ascii="Lato" w:hAnsi="Lato" w:cs="Arial"/>
          <w:sz w:val="20"/>
          <w:szCs w:val="20"/>
        </w:rPr>
        <w:t>4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4370F967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Zdrowia ogłasza konkurs ofert</w:t>
      </w:r>
      <w:r w:rsidRPr="00846A6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na </w:t>
      </w:r>
      <w:r w:rsidR="003B22F5" w:rsidRPr="00846A68">
        <w:rPr>
          <w:rFonts w:ascii="Lato" w:hAnsi="Lato" w:cs="Arial"/>
          <w:sz w:val="20"/>
          <w:szCs w:val="20"/>
        </w:rPr>
        <w:t xml:space="preserve">wybór </w:t>
      </w:r>
      <w:r w:rsidRPr="00846A68">
        <w:rPr>
          <w:rFonts w:ascii="Lato" w:hAnsi="Lato" w:cs="Arial"/>
          <w:sz w:val="20"/>
          <w:szCs w:val="20"/>
        </w:rPr>
        <w:t xml:space="preserve">realizatorów programu wieloletniego </w:t>
      </w:r>
      <w:r w:rsidR="00036DD5" w:rsidRPr="00846A68">
        <w:rPr>
          <w:rFonts w:ascii="Lato" w:hAnsi="Lato" w:cs="Arial"/>
          <w:sz w:val="20"/>
          <w:szCs w:val="20"/>
        </w:rPr>
        <w:t>na</w:t>
      </w:r>
      <w:r w:rsidR="00F9757A" w:rsidRPr="00846A68">
        <w:rPr>
          <w:rFonts w:ascii="Lato" w:hAnsi="Lato" w:cs="Arial"/>
          <w:sz w:val="20"/>
          <w:szCs w:val="20"/>
        </w:rPr>
        <w:t> </w:t>
      </w:r>
      <w:r w:rsidR="00036DD5" w:rsidRPr="00846A68">
        <w:rPr>
          <w:rFonts w:ascii="Lato" w:hAnsi="Lato" w:cs="Arial"/>
          <w:sz w:val="20"/>
          <w:szCs w:val="20"/>
        </w:rPr>
        <w:t>lata 20</w:t>
      </w:r>
      <w:r w:rsidR="005E0A59" w:rsidRPr="00846A68">
        <w:rPr>
          <w:rFonts w:ascii="Lato" w:hAnsi="Lato" w:cs="Arial"/>
          <w:sz w:val="20"/>
          <w:szCs w:val="20"/>
        </w:rPr>
        <w:t xml:space="preserve">23-2032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4D67DCFE" w:rsidR="005F1367" w:rsidRPr="00846A68" w:rsidRDefault="00465BE2" w:rsidP="008C5855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846A68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</w:t>
      </w:r>
      <w:r w:rsidR="0099392B" w:rsidRPr="00846A68">
        <w:rPr>
          <w:rFonts w:ascii="Lato" w:hAnsi="Lato" w:cs="Arial"/>
          <w:b/>
          <w:bCs/>
          <w:color w:val="4472C4" w:themeColor="accent1"/>
        </w:rPr>
        <w:br/>
      </w:r>
      <w:r w:rsidRPr="00846A68">
        <w:rPr>
          <w:rFonts w:ascii="Lato" w:hAnsi="Lato" w:cs="Arial"/>
          <w:b/>
          <w:bCs/>
          <w:color w:val="4472C4" w:themeColor="accent1"/>
        </w:rPr>
        <w:t>w zakresie</w:t>
      </w:r>
      <w:r w:rsidR="00334B13" w:rsidRPr="00846A68">
        <w:rPr>
          <w:rFonts w:ascii="Lato" w:hAnsi="Lato" w:cs="Arial"/>
          <w:b/>
          <w:bCs/>
          <w:color w:val="4472C4" w:themeColor="accent1"/>
        </w:rPr>
        <w:t>: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 pozaustrojowej perfuzji płuc</w:t>
      </w:r>
      <w:r w:rsidR="005F0074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7762E1">
        <w:rPr>
          <w:rFonts w:ascii="Lato" w:hAnsi="Lato" w:cs="Arial"/>
          <w:b/>
          <w:bCs/>
          <w:color w:val="4472C4" w:themeColor="accent1"/>
        </w:rPr>
        <w:t xml:space="preserve">w celu </w:t>
      </w:r>
      <w:r w:rsidRPr="00846A68">
        <w:rPr>
          <w:rFonts w:ascii="Lato" w:hAnsi="Lato" w:cs="Arial"/>
          <w:b/>
          <w:bCs/>
          <w:color w:val="4472C4" w:themeColor="accent1"/>
        </w:rPr>
        <w:t>zwiększenia liczby pozyskiwanych narządów do leczenia przeszczepieniem płu</w:t>
      </w:r>
      <w:r w:rsidR="005C36CE" w:rsidRPr="00846A68">
        <w:rPr>
          <w:rFonts w:ascii="Lato" w:hAnsi="Lato" w:cs="Arial"/>
          <w:b/>
          <w:bCs/>
          <w:color w:val="4472C4" w:themeColor="accent1"/>
        </w:rPr>
        <w:t>c</w:t>
      </w:r>
      <w:r w:rsidR="0099392B" w:rsidRPr="00846A68">
        <w:rPr>
          <w:rFonts w:ascii="Lato" w:hAnsi="Lato" w:cs="Arial"/>
          <w:b/>
          <w:bCs/>
          <w:color w:val="4472C4" w:themeColor="accent1"/>
        </w:rPr>
        <w:t>.</w:t>
      </w:r>
      <w:r w:rsidR="0003069F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8C5855" w:rsidRPr="00846A68">
        <w:rPr>
          <w:rFonts w:ascii="Lato" w:hAnsi="Lato" w:cs="Arial"/>
          <w:b/>
          <w:bCs/>
          <w:color w:val="4472C4" w:themeColor="accent1"/>
        </w:rPr>
        <w:t xml:space="preserve"> 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2FC19C4A" w14:textId="0BD753D1" w:rsidR="0025655D" w:rsidRPr="00846A68" w:rsidRDefault="006779F9" w:rsidP="00CE77D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Celem zadania jest </w:t>
      </w:r>
      <w:r w:rsidR="0087622C" w:rsidRPr="00846A68">
        <w:rPr>
          <w:rFonts w:ascii="Lato" w:hAnsi="Lato" w:cs="Arial"/>
          <w:sz w:val="20"/>
          <w:szCs w:val="20"/>
        </w:rPr>
        <w:t xml:space="preserve">dofinansowanie wykonywania </w:t>
      </w:r>
      <w:r w:rsidR="00C360C5" w:rsidRPr="00846A68">
        <w:rPr>
          <w:rFonts w:ascii="Lato" w:hAnsi="Lato" w:cs="Arial"/>
          <w:sz w:val="20"/>
          <w:szCs w:val="20"/>
        </w:rPr>
        <w:t xml:space="preserve">przez ośrodki </w:t>
      </w:r>
      <w:r w:rsidR="00CE77D6" w:rsidRPr="00846A68">
        <w:rPr>
          <w:rFonts w:ascii="Lato" w:hAnsi="Lato" w:cs="Arial"/>
          <w:sz w:val="20"/>
          <w:szCs w:val="20"/>
        </w:rPr>
        <w:t xml:space="preserve">przeszczepiające płuca </w:t>
      </w:r>
      <w:r w:rsidR="0087622C" w:rsidRPr="00846A68">
        <w:rPr>
          <w:rFonts w:ascii="Lato" w:hAnsi="Lato" w:cs="Arial"/>
          <w:sz w:val="20"/>
          <w:szCs w:val="20"/>
        </w:rPr>
        <w:t xml:space="preserve">procedury </w:t>
      </w:r>
      <w:bookmarkStart w:id="0" w:name="_Hlk114055488"/>
      <w:r w:rsidR="00114858" w:rsidRPr="00846A68">
        <w:rPr>
          <w:rFonts w:ascii="Lato" w:hAnsi="Lato" w:cs="Arial"/>
          <w:sz w:val="20"/>
          <w:szCs w:val="20"/>
        </w:rPr>
        <w:t xml:space="preserve">pozaustrojowej perfuzji </w:t>
      </w:r>
      <w:bookmarkEnd w:id="0"/>
      <w:r w:rsidR="00114858" w:rsidRPr="00846A68">
        <w:rPr>
          <w:rFonts w:ascii="Lato" w:hAnsi="Lato" w:cs="Arial"/>
          <w:sz w:val="20"/>
          <w:szCs w:val="20"/>
        </w:rPr>
        <w:t>płuc</w:t>
      </w:r>
      <w:r w:rsidR="00896A77" w:rsidRPr="00846A68">
        <w:rPr>
          <w:rFonts w:ascii="Lato" w:hAnsi="Lato" w:cs="Arial"/>
          <w:sz w:val="20"/>
          <w:szCs w:val="20"/>
        </w:rPr>
        <w:t xml:space="preserve"> (</w:t>
      </w:r>
      <w:r w:rsidR="00963712" w:rsidRPr="00846A68">
        <w:rPr>
          <w:rFonts w:ascii="Lato" w:hAnsi="Lato" w:cs="Arial"/>
          <w:i/>
          <w:iCs/>
          <w:sz w:val="20"/>
          <w:szCs w:val="20"/>
        </w:rPr>
        <w:t>ex-vivo lung</w:t>
      </w:r>
      <w:r w:rsidR="00F9757A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i/>
          <w:iCs/>
          <w:sz w:val="20"/>
          <w:szCs w:val="20"/>
        </w:rPr>
        <w:t>perfusion</w:t>
      </w:r>
      <w:r w:rsidR="00963712" w:rsidRPr="00846A68">
        <w:rPr>
          <w:rFonts w:ascii="Lato" w:hAnsi="Lato" w:cs="Arial"/>
          <w:sz w:val="20"/>
          <w:szCs w:val="20"/>
        </w:rPr>
        <w:t xml:space="preserve">, </w:t>
      </w:r>
      <w:r w:rsidR="00896A77" w:rsidRPr="00846A68">
        <w:rPr>
          <w:rFonts w:ascii="Lato" w:hAnsi="Lato" w:cs="Arial"/>
          <w:sz w:val="20"/>
          <w:szCs w:val="20"/>
        </w:rPr>
        <w:t>dalej: „Procedura”)</w:t>
      </w:r>
      <w:r w:rsidRPr="00846A68">
        <w:rPr>
          <w:rFonts w:ascii="Lato" w:hAnsi="Lato" w:cs="Arial"/>
          <w:sz w:val="20"/>
          <w:szCs w:val="20"/>
        </w:rPr>
        <w:t>,</w:t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="00436CBF" w:rsidRPr="00846A68">
        <w:rPr>
          <w:rFonts w:ascii="Lato" w:hAnsi="Lato" w:cs="Arial"/>
          <w:sz w:val="20"/>
          <w:szCs w:val="20"/>
        </w:rPr>
        <w:t xml:space="preserve">zapewniając tym samym </w:t>
      </w:r>
      <w:r w:rsidR="00A83F73" w:rsidRPr="00846A68">
        <w:rPr>
          <w:rFonts w:ascii="Lato" w:hAnsi="Lato" w:cs="Arial"/>
          <w:sz w:val="20"/>
          <w:szCs w:val="20"/>
        </w:rPr>
        <w:t>dostęp do najnowszych osiągnięć technicznych i</w:t>
      </w:r>
      <w:r w:rsidR="00B9467F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>technologicznych</w:t>
      </w:r>
      <w:r w:rsidR="00B9467F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>w</w:t>
      </w:r>
      <w:r w:rsidR="005C36CE" w:rsidRPr="00846A68">
        <w:rPr>
          <w:rFonts w:ascii="Lato" w:hAnsi="Lato" w:cs="Arial"/>
          <w:sz w:val="20"/>
          <w:szCs w:val="20"/>
        </w:rPr>
        <w:t> </w:t>
      </w:r>
      <w:r w:rsidR="00A83F73" w:rsidRPr="00846A68">
        <w:rPr>
          <w:rFonts w:ascii="Lato" w:hAnsi="Lato" w:cs="Arial"/>
          <w:sz w:val="20"/>
          <w:szCs w:val="20"/>
        </w:rPr>
        <w:t xml:space="preserve">zakresie procedur </w:t>
      </w:r>
      <w:r w:rsidR="00EB0BEB" w:rsidRPr="00846A68">
        <w:rPr>
          <w:rFonts w:ascii="Lato" w:hAnsi="Lato" w:cs="Arial"/>
          <w:sz w:val="20"/>
          <w:szCs w:val="20"/>
        </w:rPr>
        <w:t>pobierania</w:t>
      </w:r>
      <w:r w:rsidR="00CE77D6" w:rsidRPr="00846A68">
        <w:rPr>
          <w:rFonts w:ascii="Lato" w:hAnsi="Lato" w:cs="Arial"/>
          <w:sz w:val="20"/>
          <w:szCs w:val="20"/>
        </w:rPr>
        <w:t xml:space="preserve">, przechowywania </w:t>
      </w:r>
      <w:r w:rsidR="009E63B5" w:rsidRPr="00846A68">
        <w:rPr>
          <w:rFonts w:ascii="Lato" w:hAnsi="Lato" w:cs="Arial"/>
          <w:sz w:val="20"/>
          <w:szCs w:val="20"/>
        </w:rPr>
        <w:t>oraz</w:t>
      </w:r>
      <w:r w:rsidR="00EB0BEB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 xml:space="preserve">przeszczepiania </w:t>
      </w:r>
      <w:r w:rsidR="00C31C67" w:rsidRPr="00846A68">
        <w:rPr>
          <w:rFonts w:ascii="Lato" w:hAnsi="Lato" w:cs="Arial"/>
          <w:sz w:val="20"/>
          <w:szCs w:val="20"/>
        </w:rPr>
        <w:t>płuc</w:t>
      </w:r>
      <w:r w:rsidR="00896A77" w:rsidRPr="00846A68">
        <w:rPr>
          <w:rFonts w:ascii="Lato" w:hAnsi="Lato" w:cs="Arial"/>
          <w:sz w:val="20"/>
          <w:szCs w:val="20"/>
        </w:rPr>
        <w:t>.</w:t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Zadanie ma</w:t>
      </w:r>
      <w:r w:rsidR="00123661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na</w:t>
      </w:r>
      <w:r w:rsidR="00123661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c</w:t>
      </w:r>
      <w:r w:rsidR="0029430B" w:rsidRPr="00846A68">
        <w:rPr>
          <w:rFonts w:ascii="Lato" w:hAnsi="Lato" w:cs="Arial"/>
          <w:sz w:val="20"/>
          <w:szCs w:val="20"/>
        </w:rPr>
        <w:t>e</w:t>
      </w:r>
      <w:r w:rsidR="00CE77D6" w:rsidRPr="00846A68">
        <w:rPr>
          <w:rFonts w:ascii="Lato" w:hAnsi="Lato" w:cs="Arial"/>
          <w:sz w:val="20"/>
          <w:szCs w:val="20"/>
        </w:rPr>
        <w:t xml:space="preserve">lu sfinansowanie </w:t>
      </w:r>
      <w:r w:rsidR="0099392B" w:rsidRPr="00846A68">
        <w:rPr>
          <w:rFonts w:ascii="Lato" w:hAnsi="Lato" w:cs="Arial"/>
          <w:sz w:val="20"/>
          <w:szCs w:val="20"/>
        </w:rPr>
        <w:t xml:space="preserve">kosztów wykonania procedur pozaustrojowej perfuzji płuc, w tym zakupu </w:t>
      </w:r>
      <w:r w:rsidR="00CE77D6" w:rsidRPr="00846A68">
        <w:rPr>
          <w:rFonts w:ascii="Lato" w:hAnsi="Lato" w:cs="Arial"/>
          <w:sz w:val="20"/>
          <w:szCs w:val="20"/>
        </w:rPr>
        <w:t>jednorazowych setów do urządzeń do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 xml:space="preserve">perfuzji </w:t>
      </w:r>
      <w:r w:rsidR="00123661" w:rsidRPr="00846A68">
        <w:rPr>
          <w:rFonts w:ascii="Lato" w:hAnsi="Lato" w:cs="Arial"/>
          <w:sz w:val="20"/>
          <w:szCs w:val="20"/>
        </w:rPr>
        <w:t xml:space="preserve">narządu </w:t>
      </w:r>
      <w:r w:rsidR="00CE77D6" w:rsidRPr="00846A68">
        <w:rPr>
          <w:rFonts w:ascii="Lato" w:hAnsi="Lato" w:cs="Arial"/>
          <w:sz w:val="20"/>
          <w:szCs w:val="20"/>
        </w:rPr>
        <w:t>oraz innych kosztów związanych</w:t>
      </w:r>
      <w:r w:rsidR="005F0074" w:rsidRPr="00846A68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z</w:t>
      </w:r>
      <w:r w:rsidR="003475F8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realizacją zadania (np. szkolenia personelu) dla ośrodków przeszczepiających płuca.</w:t>
      </w:r>
    </w:p>
    <w:p w14:paraId="5674A3E9" w14:textId="2A3D1426" w:rsidR="00963712" w:rsidRPr="00846A68" w:rsidRDefault="00583A56" w:rsidP="00583A5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Płuca, aby mogły zostać przeszczepione, muszą spełniać rygorystyczne kryteria gazometryczne </w:t>
      </w:r>
      <w:r w:rsidR="00CF708D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i radiologiczne, najczęściej jednak ze względu na niekorzystne procesy zachodzące w tkance płucnej nie mogą zostać wykorzystane do celów transplantacyjnych.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>Procedura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>objęta dofinansowaniem w ramach zadania</w:t>
      </w:r>
      <w:r w:rsidR="00C87899" w:rsidRPr="00846A68">
        <w:rPr>
          <w:rFonts w:ascii="Lato" w:hAnsi="Lato" w:cs="Arial"/>
          <w:sz w:val="20"/>
          <w:szCs w:val="20"/>
        </w:rPr>
        <w:t xml:space="preserve"> będącego przedmiotem konkursu ofert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ma na celu</w:t>
      </w:r>
      <w:r w:rsidR="00963712" w:rsidRPr="00846A68">
        <w:rPr>
          <w:rFonts w:ascii="Lato" w:hAnsi="Lato" w:cs="Arial"/>
          <w:sz w:val="20"/>
          <w:szCs w:val="20"/>
        </w:rPr>
        <w:t xml:space="preserve"> uzyskani</w:t>
      </w:r>
      <w:r w:rsidR="00CE77D6" w:rsidRPr="00846A68">
        <w:rPr>
          <w:rFonts w:ascii="Lato" w:hAnsi="Lato" w:cs="Arial"/>
          <w:sz w:val="20"/>
          <w:szCs w:val="20"/>
        </w:rPr>
        <w:t>e</w:t>
      </w:r>
      <w:r w:rsidR="00963712" w:rsidRPr="00846A68">
        <w:rPr>
          <w:rFonts w:ascii="Lato" w:hAnsi="Lato" w:cs="Arial"/>
          <w:sz w:val="20"/>
          <w:szCs w:val="20"/>
        </w:rPr>
        <w:t xml:space="preserve"> poprawy funkcji płuc</w:t>
      </w:r>
      <w:r w:rsidR="005F0074" w:rsidRPr="00846A68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 xml:space="preserve">do takiego stopnia, aby </w:t>
      </w:r>
      <w:r w:rsidR="00262CBA" w:rsidRPr="00846A68">
        <w:rPr>
          <w:rFonts w:ascii="Lato" w:hAnsi="Lato" w:cs="Arial"/>
          <w:sz w:val="20"/>
          <w:szCs w:val="20"/>
        </w:rPr>
        <w:t>możliwe</w:t>
      </w:r>
      <w:r w:rsidR="00963712" w:rsidRPr="00846A68">
        <w:rPr>
          <w:rFonts w:ascii="Lato" w:hAnsi="Lato" w:cs="Arial"/>
          <w:sz w:val="20"/>
          <w:szCs w:val="20"/>
        </w:rPr>
        <w:t xml:space="preserve"> było </w:t>
      </w:r>
      <w:r w:rsidR="00262CBA" w:rsidRPr="00846A68">
        <w:rPr>
          <w:rFonts w:ascii="Lato" w:hAnsi="Lato" w:cs="Arial"/>
          <w:sz w:val="20"/>
          <w:szCs w:val="20"/>
        </w:rPr>
        <w:t>przeprowadzenie transplantacji</w:t>
      </w:r>
      <w:r w:rsidR="00C87899" w:rsidRPr="00846A68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 xml:space="preserve">w </w:t>
      </w:r>
      <w:r w:rsidR="00262CBA" w:rsidRPr="00846A68">
        <w:rPr>
          <w:rFonts w:ascii="Lato" w:hAnsi="Lato" w:cs="Arial"/>
          <w:sz w:val="20"/>
          <w:szCs w:val="20"/>
        </w:rPr>
        <w:t xml:space="preserve">sposób </w:t>
      </w:r>
      <w:r w:rsidR="00963712" w:rsidRPr="00846A68">
        <w:rPr>
          <w:rFonts w:ascii="Lato" w:hAnsi="Lato" w:cs="Arial"/>
          <w:sz w:val="20"/>
          <w:szCs w:val="20"/>
        </w:rPr>
        <w:t xml:space="preserve">bezpieczny dla biorcy </w:t>
      </w:r>
      <w:r w:rsidR="00262CBA" w:rsidRPr="00846A68">
        <w:rPr>
          <w:rFonts w:ascii="Lato" w:hAnsi="Lato" w:cs="Arial"/>
          <w:sz w:val="20"/>
          <w:szCs w:val="20"/>
        </w:rPr>
        <w:t>przeszczepu</w:t>
      </w:r>
      <w:r w:rsidR="00963712" w:rsidRPr="00846A68">
        <w:rPr>
          <w:rFonts w:ascii="Lato" w:hAnsi="Lato" w:cs="Arial"/>
          <w:sz w:val="20"/>
          <w:szCs w:val="20"/>
        </w:rPr>
        <w:t>.</w:t>
      </w:r>
      <w:r w:rsidR="00262CBA" w:rsidRPr="00846A68">
        <w:rPr>
          <w:rFonts w:ascii="Lato" w:hAnsi="Lato" w:cs="Arial"/>
          <w:sz w:val="20"/>
          <w:szCs w:val="20"/>
        </w:rPr>
        <w:t xml:space="preserve"> Szacuje się, że</w:t>
      </w:r>
      <w:r w:rsidR="003475F8" w:rsidRPr="00846A68">
        <w:rPr>
          <w:rFonts w:ascii="Lato" w:hAnsi="Lato" w:cs="Arial"/>
          <w:sz w:val="20"/>
          <w:szCs w:val="20"/>
        </w:rPr>
        <w:t> </w:t>
      </w:r>
      <w:r w:rsidR="00262CBA" w:rsidRPr="00846A68">
        <w:rPr>
          <w:rFonts w:ascii="Lato" w:hAnsi="Lato" w:cs="Arial"/>
          <w:sz w:val="20"/>
          <w:szCs w:val="20"/>
        </w:rPr>
        <w:t xml:space="preserve">wdrożenie tej </w:t>
      </w:r>
      <w:r w:rsidR="00B249DB" w:rsidRPr="00846A68">
        <w:rPr>
          <w:rFonts w:ascii="Lato" w:hAnsi="Lato" w:cs="Arial"/>
          <w:sz w:val="20"/>
          <w:szCs w:val="20"/>
        </w:rPr>
        <w:t>metody</w:t>
      </w:r>
      <w:r w:rsidR="00262CBA" w:rsidRPr="00846A68">
        <w:rPr>
          <w:rFonts w:ascii="Lato" w:hAnsi="Lato" w:cs="Arial"/>
          <w:sz w:val="20"/>
          <w:szCs w:val="20"/>
        </w:rPr>
        <w:t xml:space="preserve"> do rutynowego postępowania może </w:t>
      </w:r>
      <w:r w:rsidR="00C87899" w:rsidRPr="00846A68">
        <w:rPr>
          <w:rFonts w:ascii="Lato" w:hAnsi="Lato" w:cs="Arial"/>
          <w:sz w:val="20"/>
          <w:szCs w:val="20"/>
        </w:rPr>
        <w:t xml:space="preserve">istotnie </w:t>
      </w:r>
      <w:r w:rsidR="00262CBA" w:rsidRPr="00846A68">
        <w:rPr>
          <w:rFonts w:ascii="Lato" w:hAnsi="Lato" w:cs="Arial"/>
          <w:sz w:val="20"/>
          <w:szCs w:val="20"/>
        </w:rPr>
        <w:t>zwiększyć liczbę wykonywanych przeszczepień płuc</w:t>
      </w:r>
      <w:r w:rsidR="007762E1">
        <w:rPr>
          <w:rFonts w:ascii="Lato" w:hAnsi="Lato" w:cs="Arial"/>
          <w:sz w:val="20"/>
          <w:szCs w:val="20"/>
        </w:rPr>
        <w:t>,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jak również wpłynąć na jakość i bezpieczeństwo wykonywanych przeszczepień, w tym na poprawę ich wyników.</w:t>
      </w:r>
    </w:p>
    <w:p w14:paraId="43F256C7" w14:textId="5DC99263" w:rsidR="00C360C5" w:rsidRPr="00846A68" w:rsidRDefault="00BC0C8E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Kolejnym istotnym </w:t>
      </w:r>
      <w:r w:rsidR="008C5855" w:rsidRPr="00846A68">
        <w:rPr>
          <w:rFonts w:ascii="Lato" w:hAnsi="Lato" w:cs="Arial"/>
          <w:sz w:val="20"/>
          <w:szCs w:val="20"/>
        </w:rPr>
        <w:t xml:space="preserve">celem </w:t>
      </w:r>
      <w:r w:rsidRPr="00846A68">
        <w:rPr>
          <w:rFonts w:ascii="Lato" w:hAnsi="Lato" w:cs="Arial"/>
          <w:sz w:val="20"/>
          <w:szCs w:val="20"/>
        </w:rPr>
        <w:t>zadania będzie ewaluacj</w:t>
      </w:r>
      <w:r w:rsidR="008B378E" w:rsidRPr="00846A68">
        <w:rPr>
          <w:rFonts w:ascii="Lato" w:hAnsi="Lato" w:cs="Arial"/>
          <w:sz w:val="20"/>
          <w:szCs w:val="20"/>
        </w:rPr>
        <w:t xml:space="preserve">a </w:t>
      </w:r>
      <w:r w:rsidR="002D2A90" w:rsidRPr="00846A68">
        <w:rPr>
          <w:rFonts w:ascii="Lato" w:hAnsi="Lato" w:cs="Arial"/>
          <w:sz w:val="20"/>
          <w:szCs w:val="20"/>
        </w:rPr>
        <w:t xml:space="preserve">uzyskanych efektów leczenia oraz przygotowanie analizy pod kątem zasadności </w:t>
      </w:r>
      <w:r w:rsidR="00936C1F" w:rsidRPr="00846A68">
        <w:rPr>
          <w:rFonts w:ascii="Lato" w:hAnsi="Lato" w:cs="Arial"/>
          <w:sz w:val="20"/>
          <w:szCs w:val="20"/>
        </w:rPr>
        <w:t xml:space="preserve">i </w:t>
      </w:r>
      <w:r w:rsidR="0016662B" w:rsidRPr="00846A68">
        <w:rPr>
          <w:rFonts w:ascii="Lato" w:hAnsi="Lato" w:cs="Arial"/>
          <w:sz w:val="20"/>
          <w:szCs w:val="20"/>
        </w:rPr>
        <w:t xml:space="preserve">efektywności kosztowej </w:t>
      </w:r>
      <w:r w:rsidR="00C360C5" w:rsidRPr="00846A68">
        <w:rPr>
          <w:rFonts w:ascii="Lato" w:hAnsi="Lato" w:cs="Arial"/>
          <w:sz w:val="20"/>
          <w:szCs w:val="20"/>
        </w:rPr>
        <w:t>utworzeni</w:t>
      </w:r>
      <w:r w:rsidR="00936C1F" w:rsidRPr="00846A68">
        <w:rPr>
          <w:rFonts w:ascii="Lato" w:hAnsi="Lato" w:cs="Arial"/>
          <w:sz w:val="20"/>
          <w:szCs w:val="20"/>
        </w:rPr>
        <w:t>a</w:t>
      </w:r>
      <w:r w:rsidR="00C360C5"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t xml:space="preserve">nowej </w:t>
      </w:r>
      <w:r w:rsidR="00C360C5" w:rsidRPr="00846A68">
        <w:rPr>
          <w:rFonts w:ascii="Lato" w:hAnsi="Lato" w:cs="Arial"/>
          <w:sz w:val="20"/>
          <w:szCs w:val="20"/>
        </w:rPr>
        <w:t>procedury transplantacyjnej</w:t>
      </w:r>
      <w:r w:rsidR="007762E1">
        <w:rPr>
          <w:rFonts w:ascii="Lato" w:hAnsi="Lato" w:cs="Arial"/>
          <w:sz w:val="20"/>
          <w:szCs w:val="20"/>
        </w:rPr>
        <w:t xml:space="preserve"> dotyczącej </w:t>
      </w:r>
      <w:r w:rsidR="00EA251E" w:rsidRPr="00846A68">
        <w:rPr>
          <w:rFonts w:ascii="Lato" w:hAnsi="Lato" w:cs="Arial"/>
          <w:sz w:val="20"/>
          <w:szCs w:val="20"/>
        </w:rPr>
        <w:t>pozaustrojowej perfuzji płuc</w:t>
      </w:r>
      <w:r w:rsidR="00C360C5" w:rsidRPr="00846A68">
        <w:rPr>
          <w:rFonts w:ascii="Lato" w:hAnsi="Lato" w:cs="Arial"/>
          <w:sz w:val="20"/>
          <w:szCs w:val="20"/>
        </w:rPr>
        <w:t xml:space="preserve"> </w:t>
      </w:r>
      <w:r w:rsidR="002D2A90" w:rsidRPr="00846A68">
        <w:rPr>
          <w:rFonts w:ascii="Lato" w:hAnsi="Lato" w:cs="Arial"/>
          <w:sz w:val="20"/>
          <w:szCs w:val="20"/>
        </w:rPr>
        <w:t>wraz z propozycją wyceny świadczenia</w:t>
      </w:r>
      <w:r w:rsidR="00C360C5" w:rsidRPr="00846A68">
        <w:rPr>
          <w:rFonts w:ascii="Lato" w:hAnsi="Lato" w:cs="Arial"/>
          <w:sz w:val="20"/>
          <w:szCs w:val="20"/>
        </w:rPr>
        <w:t>.</w:t>
      </w:r>
      <w:r w:rsidR="002F1783" w:rsidRPr="00846A68">
        <w:rPr>
          <w:rFonts w:ascii="Lato" w:hAnsi="Lato" w:cs="Arial"/>
          <w:sz w:val="20"/>
          <w:szCs w:val="20"/>
        </w:rPr>
        <w:t xml:space="preserve"> Powyższe informacje będą sporządzone w postaci podręcznika wdrożeniowego, który będzie służył do </w:t>
      </w:r>
      <w:r w:rsidR="007762E1">
        <w:rPr>
          <w:rFonts w:ascii="Lato" w:hAnsi="Lato" w:cs="Arial"/>
          <w:sz w:val="20"/>
          <w:szCs w:val="20"/>
        </w:rPr>
        <w:t xml:space="preserve">ewentualnego </w:t>
      </w:r>
      <w:r w:rsidR="002F1783" w:rsidRPr="00846A68">
        <w:rPr>
          <w:rFonts w:ascii="Lato" w:hAnsi="Lato" w:cs="Arial"/>
          <w:sz w:val="20"/>
          <w:szCs w:val="20"/>
        </w:rPr>
        <w:t>wdrożenia przedmiotowej procedury w</w:t>
      </w:r>
      <w:r w:rsidR="007762E1">
        <w:rPr>
          <w:rFonts w:ascii="Lato" w:hAnsi="Lato" w:cs="Arial"/>
          <w:sz w:val="20"/>
          <w:szCs w:val="20"/>
        </w:rPr>
        <w:t xml:space="preserve"> innych</w:t>
      </w:r>
      <w:r w:rsidR="002F1783" w:rsidRPr="00846A68">
        <w:rPr>
          <w:rFonts w:ascii="Lato" w:hAnsi="Lato" w:cs="Arial"/>
          <w:sz w:val="20"/>
          <w:szCs w:val="20"/>
        </w:rPr>
        <w:t xml:space="preserve"> ośrodkach przeszczepiających płuca.</w:t>
      </w:r>
    </w:p>
    <w:p w14:paraId="3C3BBCB4" w14:textId="5AC3071A" w:rsidR="002F1783" w:rsidRPr="00846A68" w:rsidRDefault="002F1783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06F455C1" w14:textId="77777777" w:rsidR="002F1783" w:rsidRPr="00846A68" w:rsidRDefault="002F1783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lastRenderedPageBreak/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16CD6C4F" w:rsidR="004973C9" w:rsidRPr="00846A68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B535AD" w:rsidRPr="00846A68">
        <w:rPr>
          <w:rFonts w:ascii="Lato" w:hAnsi="Lato" w:cs="Arial"/>
          <w:b/>
          <w:bCs/>
          <w:sz w:val="20"/>
          <w:szCs w:val="20"/>
        </w:rPr>
        <w:t>wota środków publicznych, jakie mogą zostać przyznane Oferentowi na realizację jednej procedury pozaustrojowej perfuzji płuc</w:t>
      </w:r>
      <w:r w:rsidR="00364B9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to </w:t>
      </w:r>
      <w:r w:rsidR="00A1107F" w:rsidRPr="00846A68">
        <w:rPr>
          <w:rFonts w:ascii="Lato" w:hAnsi="Lato" w:cs="Arial"/>
          <w:b/>
          <w:bCs/>
          <w:sz w:val="20"/>
          <w:szCs w:val="20"/>
        </w:rPr>
        <w:t>8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0 000,00 zł. </w:t>
      </w:r>
      <w:r w:rsidR="00CD0D39" w:rsidRPr="00846A68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846A68">
        <w:rPr>
          <w:rFonts w:ascii="Lato" w:hAnsi="Lato" w:cs="Arial"/>
          <w:sz w:val="20"/>
          <w:szCs w:val="20"/>
        </w:rPr>
        <w:t>Oferent może ubiegać się o sfinansowanie następujących</w:t>
      </w:r>
      <w:r w:rsidR="00CD0D39" w:rsidRPr="00846A68">
        <w:rPr>
          <w:rFonts w:ascii="Lato" w:hAnsi="Lato" w:cs="Arial"/>
          <w:sz w:val="20"/>
          <w:szCs w:val="20"/>
        </w:rPr>
        <w:t xml:space="preserve"> </w:t>
      </w:r>
      <w:r w:rsidR="004973C9" w:rsidRPr="00846A68">
        <w:rPr>
          <w:rFonts w:ascii="Lato" w:hAnsi="Lato" w:cs="Arial"/>
          <w:sz w:val="20"/>
          <w:szCs w:val="20"/>
        </w:rPr>
        <w:t>kosztów:</w:t>
      </w:r>
    </w:p>
    <w:p w14:paraId="20F36EDF" w14:textId="24AF3812" w:rsidR="004973C9" w:rsidRPr="00846A68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m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846A68">
        <w:rPr>
          <w:rFonts w:ascii="Lato" w:hAnsi="Lato" w:cs="Arial"/>
          <w:sz w:val="20"/>
          <w:szCs w:val="20"/>
        </w:rPr>
        <w:t xml:space="preserve"> (np. pakiet narzędzi, szwów i obłożeń chirurgicznych, leki, zużywalne elementy </w:t>
      </w:r>
      <w:r w:rsidR="00EA251E" w:rsidRPr="00846A68">
        <w:rPr>
          <w:rFonts w:ascii="Lato" w:hAnsi="Lato" w:cs="Arial"/>
          <w:sz w:val="20"/>
          <w:szCs w:val="20"/>
        </w:rPr>
        <w:t>wykorzystywane w pozaustrojowej perfuzji</w:t>
      </w:r>
      <w:r w:rsidR="004973C9" w:rsidRPr="00846A68">
        <w:rPr>
          <w:rFonts w:ascii="Lato" w:hAnsi="Lato" w:cs="Arial"/>
          <w:sz w:val="20"/>
          <w:szCs w:val="20"/>
        </w:rPr>
        <w:t>)</w:t>
      </w:r>
      <w:r w:rsidRPr="00846A68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846A68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846A68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846A68">
        <w:rPr>
          <w:rFonts w:ascii="Lato" w:hAnsi="Lato" w:cs="Arial"/>
          <w:b/>
          <w:bCs/>
          <w:sz w:val="20"/>
          <w:szCs w:val="20"/>
        </w:rPr>
        <w:t>s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ali operacyjnej</w:t>
      </w:r>
      <w:r w:rsidRPr="00846A68">
        <w:rPr>
          <w:rFonts w:ascii="Lato" w:hAnsi="Lato" w:cs="Arial"/>
          <w:sz w:val="20"/>
          <w:szCs w:val="20"/>
        </w:rPr>
        <w:t>,</w:t>
      </w:r>
    </w:p>
    <w:p w14:paraId="0FE422D5" w14:textId="4D416EE7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846A68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Pr="00846A68">
        <w:rPr>
          <w:rFonts w:ascii="Lato" w:hAnsi="Lato" w:cs="Arial"/>
          <w:sz w:val="20"/>
          <w:szCs w:val="20"/>
        </w:rPr>
        <w:t>,</w:t>
      </w:r>
    </w:p>
    <w:p w14:paraId="72CFCF60" w14:textId="7186AEDC" w:rsidR="004973C9" w:rsidRPr="00846A68" w:rsidRDefault="00B25F23" w:rsidP="00B535AD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transportu</w:t>
      </w:r>
      <w:r w:rsidR="004973C9" w:rsidRPr="00846A68">
        <w:rPr>
          <w:rFonts w:ascii="Lato" w:hAnsi="Lato" w:cs="Arial"/>
          <w:sz w:val="20"/>
          <w:szCs w:val="20"/>
        </w:rPr>
        <w:t xml:space="preserve"> (transport kołowy, lotniczy komercyjny)</w:t>
      </w:r>
      <w:r w:rsidRPr="00846A68">
        <w:rPr>
          <w:rFonts w:ascii="Lato" w:hAnsi="Lato" w:cs="Arial"/>
          <w:sz w:val="20"/>
          <w:szCs w:val="20"/>
        </w:rPr>
        <w:t>.</w:t>
      </w:r>
    </w:p>
    <w:p w14:paraId="5DD0E880" w14:textId="256CD241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Oferent wskaże w ofercie deklarowaną liczbę procedur pozaustrojowej perfuzji płuc, które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się </w:t>
      </w:r>
      <w:r w:rsidR="00CF708D">
        <w:rPr>
          <w:rFonts w:ascii="Lato" w:hAnsi="Lato" w:cs="Arial"/>
          <w:sz w:val="20"/>
          <w:szCs w:val="20"/>
        </w:rPr>
        <w:br/>
      </w:r>
      <w:r w:rsidR="00FF5381" w:rsidRPr="00846A68">
        <w:rPr>
          <w:rFonts w:ascii="Lato" w:hAnsi="Lato" w:cs="Arial"/>
          <w:sz w:val="20"/>
          <w:szCs w:val="20"/>
        </w:rPr>
        <w:t xml:space="preserve">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już wykonanych procedur,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zrealizowanych od 1 stycznia 202</w:t>
      </w:r>
      <w:r w:rsidR="005F0074" w:rsidRPr="00CF708D">
        <w:rPr>
          <w:rFonts w:ascii="Lato" w:hAnsi="Lato" w:cs="Arial"/>
          <w:b/>
          <w:bCs/>
          <w:sz w:val="20"/>
          <w:szCs w:val="20"/>
        </w:rPr>
        <w:t>4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1F589C31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procedury </w:t>
      </w:r>
      <w:r w:rsidR="00EA251E" w:rsidRPr="00846A68">
        <w:rPr>
          <w:rFonts w:ascii="Lato" w:hAnsi="Lato" w:cs="Arial"/>
          <w:sz w:val="20"/>
          <w:szCs w:val="20"/>
        </w:rPr>
        <w:t>pozaustrojowej perfuzji płuc</w:t>
      </w:r>
      <w:r w:rsidRPr="00846A68">
        <w:rPr>
          <w:rFonts w:ascii="Lato" w:hAnsi="Lato" w:cs="Arial"/>
          <w:sz w:val="20"/>
          <w:szCs w:val="20"/>
        </w:rPr>
        <w:t>, które nie stanowią przedmiotu kontraktu zawartego 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np.</w:t>
      </w:r>
      <w:r w:rsidR="00CC06D0" w:rsidRPr="00846A68">
        <w:rPr>
          <w:rFonts w:ascii="Lato" w:hAnsi="Lato" w:cs="Arial"/>
          <w:sz w:val="20"/>
          <w:szCs w:val="20"/>
        </w:rPr>
        <w:t xml:space="preserve"> </w:t>
      </w:r>
      <w:r w:rsidR="00CF708D">
        <w:rPr>
          <w:rFonts w:ascii="Lato" w:hAnsi="Lato" w:cs="Arial"/>
          <w:sz w:val="20"/>
          <w:szCs w:val="20"/>
        </w:rPr>
        <w:br/>
      </w:r>
      <w:r w:rsidR="00CC06D0" w:rsidRPr="00846A68">
        <w:rPr>
          <w:rFonts w:ascii="Lato" w:hAnsi="Lato" w:cs="Arial"/>
          <w:sz w:val="20"/>
          <w:szCs w:val="20"/>
        </w:rPr>
        <w:t xml:space="preserve">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CC06D0" w:rsidRPr="00846A68">
        <w:rPr>
          <w:rFonts w:ascii="Lato" w:hAnsi="Lato" w:cs="Arial"/>
          <w:sz w:val="20"/>
          <w:szCs w:val="20"/>
        </w:rPr>
        <w:t>płuc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67B27A01" w14:textId="7777777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1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1"/>
      <w:r w:rsidRPr="00236B6A">
        <w:rPr>
          <w:rFonts w:ascii="Lato" w:hAnsi="Lato" w:cs="Arial"/>
          <w:sz w:val="20"/>
          <w:szCs w:val="20"/>
        </w:rPr>
        <w:t xml:space="preserve">przez osobę upoważnioną do złożenia oferty w imieniu Oferenta; </w:t>
      </w:r>
    </w:p>
    <w:p w14:paraId="44FF65E9" w14:textId="7777777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 w:rsidRPr="00236B6A">
        <w:rPr>
          <w:rFonts w:ascii="Lato" w:hAnsi="Lato" w:cs="Arial"/>
          <w:sz w:val="20"/>
          <w:szCs w:val="20"/>
          <w:u w:val="single"/>
        </w:rPr>
        <w:t>tylko w formie elektronicznej, za pośrednictwem ePUAP</w:t>
      </w:r>
      <w:r w:rsidRPr="00236B6A">
        <w:rPr>
          <w:rStyle w:val="Odwoanieprzypisudolnego"/>
          <w:rFonts w:ascii="Lato" w:hAnsi="Lato" w:cs="Arial"/>
          <w:b/>
          <w:bCs/>
          <w:sz w:val="20"/>
          <w:szCs w:val="20"/>
        </w:rPr>
        <w:footnoteReference w:id="3"/>
      </w:r>
      <w:r w:rsidRPr="007762E1">
        <w:rPr>
          <w:rFonts w:ascii="Lato" w:hAnsi="Lato" w:cs="Arial"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>. Przystępując do konkursu Oferent zobowiązuje się do złożenia oferty oraz do prowadzenia dalszej korespondencji dotyczącej postępowania konkursowego (w tym uzupełnienia braków formalnych, wyjaśnień w trakcie oceny merytorycznej lub innych wymaganych dokumentów), a w przypadku wyboru na realizatora zadania, dalszej korespondencji dotyczącej zawarcia i realizacji umowy, w formie elektronicznej za pośrednictwem ePUAP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14F5648D" w14:textId="7777777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Adres elektronicznej skrzynki podawczej ePUAP Ministerstwa Zdrowia właściwej do złożenia oferty i korespondencji w trakcie postępowania konkursowego to: </w:t>
      </w:r>
      <w:r w:rsidRPr="00236B6A">
        <w:rPr>
          <w:rFonts w:ascii="Lato" w:hAnsi="Lato" w:cs="Arial"/>
          <w:b/>
          <w:bCs/>
          <w:sz w:val="20"/>
          <w:szCs w:val="20"/>
        </w:rPr>
        <w:t>/8tk37sxx6h/SkrytkaESP.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sz w:val="20"/>
          <w:szCs w:val="20"/>
        </w:rPr>
        <w:lastRenderedPageBreak/>
        <w:t xml:space="preserve">Więcej informacji o elektronicznym załatwianiu spraw poprzez serwis ePUAP jest dostępne pod adresem: </w:t>
      </w:r>
      <w:r w:rsidRPr="00236B6A">
        <w:rPr>
          <w:rFonts w:ascii="Lato" w:hAnsi="Lato" w:cs="Arial"/>
          <w:b/>
          <w:bCs/>
          <w:sz w:val="20"/>
          <w:szCs w:val="20"/>
        </w:rPr>
        <w:t xml:space="preserve">https://www.gov.pl/web/cyfryzacja/serwis-epuap. </w:t>
      </w:r>
    </w:p>
    <w:p w14:paraId="251F44F3" w14:textId="2CBF7C5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7762E1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pozaustrojow</w:t>
      </w:r>
      <w:r w:rsidR="003D67E2">
        <w:rPr>
          <w:rFonts w:ascii="Lato" w:hAnsi="Lato" w:cs="Arial"/>
          <w:b/>
          <w:bCs/>
          <w:sz w:val="20"/>
          <w:szCs w:val="20"/>
        </w:rPr>
        <w:t>a</w:t>
      </w:r>
      <w:r w:rsidR="003D67E2" w:rsidRPr="003D67E2">
        <w:rPr>
          <w:rFonts w:ascii="Lato" w:hAnsi="Lato" w:cs="Arial"/>
          <w:b/>
          <w:bCs/>
          <w:sz w:val="20"/>
          <w:szCs w:val="20"/>
        </w:rPr>
        <w:t xml:space="preserve"> perfuzj</w:t>
      </w:r>
      <w:r w:rsidR="007762E1">
        <w:rPr>
          <w:rFonts w:ascii="Lato" w:hAnsi="Lato" w:cs="Arial"/>
          <w:b/>
          <w:bCs/>
          <w:sz w:val="20"/>
          <w:szCs w:val="20"/>
        </w:rPr>
        <w:t xml:space="preserve">a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płuc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3BA4DBF2" w14:textId="6BE2426E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w nieprzekraczalnym terminie do dnia </w:t>
      </w:r>
      <w:r w:rsidR="0021237D">
        <w:rPr>
          <w:rFonts w:ascii="Lato" w:hAnsi="Lato" w:cs="Arial"/>
          <w:b/>
          <w:bCs/>
          <w:color w:val="FF0000"/>
          <w:sz w:val="20"/>
          <w:szCs w:val="20"/>
        </w:rPr>
        <w:t xml:space="preserve">29 sierpnia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2024 r.</w:t>
      </w:r>
      <w:r w:rsidRPr="00236B6A">
        <w:rPr>
          <w:rFonts w:ascii="Lato" w:hAnsi="Lato" w:cs="Arial"/>
          <w:sz w:val="20"/>
          <w:szCs w:val="20"/>
        </w:rPr>
        <w:t xml:space="preserve"> Oferty złożone po upływie tego terminu podlegają odrzuceniu.</w:t>
      </w:r>
    </w:p>
    <w:p w14:paraId="3E969932" w14:textId="7777777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W przypadku złożenia przez jednego oferenta więcej niż jednej oferty, przyjmuje się że Oferent złożył tylko jedną ofertę. Ocenie podlegać będzie ta,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77777777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papierowej) powoduje zaistnienie przesłanki nieważności, a w związku z tym oferta nie będzie podlegała rozpatrzeniu i ocenie. Komisja Konkursowa będzie rozpatrywała wyłącznie oferty złożone za pośrednictwem e-PUAP Ministerstwa Zdrowia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7B5D8080" w:rsidR="003D7DD9" w:rsidRPr="00846A68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  <w:highlight w:val="yellow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podmiot leczniczy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wykonując</w:t>
      </w:r>
      <w:r w:rsidR="007762E1">
        <w:rPr>
          <w:rFonts w:ascii="Lato" w:hAnsi="Lato" w:cs="Arial"/>
          <w:sz w:val="20"/>
          <w:szCs w:val="20"/>
        </w:rPr>
        <w:t>y</w:t>
      </w:r>
      <w:r w:rsidR="007762E1" w:rsidRPr="007762E1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7762E1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kwietnia 2011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działalności leczniczej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>(</w:t>
      </w:r>
      <w:r w:rsidR="007762E1" w:rsidRPr="007762E1">
        <w:rPr>
          <w:rFonts w:ascii="Lato" w:hAnsi="Lato" w:cs="Arial"/>
          <w:sz w:val="20"/>
          <w:szCs w:val="20"/>
        </w:rPr>
        <w:t>Dz.U. z 2024 r. poz. 799</w:t>
      </w:r>
      <w:r w:rsidR="004E12CA" w:rsidRPr="00846A68">
        <w:rPr>
          <w:rFonts w:ascii="Lato" w:hAnsi="Lato" w:cs="Arial"/>
          <w:sz w:val="20"/>
          <w:szCs w:val="20"/>
        </w:rPr>
        <w:t>), który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>dzień złożenia oferty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846A68">
        <w:rPr>
          <w:rFonts w:ascii="Lato" w:hAnsi="Lato" w:cs="Arial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846A68">
        <w:rPr>
          <w:rFonts w:ascii="Lato" w:hAnsi="Lato" w:cs="Arial"/>
          <w:sz w:val="20"/>
          <w:szCs w:val="20"/>
        </w:rPr>
        <w:t>, o którym mowa w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pobieraniu, przechowywaniu i przeszczepianiu komórek, tkanek i narządów</w:t>
      </w:r>
      <w:r w:rsidR="004E12CA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 xml:space="preserve">(Dz.U. z 2023 r. poz. 1185) </w:t>
      </w:r>
      <w:r w:rsidR="004E12CA" w:rsidRPr="00846A68">
        <w:rPr>
          <w:rFonts w:ascii="Lato" w:hAnsi="Lato" w:cs="Arial"/>
          <w:sz w:val="20"/>
          <w:szCs w:val="20"/>
        </w:rPr>
        <w:t xml:space="preserve">w zakresie </w:t>
      </w:r>
      <w:r w:rsidR="00261F5A" w:rsidRPr="00846A68">
        <w:rPr>
          <w:rFonts w:ascii="Lato" w:hAnsi="Lato" w:cs="Arial"/>
          <w:sz w:val="20"/>
          <w:szCs w:val="20"/>
        </w:rPr>
        <w:t>przechowywania i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261F5A" w:rsidRPr="00846A68">
        <w:rPr>
          <w:rFonts w:ascii="Lato" w:hAnsi="Lato" w:cs="Arial"/>
          <w:sz w:val="20"/>
          <w:szCs w:val="20"/>
        </w:rPr>
        <w:t>przeszczepiania płuc</w:t>
      </w:r>
      <w:r w:rsidR="007762E1">
        <w:rPr>
          <w:rFonts w:ascii="Lato" w:hAnsi="Lato" w:cs="Arial"/>
          <w:sz w:val="20"/>
          <w:szCs w:val="20"/>
        </w:rPr>
        <w:t xml:space="preserve">, tj. w zakresie </w:t>
      </w:r>
      <w:r w:rsidR="004E12CA" w:rsidRPr="00846A68">
        <w:rPr>
          <w:rFonts w:ascii="Lato" w:hAnsi="Lato" w:cs="Arial"/>
          <w:sz w:val="20"/>
          <w:szCs w:val="20"/>
        </w:rPr>
        <w:t xml:space="preserve">art. 36 ust. 1 pkt </w:t>
      </w:r>
      <w:r w:rsidR="00336C7D" w:rsidRPr="00846A68">
        <w:rPr>
          <w:rFonts w:ascii="Lato" w:hAnsi="Lato" w:cs="Arial"/>
          <w:sz w:val="20"/>
          <w:szCs w:val="20"/>
        </w:rPr>
        <w:t xml:space="preserve">4 i </w:t>
      </w:r>
      <w:r w:rsidR="004E12CA" w:rsidRPr="00846A68">
        <w:rPr>
          <w:rFonts w:ascii="Lato" w:hAnsi="Lato" w:cs="Arial"/>
          <w:sz w:val="20"/>
          <w:szCs w:val="20"/>
        </w:rPr>
        <w:t>5</w:t>
      </w:r>
      <w:r w:rsidR="00B9467F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ustawy z dnia</w:t>
      </w:r>
      <w:r w:rsidR="001D1457" w:rsidRPr="00846A68">
        <w:rPr>
          <w:rFonts w:ascii="Lato" w:hAnsi="Lato" w:cs="Arial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1 lipca 2005 r. 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B9467F" w:rsidRPr="00846A68">
        <w:rPr>
          <w:rFonts w:ascii="Lato" w:hAnsi="Lato" w:cs="Arial"/>
          <w:sz w:val="20"/>
          <w:szCs w:val="20"/>
        </w:rPr>
        <w:t>pobieraniu, przechowywaniu i przeszczepianiu komórek, tkanek i narządów</w:t>
      </w:r>
      <w:r w:rsidR="00D50F57" w:rsidRPr="00846A68">
        <w:rPr>
          <w:rFonts w:ascii="Lato" w:hAnsi="Lato" w:cs="Arial"/>
          <w:sz w:val="20"/>
          <w:szCs w:val="20"/>
        </w:rPr>
        <w:t>.</w:t>
      </w:r>
    </w:p>
    <w:p w14:paraId="1FF9D72D" w14:textId="0FC2CB00" w:rsidR="00846370" w:rsidRPr="00846A68" w:rsidRDefault="00846370" w:rsidP="00C1064E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Spełnienie </w:t>
      </w:r>
      <w:r w:rsidR="00005652" w:rsidRPr="00846A68">
        <w:rPr>
          <w:rFonts w:ascii="Lato" w:hAnsi="Lato" w:cs="Arial"/>
          <w:sz w:val="20"/>
          <w:szCs w:val="20"/>
        </w:rPr>
        <w:t xml:space="preserve">powyższego wymagania </w:t>
      </w:r>
      <w:r w:rsidRPr="00846A68">
        <w:rPr>
          <w:rFonts w:ascii="Lato" w:hAnsi="Lato" w:cs="Arial"/>
          <w:sz w:val="20"/>
          <w:szCs w:val="20"/>
        </w:rPr>
        <w:t xml:space="preserve">stanowi warunek </w:t>
      </w:r>
      <w:r w:rsidR="00941D31" w:rsidRPr="00846A68">
        <w:rPr>
          <w:rFonts w:ascii="Lato" w:hAnsi="Lato" w:cs="Arial"/>
          <w:sz w:val="20"/>
          <w:szCs w:val="20"/>
        </w:rPr>
        <w:t xml:space="preserve">progowy </w:t>
      </w:r>
      <w:r w:rsidRPr="00846A68">
        <w:rPr>
          <w:rFonts w:ascii="Lato" w:hAnsi="Lato" w:cs="Arial"/>
          <w:sz w:val="20"/>
          <w:szCs w:val="20"/>
        </w:rPr>
        <w:t>oceny oferty.</w:t>
      </w:r>
    </w:p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77777777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>osobę upoważnioną/ osoby upoważnione do reprezentacji Oferenta (zgodnie z właściwym rejestrem) albo</w:t>
      </w:r>
    </w:p>
    <w:p w14:paraId="32C8329F" w14:textId="77777777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lastRenderedPageBreak/>
        <w:t xml:space="preserve">osobę działającą/ osoby działające na podstawie udzielonego pełnomocnictwa (w tym przypadku do oferty należy dołączyć właściwe pełnomocnictwo bądź inny dokument, na podstawie którego jest możliwe działanie tej osoby/ tych osób w imieniu Oferenta. W przypadku, gdy zostało dołączone dalsze pełnomocnictwo należy dołączyć ciąg pełnomocnictw). </w:t>
      </w:r>
    </w:p>
    <w:p w14:paraId="454AD068" w14:textId="77777777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2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się podpisanie skanu dokumentu kwalifikowanym podpisem elektronicznym przez osobę udzielającą tego 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2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4D17B78B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39E3F165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7762E1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 xml:space="preserve">zgodnie z pkt. 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3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4" w:name="_Hlk110250040"/>
      <w:bookmarkEnd w:id="3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4"/>
    <w:p w14:paraId="14AC2E5D" w14:textId="10F45C2F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pkt.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60AD8EAD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pkt.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do ogłoszenia, 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69F6C555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</w:t>
      </w:r>
      <w:r w:rsidRPr="00846A68">
        <w:rPr>
          <w:rFonts w:ascii="Lato" w:hAnsi="Lato" w:cs="Arial"/>
          <w:sz w:val="20"/>
          <w:szCs w:val="20"/>
        </w:rPr>
        <w:lastRenderedPageBreak/>
        <w:t xml:space="preserve">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F013C5" w:rsidRPr="00F013C5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420460F2" w14:textId="654CCFB4" w:rsidR="006779F9" w:rsidRPr="00C7046D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7046D">
        <w:rPr>
          <w:rFonts w:ascii="Lato" w:hAnsi="Lato" w:cs="Arial"/>
          <w:sz w:val="20"/>
          <w:szCs w:val="20"/>
        </w:rPr>
        <w:t>W przypadku niespełniania wymagań formalnych, Oferent może uzupełnić stwierdzone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8" w:history="1">
        <w:r w:rsidRPr="00C7046D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7046D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7046D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5" w:name="_Hlk110250163"/>
        <w:r w:rsidRPr="00C7046D">
          <w:rPr>
            <w:rStyle w:val="Hipercze"/>
            <w:rFonts w:ascii="Lato" w:hAnsi="Lato" w:cs="Arial"/>
            <w:sz w:val="20"/>
            <w:szCs w:val="20"/>
          </w:rPr>
          <w:t>Ministerstwa Zdrowia</w:t>
        </w:r>
        <w:bookmarkEnd w:id="5"/>
      </w:hyperlink>
      <w:r w:rsidRPr="00C7046D">
        <w:rPr>
          <w:rFonts w:ascii="Lato" w:hAnsi="Lato" w:cs="Arial"/>
          <w:sz w:val="20"/>
          <w:szCs w:val="20"/>
        </w:rPr>
        <w:t xml:space="preserve"> </w:t>
      </w:r>
      <w:r w:rsidR="00B87090" w:rsidRPr="00C7046D">
        <w:rPr>
          <w:rFonts w:ascii="Lato" w:hAnsi="Lato" w:cs="Arial"/>
          <w:sz w:val="20"/>
          <w:szCs w:val="20"/>
        </w:rPr>
        <w:t xml:space="preserve">oraz </w:t>
      </w:r>
      <w:r w:rsidR="003E1E30" w:rsidRPr="00C7046D">
        <w:rPr>
          <w:rFonts w:ascii="Lato" w:hAnsi="Lato" w:cs="Arial"/>
          <w:sz w:val="20"/>
          <w:szCs w:val="20"/>
        </w:rPr>
        <w:t>w</w:t>
      </w:r>
      <w:r w:rsidR="00B87090" w:rsidRPr="00C7046D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7046D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7046D">
        <w:rPr>
          <w:rFonts w:ascii="Lato" w:hAnsi="Lato" w:cs="Arial"/>
          <w:sz w:val="20"/>
          <w:szCs w:val="20"/>
        </w:rPr>
        <w:t> </w:t>
      </w:r>
      <w:r w:rsidRPr="00C7046D">
        <w:rPr>
          <w:rFonts w:ascii="Lato" w:hAnsi="Lato" w:cs="Arial"/>
          <w:sz w:val="20"/>
          <w:szCs w:val="20"/>
        </w:rPr>
        <w:t>wskazanym trybie oraz terminie uzupełnienia braków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>formalnych oferty.</w:t>
      </w:r>
      <w:r w:rsidR="00D74219" w:rsidRPr="00C7046D">
        <w:rPr>
          <w:rFonts w:ascii="Lato" w:hAnsi="Lato" w:cs="Arial"/>
          <w:sz w:val="20"/>
          <w:szCs w:val="20"/>
        </w:rPr>
        <w:t xml:space="preserve"> Bieg terminu rozpoczyna się od dnia następującego po dniu ukazania się listy ofert niespełniających warunków formalnych</w:t>
      </w:r>
      <w:r w:rsidR="000132E3" w:rsidRPr="00C7046D">
        <w:rPr>
          <w:rFonts w:ascii="Lato" w:hAnsi="Lato" w:cs="Arial"/>
          <w:sz w:val="20"/>
          <w:szCs w:val="20"/>
        </w:rPr>
        <w:t>.</w:t>
      </w:r>
      <w:r w:rsidRPr="00C7046D">
        <w:rPr>
          <w:rFonts w:ascii="Lato" w:hAnsi="Lato" w:cs="Arial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Braki formalne należy uzupełnić w taki sam sposób, w</w:t>
      </w:r>
      <w:r w:rsidR="00036DD5" w:rsidRPr="007762E1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7046D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7046D">
        <w:rPr>
          <w:rFonts w:ascii="Lato" w:hAnsi="Lato" w:cs="Arial"/>
          <w:b/>
          <w:bCs/>
          <w:color w:val="FF0000"/>
          <w:sz w:val="20"/>
          <w:szCs w:val="20"/>
        </w:rPr>
        <w:t>wyłącznie elektronicznie poprzez przesłanie uzupełnienia za pośrednictwem ePUAP</w:t>
      </w:r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7046D">
        <w:rPr>
          <w:rFonts w:ascii="Lato" w:hAnsi="Lato" w:cs="Arial"/>
          <w:sz w:val="20"/>
          <w:szCs w:val="20"/>
        </w:rPr>
        <w:t xml:space="preserve">. </w:t>
      </w:r>
      <w:r w:rsidRPr="00C7046D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7046D">
        <w:rPr>
          <w:rFonts w:ascii="Lato" w:hAnsi="Lato" w:cs="Arial"/>
          <w:b/>
          <w:bCs/>
          <w:sz w:val="20"/>
          <w:szCs w:val="20"/>
        </w:rPr>
        <w:t xml:space="preserve"> </w:t>
      </w:r>
      <w:r w:rsidRPr="00C7046D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7046D">
        <w:rPr>
          <w:rFonts w:ascii="Lato" w:hAnsi="Lato" w:cs="Arial"/>
          <w:sz w:val="20"/>
          <w:szCs w:val="20"/>
        </w:rPr>
        <w:t xml:space="preserve">. </w:t>
      </w:r>
      <w:r w:rsidR="00C7046D" w:rsidRPr="00C7046D">
        <w:rPr>
          <w:rFonts w:ascii="Lato" w:hAnsi="Lato" w:cs="Arial"/>
          <w:sz w:val="20"/>
          <w:szCs w:val="20"/>
        </w:rPr>
        <w:t>O zachowaniu terminu decyduje dzień wpływu uzupełnienia braków formalnych do urzędu obsługującego ministra właściwego do spraw zdrowia.</w:t>
      </w:r>
    </w:p>
    <w:p w14:paraId="6F0A9AB5" w14:textId="11C2518B" w:rsidR="006779F9" w:rsidRPr="00846A68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846A68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846A68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ryteriami oceny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ofert opisanymi w p</w:t>
      </w:r>
      <w:r w:rsidR="00CE653F" w:rsidRPr="00846A68">
        <w:rPr>
          <w:rFonts w:ascii="Lato" w:hAnsi="Lato" w:cs="Arial"/>
          <w:sz w:val="20"/>
          <w:szCs w:val="20"/>
        </w:rPr>
        <w:t>kt.</w:t>
      </w:r>
      <w:r w:rsidRPr="00846A68">
        <w:rPr>
          <w:rFonts w:ascii="Lato" w:hAnsi="Lato" w:cs="Arial"/>
          <w:sz w:val="20"/>
          <w:szCs w:val="20"/>
        </w:rPr>
        <w:t xml:space="preserve"> VII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 przypadku uzyskania przez różnych Oferentów takiej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samej liczby punktów</w:t>
      </w:r>
      <w:r w:rsidR="000A4619" w:rsidRPr="00846A68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846A68">
        <w:rPr>
          <w:rFonts w:ascii="Lato" w:hAnsi="Lato" w:cs="Arial"/>
          <w:sz w:val="20"/>
          <w:szCs w:val="20"/>
        </w:rPr>
        <w:t>, kryterium rozstrzygającym będzie</w:t>
      </w:r>
      <w:r w:rsidR="00F109B7" w:rsidRPr="00846A68">
        <w:rPr>
          <w:rFonts w:ascii="Lato" w:hAnsi="Lato" w:cs="Arial"/>
          <w:sz w:val="20"/>
          <w:szCs w:val="20"/>
        </w:rPr>
        <w:t xml:space="preserve"> </w:t>
      </w:r>
      <w:r w:rsidR="00775D50" w:rsidRPr="00846A68">
        <w:rPr>
          <w:rFonts w:ascii="Lato" w:hAnsi="Lato" w:cs="Arial"/>
          <w:sz w:val="20"/>
          <w:szCs w:val="20"/>
        </w:rPr>
        <w:t>liczb</w:t>
      </w:r>
      <w:r w:rsidR="003301BC" w:rsidRPr="00846A68">
        <w:rPr>
          <w:rFonts w:ascii="Lato" w:hAnsi="Lato" w:cs="Arial"/>
          <w:sz w:val="20"/>
          <w:szCs w:val="20"/>
        </w:rPr>
        <w:t xml:space="preserve">a </w:t>
      </w:r>
      <w:r w:rsidR="0056652C" w:rsidRPr="00846A68">
        <w:rPr>
          <w:rFonts w:ascii="Lato" w:hAnsi="Lato" w:cs="Arial"/>
          <w:sz w:val="20"/>
          <w:szCs w:val="20"/>
        </w:rPr>
        <w:t>wykonanych przez Oferenta procedur perfuzji płuc w latach 20</w:t>
      </w:r>
      <w:r w:rsidR="000978D4" w:rsidRPr="00846A68">
        <w:rPr>
          <w:rFonts w:ascii="Lato" w:hAnsi="Lato" w:cs="Arial"/>
          <w:sz w:val="20"/>
          <w:szCs w:val="20"/>
        </w:rPr>
        <w:t>2</w:t>
      </w:r>
      <w:r w:rsidR="00B9467F" w:rsidRPr="00846A68">
        <w:rPr>
          <w:rFonts w:ascii="Lato" w:hAnsi="Lato" w:cs="Arial"/>
          <w:sz w:val="20"/>
          <w:szCs w:val="20"/>
        </w:rPr>
        <w:t>1</w:t>
      </w:r>
      <w:r w:rsidR="0056652C" w:rsidRPr="00846A68">
        <w:rPr>
          <w:rFonts w:ascii="Lato" w:hAnsi="Lato" w:cs="Arial"/>
          <w:sz w:val="20"/>
          <w:szCs w:val="20"/>
        </w:rPr>
        <w:t>-202</w:t>
      </w:r>
      <w:r w:rsidR="007762E1">
        <w:rPr>
          <w:rFonts w:ascii="Lato" w:hAnsi="Lato" w:cs="Arial"/>
          <w:sz w:val="20"/>
          <w:szCs w:val="20"/>
        </w:rPr>
        <w:t>4</w:t>
      </w:r>
      <w:r w:rsidR="00CA07FF" w:rsidRPr="00846A68">
        <w:rPr>
          <w:rFonts w:ascii="Lato" w:hAnsi="Lato" w:cs="Arial"/>
          <w:sz w:val="20"/>
          <w:szCs w:val="20"/>
        </w:rPr>
        <w:t>.</w:t>
      </w:r>
    </w:p>
    <w:p w14:paraId="4553994C" w14:textId="012C8A33" w:rsidR="006779F9" w:rsidRDefault="00485AD7" w:rsidP="00326B4F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wykorzystaniu wskazanych w ofercie danych kontaktowych (adres e-mail/ ePUAP).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 xml:space="preserve">Wyjaśnienia należy przekazać elektronicznie poprzez przesłanie wyjaśnień w formie pliku </w:t>
      </w:r>
      <w:r w:rsidR="007762E1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>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za pośrednictwem skrzynki ePUAP Ministerstwa Zdrowia</w:t>
      </w:r>
      <w:r w:rsidR="00F013C5" w:rsidRPr="00F013C5">
        <w:rPr>
          <w:rFonts w:ascii="Lato" w:hAnsi="Lato" w:cs="Arial"/>
          <w:sz w:val="20"/>
          <w:szCs w:val="20"/>
          <w:vertAlign w:val="superscript"/>
        </w:rPr>
        <w:t>7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6B45DD15" w14:textId="77777777" w:rsidR="00F013C5" w:rsidRPr="00655A51" w:rsidRDefault="00F013C5" w:rsidP="00F013C5">
      <w:pPr>
        <w:pStyle w:val="Akapitzlist"/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</w:p>
    <w:p w14:paraId="332CD90B" w14:textId="6FE7E3A6" w:rsidR="006779F9" w:rsidRPr="00846A68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4B44857" w14:textId="77777777" w:rsidR="00F013C5" w:rsidRDefault="00F013C5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C3A1804" w14:textId="1F2B5586" w:rsid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p w14:paraId="3ADCA438" w14:textId="77777777" w:rsidR="007762E1" w:rsidRDefault="007762E1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0E2CBADC" w14:textId="77777777" w:rsidR="007762E1" w:rsidRPr="00846A68" w:rsidRDefault="007762E1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219DE4BF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08720A4C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18130C02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płuc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  <w:p w14:paraId="7726276A" w14:textId="412789D1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płuc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048D2EA1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2.</w:t>
            </w:r>
          </w:p>
        </w:tc>
        <w:tc>
          <w:tcPr>
            <w:tcW w:w="7088" w:type="dxa"/>
          </w:tcPr>
          <w:p w14:paraId="35878318" w14:textId="26D56EAE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zakwalifikowanych biorców płuc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01DFF977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1A2E8534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płuc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  <w:p w14:paraId="1FDF1572" w14:textId="53723390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>płuc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Align w:val="center"/>
          </w:tcPr>
          <w:p w14:paraId="337D37DB" w14:textId="2E1248E7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 </w:t>
            </w:r>
            <w:r w:rsidR="007762E1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481A92D4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3.</w:t>
            </w:r>
          </w:p>
        </w:tc>
        <w:tc>
          <w:tcPr>
            <w:tcW w:w="7088" w:type="dxa"/>
          </w:tcPr>
          <w:p w14:paraId="28488E1C" w14:textId="61E2DBB4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procedur perfuzji płuc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7762E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015A402E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5713721D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>wykonanych przez Oferenta procedur perfuzji płuc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AD69E3">
              <w:rPr>
                <w:rFonts w:ascii="Lato" w:hAnsi="Lato" w:cs="Arial"/>
                <w:sz w:val="18"/>
                <w:szCs w:val="18"/>
              </w:rPr>
              <w:t>4</w:t>
            </w:r>
            <w:r w:rsidR="009B731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46E6ED05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perfuzji płuc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AD69E3">
              <w:rPr>
                <w:rFonts w:ascii="Lato" w:hAnsi="Lato" w:cs="Arial"/>
                <w:sz w:val="18"/>
                <w:szCs w:val="18"/>
              </w:rPr>
              <w:t>4</w:t>
            </w:r>
            <w:r w:rsidR="009B7319" w:rsidRPr="009B7319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165D1B0E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4C9800AF" w:rsidR="00E13208" w:rsidRPr="00846A68" w:rsidRDefault="00AB12CB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35</w:t>
            </w:r>
          </w:p>
        </w:tc>
      </w:tr>
    </w:tbl>
    <w:p w14:paraId="6D734439" w14:textId="77777777" w:rsidR="00C01BEF" w:rsidRPr="00846A68" w:rsidRDefault="00C01BEF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4012F203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2476EBF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9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F013C5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3DDF9A5F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Warunków Umowy 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01483B8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lastRenderedPageBreak/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formie pliku z rozszerzeniem „.pdf” 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PAdES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imieniu Oferenta. We wniosku powinien być zawarty numer 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osoby właściwej w sprawie udzielenia uzupełniających wyjaśnień. 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6A13B63E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oraz </w:t>
      </w:r>
      <w:r w:rsidR="00846A68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684D6891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przypadku gdy Oferent nie zostanie wskazany na liście ofert, które wpłynęły w ramach postępowania (pomimo złożenia oferty) zobowiązany jest do niezwłocznego powiadomienia 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10428EBA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F013C5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0A51980C" w14:textId="7B8B9155" w:rsidR="006779F9" w:rsidRPr="00846A68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braków formalnych</w:t>
      </w:r>
      <w:r w:rsidR="00180102" w:rsidRPr="00846A68">
        <w:rPr>
          <w:rFonts w:ascii="Lato" w:hAnsi="Lato" w:cs="Arial"/>
          <w:sz w:val="20"/>
          <w:szCs w:val="20"/>
        </w:rPr>
        <w:t>,</w:t>
      </w:r>
    </w:p>
    <w:p w14:paraId="18CB4D4E" w14:textId="7C873710" w:rsidR="00B87090" w:rsidRPr="00846A68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oraz informacj</w:t>
      </w:r>
      <w:r w:rsidR="00180102" w:rsidRPr="00846A68">
        <w:rPr>
          <w:rFonts w:ascii="Lato" w:hAnsi="Lato" w:cs="Arial"/>
          <w:sz w:val="20"/>
          <w:szCs w:val="20"/>
        </w:rPr>
        <w:t>ę</w:t>
      </w:r>
      <w:r w:rsidRPr="00846A68">
        <w:rPr>
          <w:rFonts w:ascii="Lato" w:hAnsi="Lato" w:cs="Arial"/>
          <w:sz w:val="20"/>
          <w:szCs w:val="20"/>
        </w:rPr>
        <w:t xml:space="preserve"> o: </w:t>
      </w:r>
    </w:p>
    <w:p w14:paraId="4A615ED6" w14:textId="1F2E869D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terminie 5 dni roboczych od dnia ukazania się listy ofert niespełniających warunków formalnych, w którym Oferent może uzupełnić braki formalne, poprzez przekazanie uzupełnienia oferty za pośrednictwem Platformy. Bieg terminu rozpoczyna się od dnia następującego po dniu ukazania się listy ofert niespełniających warunków formalnych,</w:t>
      </w:r>
    </w:p>
    <w:p w14:paraId="148005BF" w14:textId="04EC63DF" w:rsidR="00B87090" w:rsidRPr="008D132D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 w:rsidRPr="008D132D">
        <w:rPr>
          <w:rFonts w:ascii="Lato" w:hAnsi="Lato" w:cs="Arial"/>
          <w:sz w:val="20"/>
          <w:szCs w:val="20"/>
        </w:rPr>
        <w:t>O</w:t>
      </w:r>
      <w:r w:rsidRPr="008D132D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30CC706A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6" w:name="_Hlk140741151"/>
      <w:r w:rsidRPr="008D132D">
        <w:rPr>
          <w:rFonts w:ascii="Lato" w:hAnsi="Lato" w:cs="Arial"/>
          <w:sz w:val="20"/>
          <w:szCs w:val="20"/>
        </w:rPr>
        <w:lastRenderedPageBreak/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6"/>
    </w:p>
    <w:p w14:paraId="6B202E97" w14:textId="22004B09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wnieść do Komisji </w:t>
      </w:r>
      <w:r w:rsidR="003E1E30" w:rsidRPr="00846A68">
        <w:rPr>
          <w:rFonts w:ascii="Lato" w:hAnsi="Lato" w:cs="Arial"/>
          <w:sz w:val="20"/>
          <w:szCs w:val="20"/>
        </w:rPr>
        <w:t xml:space="preserve">Konkursowej </w:t>
      </w:r>
      <w:r w:rsidRPr="00846A68">
        <w:rPr>
          <w:rFonts w:ascii="Lato" w:hAnsi="Lato" w:cs="Arial"/>
          <w:sz w:val="20"/>
          <w:szCs w:val="20"/>
        </w:rPr>
        <w:t>odwołanie, w formie pisemnej, w</w:t>
      </w:r>
      <w:r w:rsidR="00CD27D4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terminie 5 dni roboczych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od dnia ogłoszenia o wynikach konkursu ofert. O</w:t>
      </w:r>
      <w:r w:rsidR="007E633B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zachowaniu terminu wniesienia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odwołania decyduje dzień jego wpływu do urzędu obsługującego ministra właściwego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spraw zdrowia. Wniesienie odwołania wstrzymuje zakończenie konkursu ofert do czasu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jego rozstrzygnięcia. Komisja</w:t>
      </w:r>
      <w:r w:rsidR="003E1E30" w:rsidRPr="00846A68">
        <w:rPr>
          <w:rFonts w:ascii="Lato" w:hAnsi="Lato" w:cs="Arial"/>
          <w:sz w:val="20"/>
          <w:szCs w:val="20"/>
        </w:rPr>
        <w:t xml:space="preserve"> Konkursowa</w:t>
      </w:r>
      <w:r w:rsidRPr="00846A68">
        <w:rPr>
          <w:rFonts w:ascii="Lato" w:hAnsi="Lato" w:cs="Arial"/>
          <w:sz w:val="20"/>
          <w:szCs w:val="20"/>
        </w:rPr>
        <w:t xml:space="preserve"> zamieszcza ogłoszenie o</w:t>
      </w:r>
      <w:r w:rsidR="00036DD5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zakończeniu konkursu ofert albo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ogłoszenie o</w:t>
      </w:r>
      <w:r w:rsidR="007E633B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wpływie odwołania, na stronie internetowej urzędu i stronie podmiotowej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Biuletynu Informacji Publicznej, podając datę zakończenia konkursu ofert albo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spodziewaną datę zakończenia prac dotyczących rozstrzygnięcia odwołania. Po uzyskaniu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akceptacji ministra właściwego do spraw zdrowia wniosku o akceptację sposobu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rozstrzygnięcia odwołania</w:t>
      </w:r>
      <w:r w:rsidR="00D80D9A" w:rsidRPr="00846A68">
        <w:rPr>
          <w:rFonts w:ascii="Lato" w:hAnsi="Lato" w:cs="Arial"/>
          <w:sz w:val="20"/>
          <w:szCs w:val="20"/>
        </w:rPr>
        <w:t>,</w:t>
      </w:r>
      <w:r w:rsidRPr="00846A68">
        <w:rPr>
          <w:rFonts w:ascii="Lato" w:hAnsi="Lato" w:cs="Arial"/>
          <w:sz w:val="20"/>
          <w:szCs w:val="20"/>
        </w:rPr>
        <w:t xml:space="preserve"> Komisja </w:t>
      </w:r>
      <w:r w:rsidR="003E1E30" w:rsidRPr="00846A68">
        <w:rPr>
          <w:rFonts w:ascii="Lato" w:hAnsi="Lato" w:cs="Arial"/>
          <w:sz w:val="20"/>
          <w:szCs w:val="20"/>
        </w:rPr>
        <w:t xml:space="preserve">Konkursowa </w:t>
      </w:r>
      <w:r w:rsidRPr="00846A68">
        <w:rPr>
          <w:rFonts w:ascii="Lato" w:hAnsi="Lato" w:cs="Arial"/>
          <w:sz w:val="20"/>
          <w:szCs w:val="20"/>
        </w:rPr>
        <w:t xml:space="preserve">niezwłocznie umieszcza </w:t>
      </w:r>
      <w:r w:rsidR="00AD69E3" w:rsidRPr="00846A68">
        <w:rPr>
          <w:rFonts w:ascii="Lato" w:hAnsi="Lato" w:cs="Arial"/>
          <w:sz w:val="20"/>
          <w:szCs w:val="20"/>
        </w:rPr>
        <w:t>na stronie</w:t>
      </w:r>
      <w:r w:rsidRPr="00846A68">
        <w:rPr>
          <w:rFonts w:ascii="Lato" w:hAnsi="Lato" w:cs="Arial"/>
          <w:sz w:val="20"/>
          <w:szCs w:val="20"/>
        </w:rPr>
        <w:t xml:space="preserve"> internetowej</w:t>
      </w:r>
      <w:r w:rsidR="00CD27D4" w:rsidRPr="00846A68">
        <w:rPr>
          <w:rFonts w:ascii="Lato" w:hAnsi="Lato" w:cs="Arial"/>
          <w:sz w:val="20"/>
          <w:szCs w:val="20"/>
        </w:rPr>
        <w:t xml:space="preserve"> urzędu oraz </w:t>
      </w:r>
      <w:r w:rsidR="006F26B0" w:rsidRPr="00846A68">
        <w:rPr>
          <w:rFonts w:ascii="Lato" w:hAnsi="Lato" w:cs="Arial"/>
          <w:sz w:val="20"/>
          <w:szCs w:val="20"/>
        </w:rPr>
        <w:t xml:space="preserve"> </w:t>
      </w:r>
      <w:r w:rsidR="00CD27D4" w:rsidRPr="00846A68">
        <w:rPr>
          <w:rFonts w:ascii="Lato" w:hAnsi="Lato" w:cs="Arial"/>
          <w:sz w:val="20"/>
          <w:szCs w:val="20"/>
        </w:rPr>
        <w:t>Biuletynu Informacji Publicznej Ministerstwa Zdrowia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ogłoszenie o</w:t>
      </w:r>
      <w:r w:rsidR="00CD27D4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50A5B5BB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Informacja 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7F895D95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>Wysokość przyznanych środków może być niższa niż wnioskowana w ofercie konkursowej.</w:t>
      </w:r>
    </w:p>
    <w:p w14:paraId="00594C28" w14:textId="0293FB07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3BBB7" w14:textId="77777777" w:rsidR="00BC09F9" w:rsidRDefault="00BC09F9" w:rsidP="006779F9">
      <w:pPr>
        <w:spacing w:after="0" w:line="240" w:lineRule="auto"/>
      </w:pPr>
      <w:r>
        <w:separator/>
      </w:r>
    </w:p>
  </w:endnote>
  <w:endnote w:type="continuationSeparator" w:id="0">
    <w:p w14:paraId="3C398A27" w14:textId="77777777" w:rsidR="00BC09F9" w:rsidRDefault="00BC09F9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2B8E8" w14:textId="77777777" w:rsidR="00BC09F9" w:rsidRDefault="00BC09F9" w:rsidP="006779F9">
      <w:pPr>
        <w:spacing w:after="0" w:line="240" w:lineRule="auto"/>
      </w:pPr>
      <w:r>
        <w:separator/>
      </w:r>
    </w:p>
  </w:footnote>
  <w:footnote w:type="continuationSeparator" w:id="0">
    <w:p w14:paraId="727401F0" w14:textId="77777777" w:rsidR="00BC09F9" w:rsidRDefault="00BC09F9" w:rsidP="006779F9">
      <w:pPr>
        <w:spacing w:after="0" w:line="240" w:lineRule="auto"/>
      </w:pPr>
      <w:r>
        <w:continuationSeparator/>
      </w:r>
    </w:p>
  </w:footnote>
  <w:footnote w:id="1">
    <w:p w14:paraId="6BC09289" w14:textId="185E16D9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4B4C59" w:rsidRPr="00846A68">
        <w:rPr>
          <w:rFonts w:ascii="Lato" w:hAnsi="Lato" w:cs="Arial"/>
          <w:sz w:val="16"/>
          <w:szCs w:val="16"/>
        </w:rPr>
        <w:t>,</w:t>
      </w:r>
      <w:r w:rsidRPr="00846A68">
        <w:rPr>
          <w:rFonts w:ascii="Lato" w:hAnsi="Lato" w:cs="Arial"/>
          <w:sz w:val="16"/>
          <w:szCs w:val="16"/>
        </w:rPr>
        <w:t xml:space="preserve"> 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72E1B7F1" w14:textId="1901D395" w:rsidR="00236B6A" w:rsidRPr="00F765D5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 w:rsidR="007762E1"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585A9E72" w14:textId="77777777" w:rsidR="00236B6A" w:rsidRPr="00423D0C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elektronicznej skrzynki podawczej ePUAP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384E0E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84E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E0E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Przez </w:t>
      </w:r>
      <w:r w:rsidR="004B01FC" w:rsidRPr="00846A68">
        <w:rPr>
          <w:rFonts w:ascii="Lato" w:hAnsi="Lato" w:cs="Arial"/>
          <w:sz w:val="16"/>
          <w:szCs w:val="16"/>
        </w:rPr>
        <w:t>R</w:t>
      </w:r>
      <w:r w:rsidRPr="00846A68">
        <w:rPr>
          <w:rFonts w:ascii="Lato" w:hAnsi="Lato" w:cs="Arial"/>
          <w:sz w:val="16"/>
          <w:szCs w:val="16"/>
        </w:rPr>
        <w:t>ealizatora należy rozumieć podmiot, który został wyłoniony w postępowaniu konkursowym</w:t>
      </w:r>
      <w:r w:rsidR="00532215" w:rsidRPr="00846A68">
        <w:rPr>
          <w:rFonts w:ascii="Lato" w:hAnsi="Lato" w:cs="Arial"/>
          <w:sz w:val="16"/>
          <w:szCs w:val="16"/>
        </w:rPr>
        <w:t xml:space="preserve"> oraz</w:t>
      </w:r>
      <w:r w:rsidRPr="00846A68">
        <w:rPr>
          <w:rFonts w:ascii="Lato" w:hAnsi="Lato" w:cs="Arial"/>
          <w:sz w:val="16"/>
          <w:szCs w:val="16"/>
        </w:rPr>
        <w:t xml:space="preserve"> zawarł umowę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realizację zadania</w:t>
      </w:r>
      <w:r w:rsidR="004D6547" w:rsidRPr="00846A68">
        <w:rPr>
          <w:rFonts w:ascii="Lato" w:hAnsi="Lato" w:cs="Arial"/>
          <w:sz w:val="16"/>
          <w:szCs w:val="16"/>
        </w:rPr>
        <w:t>.</w:t>
      </w:r>
    </w:p>
  </w:footnote>
  <w:footnote w:id="6">
    <w:p w14:paraId="2EE851D3" w14:textId="679D9189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F12F57" w:rsidRPr="00846A68">
        <w:rPr>
          <w:rFonts w:ascii="Lato" w:hAnsi="Lato" w:cs="Arial"/>
          <w:sz w:val="16"/>
          <w:szCs w:val="16"/>
        </w:rPr>
        <w:t>Z</w:t>
      </w:r>
      <w:r w:rsidRPr="00846A68">
        <w:rPr>
          <w:rFonts w:ascii="Lato" w:hAnsi="Lato" w:cs="Arial"/>
          <w:sz w:val="16"/>
          <w:szCs w:val="16"/>
        </w:rPr>
        <w:t xml:space="preserve"> dnia 25 kwietnia 2018 r. (Dz. Urz. Min. Zdrow. poz. 30, z późn. zm.)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77777777" w:rsidR="00655A51" w:rsidRPr="00485AD7" w:rsidRDefault="00655A51" w:rsidP="00655A5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>Wyłącznie w przypadku problemów technicznych dotyczących elektronicznej skrzynki podawczej ePUAP, uzupełnienie braków formalnych można złożyć za pomocą poczty elektronicznej na adres dep-</w:t>
      </w:r>
      <w:r>
        <w:rPr>
          <w:rFonts w:ascii="Arial" w:eastAsia="Arial" w:hAnsi="Arial" w:cs="Arial"/>
          <w:sz w:val="16"/>
          <w:szCs w:val="16"/>
        </w:rPr>
        <w:t>dl</w:t>
      </w:r>
      <w:r w:rsidRPr="00BA332E">
        <w:rPr>
          <w:rFonts w:ascii="Arial" w:eastAsia="Arial" w:hAnsi="Arial" w:cs="Arial"/>
          <w:sz w:val="16"/>
          <w:szCs w:val="16"/>
        </w:rPr>
        <w:t>@mz.gov.pl.</w:t>
      </w:r>
    </w:p>
  </w:footnote>
  <w:footnote w:id="8">
    <w:p w14:paraId="0515C1A1" w14:textId="4BD800BB" w:rsidR="00C50B26" w:rsidRPr="00AD69E3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Wyżej punktowani będą Oferenci, którzy </w:t>
      </w:r>
      <w:r w:rsidR="00C07D42"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przedstawili wyższe dane liczbowe w ramach poszczególnych kryteriów</w:t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.</w:t>
      </w:r>
    </w:p>
  </w:footnote>
  <w:footnote w:id="9">
    <w:p w14:paraId="200DA7B1" w14:textId="77777777" w:rsidR="009B7319" w:rsidRDefault="009B7319" w:rsidP="009B7319">
      <w:pPr>
        <w:pStyle w:val="Tekstprzypisudolnego"/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Fonts w:ascii="Arial" w:hAnsi="Arial" w:cs="Arial"/>
          <w:sz w:val="16"/>
          <w:szCs w:val="16"/>
        </w:rPr>
        <w:t xml:space="preserve"> Do dnia złożenia oferty.</w:t>
      </w:r>
    </w:p>
  </w:footnote>
  <w:footnote w:id="10">
    <w:p w14:paraId="52409B35" w14:textId="267A2699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>godnie z par 6 ust 5 pkt 9 zarządzenia Ministra Zdrowia z dnia 25 kwietnia 2018  w sprawie prowadzenia prac nad opracowaniem i realizacją programów polityki zdrowotnej oraz wyłaniania realizatorów innych programów realizowanych przez ministra właściwego do spraw zdrowia . (Dz. Urz. Min. Zdrow. poz. 30,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C3C"/>
    <w:rsid w:val="000132E3"/>
    <w:rsid w:val="00021546"/>
    <w:rsid w:val="00026D26"/>
    <w:rsid w:val="0003069F"/>
    <w:rsid w:val="00033229"/>
    <w:rsid w:val="00036B80"/>
    <w:rsid w:val="00036DD5"/>
    <w:rsid w:val="00043F6C"/>
    <w:rsid w:val="00050421"/>
    <w:rsid w:val="00050807"/>
    <w:rsid w:val="00050CF1"/>
    <w:rsid w:val="000539F6"/>
    <w:rsid w:val="000574DD"/>
    <w:rsid w:val="00060687"/>
    <w:rsid w:val="00060C0E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B6164"/>
    <w:rsid w:val="000C0A68"/>
    <w:rsid w:val="000C1243"/>
    <w:rsid w:val="000C166E"/>
    <w:rsid w:val="000C564A"/>
    <w:rsid w:val="000C5ABA"/>
    <w:rsid w:val="000D7A7E"/>
    <w:rsid w:val="000E3994"/>
    <w:rsid w:val="000E594A"/>
    <w:rsid w:val="000F0E2D"/>
    <w:rsid w:val="00100C35"/>
    <w:rsid w:val="00104039"/>
    <w:rsid w:val="001124CF"/>
    <w:rsid w:val="00114858"/>
    <w:rsid w:val="001231D6"/>
    <w:rsid w:val="00123661"/>
    <w:rsid w:val="001261FA"/>
    <w:rsid w:val="00131144"/>
    <w:rsid w:val="001346BA"/>
    <w:rsid w:val="0013510A"/>
    <w:rsid w:val="001425FA"/>
    <w:rsid w:val="00144C4D"/>
    <w:rsid w:val="00146767"/>
    <w:rsid w:val="00153701"/>
    <w:rsid w:val="00155032"/>
    <w:rsid w:val="0016123D"/>
    <w:rsid w:val="0016662B"/>
    <w:rsid w:val="00180102"/>
    <w:rsid w:val="00187D83"/>
    <w:rsid w:val="00191B03"/>
    <w:rsid w:val="001927B1"/>
    <w:rsid w:val="00193276"/>
    <w:rsid w:val="00194E9B"/>
    <w:rsid w:val="00195094"/>
    <w:rsid w:val="001A5300"/>
    <w:rsid w:val="001B243C"/>
    <w:rsid w:val="001B5ABA"/>
    <w:rsid w:val="001B6F98"/>
    <w:rsid w:val="001C3EB7"/>
    <w:rsid w:val="001D0B44"/>
    <w:rsid w:val="001D13F4"/>
    <w:rsid w:val="001D1457"/>
    <w:rsid w:val="001D2356"/>
    <w:rsid w:val="001D62B6"/>
    <w:rsid w:val="001D77CA"/>
    <w:rsid w:val="001F4299"/>
    <w:rsid w:val="001F7526"/>
    <w:rsid w:val="00201479"/>
    <w:rsid w:val="0020236B"/>
    <w:rsid w:val="002046F6"/>
    <w:rsid w:val="00204FA8"/>
    <w:rsid w:val="00205725"/>
    <w:rsid w:val="002076FE"/>
    <w:rsid w:val="0021237D"/>
    <w:rsid w:val="002152DF"/>
    <w:rsid w:val="002276F8"/>
    <w:rsid w:val="00232737"/>
    <w:rsid w:val="00234142"/>
    <w:rsid w:val="00236B6A"/>
    <w:rsid w:val="0023758C"/>
    <w:rsid w:val="002432B4"/>
    <w:rsid w:val="00250BBF"/>
    <w:rsid w:val="0025655D"/>
    <w:rsid w:val="002565CB"/>
    <w:rsid w:val="00261F5A"/>
    <w:rsid w:val="00262CBA"/>
    <w:rsid w:val="0026329E"/>
    <w:rsid w:val="00264F1F"/>
    <w:rsid w:val="00273FE0"/>
    <w:rsid w:val="00275520"/>
    <w:rsid w:val="00275789"/>
    <w:rsid w:val="00281C8C"/>
    <w:rsid w:val="00282D01"/>
    <w:rsid w:val="00290045"/>
    <w:rsid w:val="00293A6F"/>
    <w:rsid w:val="00293CAC"/>
    <w:rsid w:val="0029430B"/>
    <w:rsid w:val="002971CB"/>
    <w:rsid w:val="002A32B2"/>
    <w:rsid w:val="002A5349"/>
    <w:rsid w:val="002A614C"/>
    <w:rsid w:val="002A7D5F"/>
    <w:rsid w:val="002D2A90"/>
    <w:rsid w:val="002D2E55"/>
    <w:rsid w:val="002D41E5"/>
    <w:rsid w:val="002F1783"/>
    <w:rsid w:val="002F4C75"/>
    <w:rsid w:val="0030221A"/>
    <w:rsid w:val="003065DE"/>
    <w:rsid w:val="00313630"/>
    <w:rsid w:val="00326B4F"/>
    <w:rsid w:val="003301BC"/>
    <w:rsid w:val="00334B13"/>
    <w:rsid w:val="00335385"/>
    <w:rsid w:val="00336C7D"/>
    <w:rsid w:val="00337EA8"/>
    <w:rsid w:val="003475F8"/>
    <w:rsid w:val="0036148C"/>
    <w:rsid w:val="00364B9A"/>
    <w:rsid w:val="00366AF7"/>
    <w:rsid w:val="00366DA7"/>
    <w:rsid w:val="00372CFB"/>
    <w:rsid w:val="00375229"/>
    <w:rsid w:val="003753FD"/>
    <w:rsid w:val="00377DE2"/>
    <w:rsid w:val="00377FA8"/>
    <w:rsid w:val="0038198C"/>
    <w:rsid w:val="00386C5E"/>
    <w:rsid w:val="003B0268"/>
    <w:rsid w:val="003B1218"/>
    <w:rsid w:val="003B22F5"/>
    <w:rsid w:val="003B6F91"/>
    <w:rsid w:val="003C69C3"/>
    <w:rsid w:val="003C7080"/>
    <w:rsid w:val="003C7BB0"/>
    <w:rsid w:val="003D1E1D"/>
    <w:rsid w:val="003D67E2"/>
    <w:rsid w:val="003D7DD9"/>
    <w:rsid w:val="003E1E30"/>
    <w:rsid w:val="003E63F6"/>
    <w:rsid w:val="003E7D59"/>
    <w:rsid w:val="00400C2D"/>
    <w:rsid w:val="00400CE9"/>
    <w:rsid w:val="00413347"/>
    <w:rsid w:val="0041385B"/>
    <w:rsid w:val="00415A42"/>
    <w:rsid w:val="00423AB7"/>
    <w:rsid w:val="00423C70"/>
    <w:rsid w:val="004315BC"/>
    <w:rsid w:val="0043644A"/>
    <w:rsid w:val="00436CBF"/>
    <w:rsid w:val="004477CE"/>
    <w:rsid w:val="0045218B"/>
    <w:rsid w:val="0045452B"/>
    <w:rsid w:val="0045502C"/>
    <w:rsid w:val="0046423D"/>
    <w:rsid w:val="00465BE2"/>
    <w:rsid w:val="00466DB0"/>
    <w:rsid w:val="0046726E"/>
    <w:rsid w:val="00470AB1"/>
    <w:rsid w:val="0047720F"/>
    <w:rsid w:val="0048195F"/>
    <w:rsid w:val="00483920"/>
    <w:rsid w:val="00485AD7"/>
    <w:rsid w:val="004911D8"/>
    <w:rsid w:val="00492EDF"/>
    <w:rsid w:val="004973C9"/>
    <w:rsid w:val="004974CE"/>
    <w:rsid w:val="004A4A2A"/>
    <w:rsid w:val="004A567F"/>
    <w:rsid w:val="004B01FC"/>
    <w:rsid w:val="004B4C59"/>
    <w:rsid w:val="004B4D49"/>
    <w:rsid w:val="004B66C7"/>
    <w:rsid w:val="004D2353"/>
    <w:rsid w:val="004D5D5F"/>
    <w:rsid w:val="004D602C"/>
    <w:rsid w:val="004D6547"/>
    <w:rsid w:val="004E092B"/>
    <w:rsid w:val="004E12CA"/>
    <w:rsid w:val="004E5B7A"/>
    <w:rsid w:val="004F2C0B"/>
    <w:rsid w:val="004F3C9A"/>
    <w:rsid w:val="00504A69"/>
    <w:rsid w:val="0050581F"/>
    <w:rsid w:val="005069F7"/>
    <w:rsid w:val="0051157E"/>
    <w:rsid w:val="005124F0"/>
    <w:rsid w:val="005130F1"/>
    <w:rsid w:val="00517F35"/>
    <w:rsid w:val="005215BE"/>
    <w:rsid w:val="00522C07"/>
    <w:rsid w:val="005242B0"/>
    <w:rsid w:val="0052431B"/>
    <w:rsid w:val="0052690D"/>
    <w:rsid w:val="00531AD2"/>
    <w:rsid w:val="00532215"/>
    <w:rsid w:val="005345EA"/>
    <w:rsid w:val="00535088"/>
    <w:rsid w:val="00560AC9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9649A"/>
    <w:rsid w:val="00597D9E"/>
    <w:rsid w:val="005C181A"/>
    <w:rsid w:val="005C36CE"/>
    <w:rsid w:val="005C3F04"/>
    <w:rsid w:val="005C4FD1"/>
    <w:rsid w:val="005C7076"/>
    <w:rsid w:val="005C7BEF"/>
    <w:rsid w:val="005E0A59"/>
    <w:rsid w:val="005E2587"/>
    <w:rsid w:val="005F0074"/>
    <w:rsid w:val="005F0CDB"/>
    <w:rsid w:val="005F1367"/>
    <w:rsid w:val="0061139A"/>
    <w:rsid w:val="00611C43"/>
    <w:rsid w:val="006256A0"/>
    <w:rsid w:val="006260B3"/>
    <w:rsid w:val="00626BCB"/>
    <w:rsid w:val="006270BC"/>
    <w:rsid w:val="00627FDC"/>
    <w:rsid w:val="00632A23"/>
    <w:rsid w:val="006360A7"/>
    <w:rsid w:val="0065578F"/>
    <w:rsid w:val="00655A51"/>
    <w:rsid w:val="00664374"/>
    <w:rsid w:val="00666368"/>
    <w:rsid w:val="00666555"/>
    <w:rsid w:val="00673E8C"/>
    <w:rsid w:val="00675061"/>
    <w:rsid w:val="006779F9"/>
    <w:rsid w:val="00683D35"/>
    <w:rsid w:val="0068564C"/>
    <w:rsid w:val="006922AD"/>
    <w:rsid w:val="00695168"/>
    <w:rsid w:val="00696B66"/>
    <w:rsid w:val="00696FF2"/>
    <w:rsid w:val="006979B1"/>
    <w:rsid w:val="006A0C55"/>
    <w:rsid w:val="006A2940"/>
    <w:rsid w:val="006B7FA7"/>
    <w:rsid w:val="006C598F"/>
    <w:rsid w:val="006D2706"/>
    <w:rsid w:val="006E3EEE"/>
    <w:rsid w:val="006E4602"/>
    <w:rsid w:val="006E546B"/>
    <w:rsid w:val="006F26B0"/>
    <w:rsid w:val="006F28D8"/>
    <w:rsid w:val="00705368"/>
    <w:rsid w:val="007118EE"/>
    <w:rsid w:val="00717F05"/>
    <w:rsid w:val="00730E88"/>
    <w:rsid w:val="00733EEE"/>
    <w:rsid w:val="00740BA5"/>
    <w:rsid w:val="00741EAD"/>
    <w:rsid w:val="00744830"/>
    <w:rsid w:val="007513BD"/>
    <w:rsid w:val="00752D0B"/>
    <w:rsid w:val="00753233"/>
    <w:rsid w:val="00754555"/>
    <w:rsid w:val="00756618"/>
    <w:rsid w:val="00757203"/>
    <w:rsid w:val="00757DC1"/>
    <w:rsid w:val="00775AC8"/>
    <w:rsid w:val="00775B10"/>
    <w:rsid w:val="00775D50"/>
    <w:rsid w:val="007762E1"/>
    <w:rsid w:val="007778CE"/>
    <w:rsid w:val="00780814"/>
    <w:rsid w:val="00780866"/>
    <w:rsid w:val="0078463B"/>
    <w:rsid w:val="0078590A"/>
    <w:rsid w:val="00791490"/>
    <w:rsid w:val="0079514E"/>
    <w:rsid w:val="007A1657"/>
    <w:rsid w:val="007A2D95"/>
    <w:rsid w:val="007A30CA"/>
    <w:rsid w:val="007A5698"/>
    <w:rsid w:val="007A6630"/>
    <w:rsid w:val="007A7F9C"/>
    <w:rsid w:val="007C6FA2"/>
    <w:rsid w:val="007D0F80"/>
    <w:rsid w:val="007D6014"/>
    <w:rsid w:val="007E633B"/>
    <w:rsid w:val="007F3A79"/>
    <w:rsid w:val="00803F7D"/>
    <w:rsid w:val="00805EF1"/>
    <w:rsid w:val="00812609"/>
    <w:rsid w:val="00812B65"/>
    <w:rsid w:val="00815E65"/>
    <w:rsid w:val="00817D84"/>
    <w:rsid w:val="008255BC"/>
    <w:rsid w:val="00826789"/>
    <w:rsid w:val="00827BA2"/>
    <w:rsid w:val="00832F57"/>
    <w:rsid w:val="00840C32"/>
    <w:rsid w:val="0084244A"/>
    <w:rsid w:val="00844C9D"/>
    <w:rsid w:val="00846370"/>
    <w:rsid w:val="008463A7"/>
    <w:rsid w:val="00846A1E"/>
    <w:rsid w:val="00846A68"/>
    <w:rsid w:val="00853C90"/>
    <w:rsid w:val="00853F8A"/>
    <w:rsid w:val="00857999"/>
    <w:rsid w:val="00857BE4"/>
    <w:rsid w:val="00864881"/>
    <w:rsid w:val="008678FD"/>
    <w:rsid w:val="008728E8"/>
    <w:rsid w:val="00875082"/>
    <w:rsid w:val="0087622C"/>
    <w:rsid w:val="00881A9D"/>
    <w:rsid w:val="00882961"/>
    <w:rsid w:val="0088332A"/>
    <w:rsid w:val="00891A66"/>
    <w:rsid w:val="008956D8"/>
    <w:rsid w:val="00896A77"/>
    <w:rsid w:val="008A5062"/>
    <w:rsid w:val="008A590B"/>
    <w:rsid w:val="008B00AB"/>
    <w:rsid w:val="008B2724"/>
    <w:rsid w:val="008B378E"/>
    <w:rsid w:val="008C1132"/>
    <w:rsid w:val="008C2B5D"/>
    <w:rsid w:val="008C5278"/>
    <w:rsid w:val="008C5855"/>
    <w:rsid w:val="008C609A"/>
    <w:rsid w:val="008D132D"/>
    <w:rsid w:val="008D3192"/>
    <w:rsid w:val="008D6892"/>
    <w:rsid w:val="008F04E9"/>
    <w:rsid w:val="008F0516"/>
    <w:rsid w:val="008F35E8"/>
    <w:rsid w:val="008F4523"/>
    <w:rsid w:val="00901380"/>
    <w:rsid w:val="00902D68"/>
    <w:rsid w:val="00913AF5"/>
    <w:rsid w:val="009171E6"/>
    <w:rsid w:val="009273E0"/>
    <w:rsid w:val="009320F1"/>
    <w:rsid w:val="00933679"/>
    <w:rsid w:val="00935A14"/>
    <w:rsid w:val="00936C1F"/>
    <w:rsid w:val="00936F70"/>
    <w:rsid w:val="00941D31"/>
    <w:rsid w:val="00960D20"/>
    <w:rsid w:val="00963712"/>
    <w:rsid w:val="009662AE"/>
    <w:rsid w:val="00985F64"/>
    <w:rsid w:val="0099392B"/>
    <w:rsid w:val="009A3F03"/>
    <w:rsid w:val="009A4EF7"/>
    <w:rsid w:val="009A5D6D"/>
    <w:rsid w:val="009B2ADE"/>
    <w:rsid w:val="009B4251"/>
    <w:rsid w:val="009B5E22"/>
    <w:rsid w:val="009B7319"/>
    <w:rsid w:val="009C54B6"/>
    <w:rsid w:val="009E0FA5"/>
    <w:rsid w:val="009E2365"/>
    <w:rsid w:val="009E5625"/>
    <w:rsid w:val="009E63B5"/>
    <w:rsid w:val="009F529A"/>
    <w:rsid w:val="00A0589B"/>
    <w:rsid w:val="00A05920"/>
    <w:rsid w:val="00A070ED"/>
    <w:rsid w:val="00A1107F"/>
    <w:rsid w:val="00A17D91"/>
    <w:rsid w:val="00A2111A"/>
    <w:rsid w:val="00A24494"/>
    <w:rsid w:val="00A24F55"/>
    <w:rsid w:val="00A2601E"/>
    <w:rsid w:val="00A42C51"/>
    <w:rsid w:val="00A44DF0"/>
    <w:rsid w:val="00A46CCA"/>
    <w:rsid w:val="00A473A1"/>
    <w:rsid w:val="00A50B75"/>
    <w:rsid w:val="00A50C9C"/>
    <w:rsid w:val="00A530FC"/>
    <w:rsid w:val="00A54F4E"/>
    <w:rsid w:val="00A5645C"/>
    <w:rsid w:val="00A57A3C"/>
    <w:rsid w:val="00A61C16"/>
    <w:rsid w:val="00A63D1A"/>
    <w:rsid w:val="00A63E13"/>
    <w:rsid w:val="00A70D14"/>
    <w:rsid w:val="00A72CED"/>
    <w:rsid w:val="00A75CEE"/>
    <w:rsid w:val="00A7621D"/>
    <w:rsid w:val="00A7675B"/>
    <w:rsid w:val="00A83F73"/>
    <w:rsid w:val="00A862D1"/>
    <w:rsid w:val="00A86350"/>
    <w:rsid w:val="00A90AE9"/>
    <w:rsid w:val="00A93035"/>
    <w:rsid w:val="00AA3401"/>
    <w:rsid w:val="00AA5E6A"/>
    <w:rsid w:val="00AB12CB"/>
    <w:rsid w:val="00AB5822"/>
    <w:rsid w:val="00AC0362"/>
    <w:rsid w:val="00AC0C9B"/>
    <w:rsid w:val="00AC2DE8"/>
    <w:rsid w:val="00AD0FF6"/>
    <w:rsid w:val="00AD3E33"/>
    <w:rsid w:val="00AD69E3"/>
    <w:rsid w:val="00AD6F3B"/>
    <w:rsid w:val="00AE0084"/>
    <w:rsid w:val="00AE31AC"/>
    <w:rsid w:val="00AE56FC"/>
    <w:rsid w:val="00AF32A7"/>
    <w:rsid w:val="00AF4D78"/>
    <w:rsid w:val="00B06026"/>
    <w:rsid w:val="00B13986"/>
    <w:rsid w:val="00B155B6"/>
    <w:rsid w:val="00B1783A"/>
    <w:rsid w:val="00B24827"/>
    <w:rsid w:val="00B249DB"/>
    <w:rsid w:val="00B25F23"/>
    <w:rsid w:val="00B26149"/>
    <w:rsid w:val="00B30280"/>
    <w:rsid w:val="00B4331C"/>
    <w:rsid w:val="00B43987"/>
    <w:rsid w:val="00B47911"/>
    <w:rsid w:val="00B52D10"/>
    <w:rsid w:val="00B535AD"/>
    <w:rsid w:val="00B53CBD"/>
    <w:rsid w:val="00B56120"/>
    <w:rsid w:val="00B62CF6"/>
    <w:rsid w:val="00B65990"/>
    <w:rsid w:val="00B724B5"/>
    <w:rsid w:val="00B840BE"/>
    <w:rsid w:val="00B86A86"/>
    <w:rsid w:val="00B87090"/>
    <w:rsid w:val="00B90FD5"/>
    <w:rsid w:val="00B9467F"/>
    <w:rsid w:val="00B97C67"/>
    <w:rsid w:val="00BA0E90"/>
    <w:rsid w:val="00BA7B68"/>
    <w:rsid w:val="00BB2BE9"/>
    <w:rsid w:val="00BB2CAF"/>
    <w:rsid w:val="00BC09F9"/>
    <w:rsid w:val="00BC0C8E"/>
    <w:rsid w:val="00BC2F29"/>
    <w:rsid w:val="00BC5004"/>
    <w:rsid w:val="00BE602D"/>
    <w:rsid w:val="00BF0FC2"/>
    <w:rsid w:val="00C01BEF"/>
    <w:rsid w:val="00C07D42"/>
    <w:rsid w:val="00C10332"/>
    <w:rsid w:val="00C1064E"/>
    <w:rsid w:val="00C13846"/>
    <w:rsid w:val="00C1464C"/>
    <w:rsid w:val="00C168DB"/>
    <w:rsid w:val="00C176EC"/>
    <w:rsid w:val="00C2372F"/>
    <w:rsid w:val="00C302C0"/>
    <w:rsid w:val="00C31C67"/>
    <w:rsid w:val="00C360C5"/>
    <w:rsid w:val="00C41294"/>
    <w:rsid w:val="00C45B73"/>
    <w:rsid w:val="00C4760A"/>
    <w:rsid w:val="00C477BC"/>
    <w:rsid w:val="00C50B26"/>
    <w:rsid w:val="00C51A41"/>
    <w:rsid w:val="00C567CB"/>
    <w:rsid w:val="00C638F9"/>
    <w:rsid w:val="00C658C2"/>
    <w:rsid w:val="00C7046D"/>
    <w:rsid w:val="00C7373B"/>
    <w:rsid w:val="00C87899"/>
    <w:rsid w:val="00C9327D"/>
    <w:rsid w:val="00C951FE"/>
    <w:rsid w:val="00CA07FF"/>
    <w:rsid w:val="00CA2B03"/>
    <w:rsid w:val="00CA4ABB"/>
    <w:rsid w:val="00CA6AA7"/>
    <w:rsid w:val="00CA74C7"/>
    <w:rsid w:val="00CB728B"/>
    <w:rsid w:val="00CB763A"/>
    <w:rsid w:val="00CC06D0"/>
    <w:rsid w:val="00CC24B7"/>
    <w:rsid w:val="00CC38BA"/>
    <w:rsid w:val="00CC4069"/>
    <w:rsid w:val="00CC462A"/>
    <w:rsid w:val="00CC5E17"/>
    <w:rsid w:val="00CC7CD4"/>
    <w:rsid w:val="00CD0BB9"/>
    <w:rsid w:val="00CD0D39"/>
    <w:rsid w:val="00CD27D4"/>
    <w:rsid w:val="00CD35CB"/>
    <w:rsid w:val="00CD420B"/>
    <w:rsid w:val="00CD68B2"/>
    <w:rsid w:val="00CD7135"/>
    <w:rsid w:val="00CE06A4"/>
    <w:rsid w:val="00CE18F4"/>
    <w:rsid w:val="00CE2297"/>
    <w:rsid w:val="00CE5073"/>
    <w:rsid w:val="00CE653F"/>
    <w:rsid w:val="00CE77D6"/>
    <w:rsid w:val="00CF05AC"/>
    <w:rsid w:val="00CF630A"/>
    <w:rsid w:val="00CF6E71"/>
    <w:rsid w:val="00CF708D"/>
    <w:rsid w:val="00D07E61"/>
    <w:rsid w:val="00D1513D"/>
    <w:rsid w:val="00D20E6E"/>
    <w:rsid w:val="00D2261B"/>
    <w:rsid w:val="00D250A9"/>
    <w:rsid w:val="00D32BBA"/>
    <w:rsid w:val="00D33A3E"/>
    <w:rsid w:val="00D349B0"/>
    <w:rsid w:val="00D42610"/>
    <w:rsid w:val="00D433B6"/>
    <w:rsid w:val="00D473CE"/>
    <w:rsid w:val="00D47685"/>
    <w:rsid w:val="00D50F57"/>
    <w:rsid w:val="00D657CD"/>
    <w:rsid w:val="00D7025C"/>
    <w:rsid w:val="00D72B34"/>
    <w:rsid w:val="00D74219"/>
    <w:rsid w:val="00D74345"/>
    <w:rsid w:val="00D76D68"/>
    <w:rsid w:val="00D76DA6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B1C8E"/>
    <w:rsid w:val="00DB5F4C"/>
    <w:rsid w:val="00DC205B"/>
    <w:rsid w:val="00DC693E"/>
    <w:rsid w:val="00DD1D53"/>
    <w:rsid w:val="00DD1DAC"/>
    <w:rsid w:val="00DD2358"/>
    <w:rsid w:val="00DD43FD"/>
    <w:rsid w:val="00DE0C5A"/>
    <w:rsid w:val="00DE16E5"/>
    <w:rsid w:val="00DE35BE"/>
    <w:rsid w:val="00DF08C6"/>
    <w:rsid w:val="00DF1AD2"/>
    <w:rsid w:val="00DF203A"/>
    <w:rsid w:val="00DF4E4D"/>
    <w:rsid w:val="00E10D67"/>
    <w:rsid w:val="00E111C9"/>
    <w:rsid w:val="00E13208"/>
    <w:rsid w:val="00E152A8"/>
    <w:rsid w:val="00E23334"/>
    <w:rsid w:val="00E4256D"/>
    <w:rsid w:val="00E450C7"/>
    <w:rsid w:val="00E536EC"/>
    <w:rsid w:val="00E62158"/>
    <w:rsid w:val="00E753E2"/>
    <w:rsid w:val="00E81201"/>
    <w:rsid w:val="00E8549E"/>
    <w:rsid w:val="00E9690A"/>
    <w:rsid w:val="00EA251E"/>
    <w:rsid w:val="00EB0BEB"/>
    <w:rsid w:val="00EB4759"/>
    <w:rsid w:val="00EB4A9B"/>
    <w:rsid w:val="00EB583F"/>
    <w:rsid w:val="00EC3999"/>
    <w:rsid w:val="00ED1149"/>
    <w:rsid w:val="00ED444D"/>
    <w:rsid w:val="00EE61EE"/>
    <w:rsid w:val="00EE69C8"/>
    <w:rsid w:val="00EE7237"/>
    <w:rsid w:val="00F00BEF"/>
    <w:rsid w:val="00F013C5"/>
    <w:rsid w:val="00F02BB3"/>
    <w:rsid w:val="00F073F0"/>
    <w:rsid w:val="00F109B7"/>
    <w:rsid w:val="00F12F57"/>
    <w:rsid w:val="00F14E13"/>
    <w:rsid w:val="00F17044"/>
    <w:rsid w:val="00F200B5"/>
    <w:rsid w:val="00F258A0"/>
    <w:rsid w:val="00F25919"/>
    <w:rsid w:val="00F31E1D"/>
    <w:rsid w:val="00F31EB6"/>
    <w:rsid w:val="00F33F60"/>
    <w:rsid w:val="00F34716"/>
    <w:rsid w:val="00F37E8D"/>
    <w:rsid w:val="00F620F5"/>
    <w:rsid w:val="00F62958"/>
    <w:rsid w:val="00F71220"/>
    <w:rsid w:val="00F83E58"/>
    <w:rsid w:val="00F9757A"/>
    <w:rsid w:val="00FA2D33"/>
    <w:rsid w:val="00FA4565"/>
    <w:rsid w:val="00FA5252"/>
    <w:rsid w:val="00FA5E9B"/>
    <w:rsid w:val="00FB1611"/>
    <w:rsid w:val="00FC016A"/>
    <w:rsid w:val="00FD1F62"/>
    <w:rsid w:val="00FF13E5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ogloszenia-narodowy-program-rozwoju-medycyny-transplantacyj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2664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Sędek Joanna</cp:lastModifiedBy>
  <cp:revision>2</cp:revision>
  <dcterms:created xsi:type="dcterms:W3CDTF">2024-08-14T11:37:00Z</dcterms:created>
  <dcterms:modified xsi:type="dcterms:W3CDTF">2024-08-14T11:37:00Z</dcterms:modified>
</cp:coreProperties>
</file>