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0BA1" w14:textId="77777777" w:rsidR="00A923BD" w:rsidRDefault="0089351E">
      <w:pPr>
        <w:spacing w:line="1" w:lineRule="exact"/>
      </w:pPr>
      <w:r>
        <w:rPr>
          <w:noProof/>
        </w:rPr>
        <mc:AlternateContent>
          <mc:Choice Requires="wps">
            <w:drawing>
              <wp:anchor distT="292735" distB="573405" distL="114300" distR="1793875" simplePos="0" relativeHeight="125829378" behindDoc="0" locked="0" layoutInCell="1" allowOverlap="1" wp14:anchorId="7A5906E7" wp14:editId="446AB50B">
                <wp:simplePos x="0" y="0"/>
                <wp:positionH relativeFrom="page">
                  <wp:posOffset>669290</wp:posOffset>
                </wp:positionH>
                <wp:positionV relativeFrom="paragraph">
                  <wp:posOffset>305435</wp:posOffset>
                </wp:positionV>
                <wp:extent cx="1139825" cy="3289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39825" cy="328930"/>
                        </a:xfrm>
                        <a:prstGeom prst="rect">
                          <a:avLst/>
                        </a:prstGeom>
                        <a:noFill/>
                      </wps:spPr>
                      <wps:txbx>
                        <w:txbxContent>
                          <w:p w14:paraId="3EF12708" w14:textId="6394B988" w:rsidR="00A923BD" w:rsidRDefault="00A923BD">
                            <w:pPr>
                              <w:pStyle w:val="Teksttreci40"/>
                            </w:pPr>
                          </w:p>
                        </w:txbxContent>
                      </wps:txbx>
                      <wps:bodyPr wrap="none" lIns="0" tIns="0" rIns="0" bIns="0"/>
                    </wps:wsp>
                  </a:graphicData>
                </a:graphic>
              </wp:anchor>
            </w:drawing>
          </mc:Choice>
          <mc:Fallback>
            <w:pict>
              <v:shapetype w14:anchorId="7A5906E7" id="_x0000_t202" coordsize="21600,21600" o:spt="202" path="m,l,21600r21600,l21600,xe">
                <v:stroke joinstyle="miter"/>
                <v:path gradientshapeok="t" o:connecttype="rect"/>
              </v:shapetype>
              <v:shape id="Shape 1" o:spid="_x0000_s1026" type="#_x0000_t202" style="position:absolute;margin-left:52.7pt;margin-top:24.05pt;width:89.75pt;height:25.9pt;z-index:125829378;visibility:visible;mso-wrap-style:none;mso-wrap-distance-left:9pt;mso-wrap-distance-top:23.05pt;mso-wrap-distance-right:141.25pt;mso-wrap-distance-bottom:45.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" filled="f" stroked="f">
                <v:textbox inset="0,0,0,0">
                  <w:txbxContent>
                    <w:p w14:paraId="3EF12708" w14:textId="6394B988" w:rsidR="00A923BD" w:rsidRDefault="00A923BD">
                      <w:pPr>
                        <w:pStyle w:val="Teksttreci40"/>
                      </w:pPr>
                    </w:p>
                  </w:txbxContent>
                </v:textbox>
                <w10:wrap type="topAndBottom" anchorx="page"/>
              </v:shape>
            </w:pict>
          </mc:Fallback>
        </mc:AlternateContent>
      </w:r>
      <w:r>
        <w:rPr>
          <w:noProof/>
        </w:rPr>
        <mc:AlternateContent>
          <mc:Choice Requires="wps">
            <w:drawing>
              <wp:anchor distT="326390" distB="704215" distL="1266190" distR="1263650" simplePos="0" relativeHeight="125829380" behindDoc="0" locked="0" layoutInCell="1" allowOverlap="1" wp14:anchorId="4CB03AD7" wp14:editId="1FCE2DC3">
                <wp:simplePos x="0" y="0"/>
                <wp:positionH relativeFrom="page">
                  <wp:posOffset>1821180</wp:posOffset>
                </wp:positionH>
                <wp:positionV relativeFrom="paragraph">
                  <wp:posOffset>339090</wp:posOffset>
                </wp:positionV>
                <wp:extent cx="518160" cy="16446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18160" cy="164465"/>
                        </a:xfrm>
                        <a:prstGeom prst="rect">
                          <a:avLst/>
                        </a:prstGeom>
                        <a:noFill/>
                      </wps:spPr>
                      <wps:txbx>
                        <w:txbxContent>
                          <w:p w14:paraId="116E003D" w14:textId="77777777" w:rsidR="00A923BD" w:rsidRDefault="00A923BD"/>
                        </w:txbxContent>
                      </wps:txbx>
                      <wps:bodyPr wrap="none" lIns="0" tIns="0" rIns="0" bIns="0"/>
                    </wps:wsp>
                  </a:graphicData>
                </a:graphic>
              </wp:anchor>
            </w:drawing>
          </mc:Choice>
          <mc:Fallback>
            <w:pict>
              <v:shape w14:anchorId="4CB03AD7" id="Shape 3" o:spid="_x0000_s1027" type="#_x0000_t202" style="position:absolute;margin-left:143.4pt;margin-top:26.7pt;width:40.8pt;height:12.95pt;z-index:125829380;visibility:visible;mso-wrap-style:none;mso-wrap-distance-left:99.7pt;mso-wrap-distance-top:25.7pt;mso-wrap-distance-right:99.5pt;mso-wrap-distance-bottom:5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" filled="f" stroked="f">
                <v:textbox inset="0,0,0,0">
                  <w:txbxContent>
                    <w:p w14:paraId="116E003D" w14:textId="77777777" w:rsidR="00A923BD" w:rsidRDefault="00A923BD"/>
                  </w:txbxContent>
                </v:textbox>
                <w10:wrap type="topAndBottom" anchorx="page"/>
              </v:shape>
            </w:pict>
          </mc:Fallback>
        </mc:AlternateContent>
      </w:r>
      <w:r>
        <w:rPr>
          <w:noProof/>
        </w:rPr>
        <w:drawing>
          <wp:anchor distT="0" distB="798830" distL="1943100" distR="410210" simplePos="0" relativeHeight="125829382" behindDoc="0" locked="0" layoutInCell="1" allowOverlap="1" wp14:anchorId="43BE5BA5" wp14:editId="78CE9F8E">
            <wp:simplePos x="0" y="0"/>
            <wp:positionH relativeFrom="page">
              <wp:posOffset>2498090</wp:posOffset>
            </wp:positionH>
            <wp:positionV relativeFrom="paragraph">
              <wp:posOffset>12700</wp:posOffset>
            </wp:positionV>
            <wp:extent cx="694690" cy="39624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694690" cy="39624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9CC09E4" wp14:editId="13A43AAF">
                <wp:simplePos x="0" y="0"/>
                <wp:positionH relativeFrom="page">
                  <wp:posOffset>2470785</wp:posOffset>
                </wp:positionH>
                <wp:positionV relativeFrom="paragraph">
                  <wp:posOffset>396875</wp:posOffset>
                </wp:positionV>
                <wp:extent cx="1017905" cy="417830"/>
                <wp:effectExtent l="0" t="0" r="0" b="0"/>
                <wp:wrapNone/>
                <wp:docPr id="7" name="Shape 7"/>
                <wp:cNvGraphicFramePr/>
                <a:graphic xmlns:a="http://schemas.openxmlformats.org/drawingml/2006/main">
                  <a:graphicData uri="http://schemas.microsoft.com/office/word/2010/wordprocessingShape">
                    <wps:wsp>
                      <wps:cNvSpPr txBox="1"/>
                      <wps:spPr>
                        <a:xfrm>
                          <a:off x="0" y="0"/>
                          <a:ext cx="1017905" cy="417830"/>
                        </a:xfrm>
                        <a:prstGeom prst="rect">
                          <a:avLst/>
                        </a:prstGeom>
                        <a:noFill/>
                      </wps:spPr>
                      <wps:txbx>
                        <w:txbxContent>
                          <w:p w14:paraId="13E6AAB4" w14:textId="60209D59" w:rsidR="00A923BD" w:rsidRDefault="0089351E">
                            <w:pPr>
                              <w:pStyle w:val="Podpisobrazu0"/>
                            </w:pPr>
                            <w:r>
                              <w:rPr>
                                <w:rStyle w:val="Podpisobrazu"/>
                              </w:rPr>
                              <w:t>RPW/42</w:t>
                            </w:r>
                            <w:r>
                              <w:rPr>
                                <w:rStyle w:val="Podpisobrazu"/>
                              </w:rPr>
                              <w:t xml:space="preserve">2025 P </w:t>
                            </w:r>
                            <w:proofErr w:type="gramStart"/>
                            <w:r>
                              <w:rPr>
                                <w:rStyle w:val="Podpisobrazu"/>
                              </w:rPr>
                              <w:t>Data .</w:t>
                            </w:r>
                            <w:proofErr w:type="gramEnd"/>
                            <w:r>
                              <w:rPr>
                                <w:rStyle w:val="Podpisobrazu"/>
                              </w:rPr>
                              <w:t xml:space="preserve">-2025-05-21 </w:t>
                            </w:r>
                            <w:proofErr w:type="spellStart"/>
                            <w:r>
                              <w:rPr>
                                <w:rStyle w:val="Podpisobrazu"/>
                              </w:rPr>
                              <w:t>MKiS</w:t>
                            </w:r>
                            <w:proofErr w:type="spellEnd"/>
                          </w:p>
                        </w:txbxContent>
                      </wps:txbx>
                      <wps:bodyPr lIns="0" tIns="0" rIns="0" bIns="0"/>
                    </wps:wsp>
                  </a:graphicData>
                </a:graphic>
              </wp:anchor>
            </w:drawing>
          </mc:Choice>
          <mc:Fallback>
            <w:pict>
              <v:shape w14:anchorId="29CC09E4" id="Shape 7" o:spid="_x0000_s1028" type="#_x0000_t202" style="position:absolute;margin-left:194.55pt;margin-top:31.25pt;width:80.15pt;height:32.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" filled="f" stroked="f">
                <v:textbox inset="0,0,0,0">
                  <w:txbxContent>
                    <w:p w14:paraId="13E6AAB4" w14:textId="60209D59" w:rsidR="00A923BD" w:rsidRDefault="0089351E">
                      <w:pPr>
                        <w:pStyle w:val="Podpisobrazu0"/>
                      </w:pPr>
                      <w:r>
                        <w:rPr>
                          <w:rStyle w:val="Podpisobrazu"/>
                        </w:rPr>
                        <w:t>RPW/42</w:t>
                      </w:r>
                      <w:r>
                        <w:rPr>
                          <w:rStyle w:val="Podpisobrazu"/>
                        </w:rPr>
                        <w:t xml:space="preserve">2025 P </w:t>
                      </w:r>
                      <w:proofErr w:type="gramStart"/>
                      <w:r>
                        <w:rPr>
                          <w:rStyle w:val="Podpisobrazu"/>
                        </w:rPr>
                        <w:t>Data .</w:t>
                      </w:r>
                      <w:proofErr w:type="gramEnd"/>
                      <w:r>
                        <w:rPr>
                          <w:rStyle w:val="Podpisobrazu"/>
                        </w:rPr>
                        <w:t xml:space="preserve">-2025-05-21 </w:t>
                      </w:r>
                      <w:proofErr w:type="spellStart"/>
                      <w:r>
                        <w:rPr>
                          <w:rStyle w:val="Podpisobrazu"/>
                        </w:rPr>
                        <w:t>MKiS</w:t>
                      </w:r>
                      <w:proofErr w:type="spellEnd"/>
                    </w:p>
                  </w:txbxContent>
                </v:textbox>
                <w10:wrap anchorx="page"/>
              </v:shape>
            </w:pict>
          </mc:Fallback>
        </mc:AlternateContent>
      </w:r>
    </w:p>
    <w:p w14:paraId="28EE0697" w14:textId="77777777" w:rsidR="00A923BD" w:rsidRDefault="0089351E">
      <w:pPr>
        <w:pStyle w:val="Teksttreci20"/>
      </w:pPr>
      <w:r>
        <w:rPr>
          <w:rStyle w:val="Teksttreci2"/>
        </w:rPr>
        <w:t>MINISTERSTWO KLIMATU I ŚRODOWISKA</w:t>
      </w:r>
      <w:r>
        <w:rPr>
          <w:rStyle w:val="Teksttreci2"/>
        </w:rPr>
        <w:br/>
        <w:t>KANCELARIA OGÓLNA</w:t>
      </w:r>
    </w:p>
    <w:p w14:paraId="4E7FA64C" w14:textId="446D52B8" w:rsidR="00A923BD" w:rsidRDefault="00A923BD">
      <w:pPr>
        <w:framePr w:w="2750" w:h="389" w:vSpace="610" w:wrap="notBeside" w:vAnchor="text" w:hAnchor="text" w:x="61" w:y="611"/>
        <w:rPr>
          <w:sz w:val="2"/>
          <w:szCs w:val="2"/>
        </w:rPr>
      </w:pPr>
    </w:p>
    <w:p w14:paraId="121B8A7A" w14:textId="77777777" w:rsidR="00A923BD" w:rsidRDefault="0089351E">
      <w:pPr>
        <w:spacing w:line="1" w:lineRule="exact"/>
      </w:pPr>
      <w:r>
        <w:rPr>
          <w:noProof/>
        </w:rPr>
        <mc:AlternateContent>
          <mc:Choice Requires="wps">
            <w:drawing>
              <wp:anchor distT="0" distB="0" distL="38100" distR="897255" simplePos="0" relativeHeight="125829383" behindDoc="0" locked="0" layoutInCell="1" allowOverlap="1" wp14:anchorId="3A429B63" wp14:editId="284FFE82">
                <wp:simplePos x="0" y="0"/>
                <wp:positionH relativeFrom="column">
                  <wp:posOffset>461645</wp:posOffset>
                </wp:positionH>
                <wp:positionV relativeFrom="paragraph">
                  <wp:posOffset>0</wp:posOffset>
                </wp:positionV>
                <wp:extent cx="887095" cy="23749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887095" cy="237490"/>
                        </a:xfrm>
                        <a:prstGeom prst="rect">
                          <a:avLst/>
                        </a:prstGeom>
                        <a:noFill/>
                      </wps:spPr>
                      <wps:txbx>
                        <w:txbxContent>
                          <w:p w14:paraId="1D780F6D" w14:textId="77777777" w:rsidR="00A923BD" w:rsidRDefault="0089351E">
                            <w:pPr>
                              <w:pStyle w:val="Podpisobrazu0"/>
                              <w:spacing w:line="240" w:lineRule="auto"/>
                              <w:rPr>
                                <w:sz w:val="20"/>
                                <w:szCs w:val="20"/>
                              </w:rPr>
                            </w:pPr>
                            <w:r>
                              <w:rPr>
                                <w:rStyle w:val="Podpisobrazu"/>
                                <w:color w:val="6C6C6C"/>
                                <w:sz w:val="20"/>
                                <w:szCs w:val="20"/>
                              </w:rPr>
                              <w:t>2025 -05- 2 1.</w:t>
                            </w:r>
                          </w:p>
                        </w:txbxContent>
                      </wps:txbx>
                      <wps:bodyPr lIns="0" tIns="0" rIns="0" bIns="0"/>
                    </wps:wsp>
                  </a:graphicData>
                </a:graphic>
              </wp:anchor>
            </w:drawing>
          </mc:Choice>
          <mc:Fallback>
            <w:pict>
              <v:shape w14:anchorId="3A429B63" id="Shape 10" o:spid="_x0000_s1029" type="#_x0000_t202" style="position:absolute;margin-left:36.35pt;margin-top:0;width:69.85pt;height:18.7pt;z-index:125829383;visibility:visible;mso-wrap-style:square;mso-wrap-distance-left:3pt;mso-wrap-distance-top:0;mso-wrap-distance-right:70.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" filled="f" stroked="f">
                <v:textbox inset="0,0,0,0">
                  <w:txbxContent>
                    <w:p w14:paraId="1D780F6D" w14:textId="77777777" w:rsidR="00A923BD" w:rsidRDefault="0089351E">
                      <w:pPr>
                        <w:pStyle w:val="Podpisobrazu0"/>
                        <w:spacing w:line="240" w:lineRule="auto"/>
                        <w:rPr>
                          <w:sz w:val="20"/>
                          <w:szCs w:val="20"/>
                        </w:rPr>
                      </w:pPr>
                      <w:r>
                        <w:rPr>
                          <w:rStyle w:val="Podpisobrazu"/>
                          <w:color w:val="6C6C6C"/>
                          <w:sz w:val="20"/>
                          <w:szCs w:val="20"/>
                        </w:rPr>
                        <w:t>2025 -05- 2 1.</w:t>
                      </w:r>
                    </w:p>
                  </w:txbxContent>
                </v:textbox>
                <w10:wrap type="topAndBottom"/>
              </v:shape>
            </w:pict>
          </mc:Fallback>
        </mc:AlternateContent>
      </w:r>
      <w:r>
        <w:rPr>
          <w:noProof/>
        </w:rPr>
        <mc:AlternateContent>
          <mc:Choice Requires="wps">
            <w:drawing>
              <wp:anchor distT="0" distB="0" distL="38100" distR="1659255" simplePos="0" relativeHeight="125829385" behindDoc="0" locked="0" layoutInCell="1" allowOverlap="1" wp14:anchorId="1FE37707" wp14:editId="745A0B0D">
                <wp:simplePos x="0" y="0"/>
                <wp:positionH relativeFrom="column">
                  <wp:posOffset>68580</wp:posOffset>
                </wp:positionH>
                <wp:positionV relativeFrom="paragraph">
                  <wp:posOffset>6350</wp:posOffset>
                </wp:positionV>
                <wp:extent cx="125095" cy="8509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25095" cy="85090"/>
                        </a:xfrm>
                        <a:prstGeom prst="rect">
                          <a:avLst/>
                        </a:prstGeom>
                        <a:noFill/>
                      </wps:spPr>
                      <wps:txbx>
                        <w:txbxContent>
                          <w:p w14:paraId="3E8A5112" w14:textId="77777777" w:rsidR="00A923BD" w:rsidRDefault="0089351E">
                            <w:pPr>
                              <w:pStyle w:val="Podpisobrazu0"/>
                              <w:spacing w:line="240" w:lineRule="auto"/>
                              <w:rPr>
                                <w:sz w:val="10"/>
                                <w:szCs w:val="10"/>
                              </w:rPr>
                            </w:pPr>
                            <w:r>
                              <w:rPr>
                                <w:rStyle w:val="Podpisobrazu"/>
                                <w:rFonts w:ascii="Times New Roman" w:eastAsia="Times New Roman" w:hAnsi="Times New Roman" w:cs="Times New Roman"/>
                                <w:color w:val="6C6C6C"/>
                                <w:sz w:val="10"/>
                                <w:szCs w:val="10"/>
                              </w:rPr>
                              <w:t>UH</w:t>
                            </w:r>
                          </w:p>
                        </w:txbxContent>
                      </wps:txbx>
                      <wps:bodyPr lIns="0" tIns="0" rIns="0" bIns="0"/>
                    </wps:wsp>
                  </a:graphicData>
                </a:graphic>
              </wp:anchor>
            </w:drawing>
          </mc:Choice>
          <mc:Fallback>
            <w:pict>
              <v:shape w14:anchorId="1FE37707" id="Shape 12" o:spid="_x0000_s1030" type="#_x0000_t202" style="position:absolute;margin-left:5.4pt;margin-top:.5pt;width:9.85pt;height:6.7pt;z-index:125829385;visibility:visible;mso-wrap-style:square;mso-wrap-distance-left:3pt;mso-wrap-distance-top:0;mso-wrap-distance-right:130.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" filled="f" stroked="f">
                <v:textbox inset="0,0,0,0">
                  <w:txbxContent>
                    <w:p w14:paraId="3E8A5112" w14:textId="77777777" w:rsidR="00A923BD" w:rsidRDefault="0089351E">
                      <w:pPr>
                        <w:pStyle w:val="Podpisobrazu0"/>
                        <w:spacing w:line="240" w:lineRule="auto"/>
                        <w:rPr>
                          <w:sz w:val="10"/>
                          <w:szCs w:val="10"/>
                        </w:rPr>
                      </w:pPr>
                      <w:r>
                        <w:rPr>
                          <w:rStyle w:val="Podpisobrazu"/>
                          <w:rFonts w:ascii="Times New Roman" w:eastAsia="Times New Roman" w:hAnsi="Times New Roman" w:cs="Times New Roman"/>
                          <w:color w:val="6C6C6C"/>
                          <w:sz w:val="10"/>
                          <w:szCs w:val="10"/>
                        </w:rPr>
                        <w:t>UH</w:t>
                      </w:r>
                    </w:p>
                  </w:txbxContent>
                </v:textbox>
                <w10:wrap type="topAndBottom"/>
              </v:shape>
            </w:pict>
          </mc:Fallback>
        </mc:AlternateContent>
      </w:r>
    </w:p>
    <w:p w14:paraId="459C2E21" w14:textId="77777777" w:rsidR="00A923BD" w:rsidRDefault="0089351E">
      <w:pPr>
        <w:pStyle w:val="Teksttreci30"/>
      </w:pPr>
      <w:r>
        <w:rPr>
          <w:rStyle w:val="Teksttreci3"/>
        </w:rPr>
        <w:t>Katowice, 30 kwietnia 2025 roku</w:t>
      </w:r>
    </w:p>
    <w:p w14:paraId="13A29097" w14:textId="77777777" w:rsidR="00A923BD" w:rsidRDefault="0089351E">
      <w:pPr>
        <w:pStyle w:val="Nagwek10"/>
        <w:keepNext/>
        <w:keepLines/>
      </w:pPr>
      <w:bookmarkStart w:id="0" w:name="bookmark0"/>
      <w:r>
        <w:rPr>
          <w:rStyle w:val="Nagwek1"/>
          <w:b/>
          <w:bCs/>
        </w:rPr>
        <w:t>Pani</w:t>
      </w:r>
      <w:bookmarkEnd w:id="0"/>
    </w:p>
    <w:p w14:paraId="5E91BA35" w14:textId="77777777" w:rsidR="00A923BD" w:rsidRDefault="0089351E">
      <w:pPr>
        <w:pStyle w:val="Nagwek10"/>
        <w:keepNext/>
        <w:keepLines/>
      </w:pPr>
      <w:r>
        <w:rPr>
          <w:rStyle w:val="Nagwek1"/>
          <w:b/>
          <w:bCs/>
        </w:rPr>
        <w:t xml:space="preserve">Paulina </w:t>
      </w:r>
      <w:proofErr w:type="spellStart"/>
      <w:r>
        <w:rPr>
          <w:rStyle w:val="Nagwek1"/>
          <w:b/>
          <w:bCs/>
        </w:rPr>
        <w:t>Hennig</w:t>
      </w:r>
      <w:proofErr w:type="spellEnd"/>
      <w:r>
        <w:rPr>
          <w:rStyle w:val="Nagwek1"/>
          <w:b/>
          <w:bCs/>
        </w:rPr>
        <w:t>-Kloska</w:t>
      </w:r>
    </w:p>
    <w:p w14:paraId="17A17CCA" w14:textId="77777777" w:rsidR="00A923BD" w:rsidRDefault="0089351E">
      <w:pPr>
        <w:pStyle w:val="Nagwek10"/>
        <w:keepNext/>
        <w:keepLines/>
        <w:spacing w:after="0"/>
        <w:sectPr w:rsidR="00A923BD">
          <w:pgSz w:w="11900" w:h="16840"/>
          <w:pgMar w:top="418" w:right="1865" w:bottom="1053" w:left="1054" w:header="0" w:footer="625" w:gutter="0"/>
          <w:pgNumType w:start="1"/>
          <w:cols w:num="2" w:space="720" w:equalWidth="0">
            <w:col w:w="2870" w:space="2890"/>
            <w:col w:w="3221"/>
          </w:cols>
          <w:noEndnote/>
          <w:docGrid w:linePitch="360"/>
        </w:sectPr>
      </w:pPr>
      <w:r>
        <w:rPr>
          <w:rStyle w:val="Nagwek1"/>
          <w:b/>
          <w:bCs/>
        </w:rPr>
        <w:t>Minister Klimatu i Środowiska</w:t>
      </w:r>
    </w:p>
    <w:p w14:paraId="293D1CB0" w14:textId="77777777" w:rsidR="00A923BD" w:rsidRDefault="00A923BD">
      <w:pPr>
        <w:spacing w:line="240" w:lineRule="exact"/>
        <w:rPr>
          <w:sz w:val="19"/>
          <w:szCs w:val="19"/>
        </w:rPr>
      </w:pPr>
    </w:p>
    <w:p w14:paraId="28825478" w14:textId="77777777" w:rsidR="00A923BD" w:rsidRDefault="00A923BD">
      <w:pPr>
        <w:spacing w:line="240" w:lineRule="exact"/>
        <w:rPr>
          <w:sz w:val="19"/>
          <w:szCs w:val="19"/>
        </w:rPr>
      </w:pPr>
    </w:p>
    <w:p w14:paraId="2AEF52D7" w14:textId="77777777" w:rsidR="00A923BD" w:rsidRDefault="00A923BD">
      <w:pPr>
        <w:spacing w:before="29" w:after="29" w:line="240" w:lineRule="exact"/>
        <w:rPr>
          <w:sz w:val="19"/>
          <w:szCs w:val="19"/>
        </w:rPr>
      </w:pPr>
    </w:p>
    <w:p w14:paraId="3A49D461" w14:textId="77777777" w:rsidR="00A923BD" w:rsidRDefault="00A923BD">
      <w:pPr>
        <w:spacing w:line="1" w:lineRule="exact"/>
        <w:sectPr w:rsidR="00A923BD">
          <w:type w:val="continuous"/>
          <w:pgSz w:w="11900" w:h="16840"/>
          <w:pgMar w:top="418" w:right="0" w:bottom="1053" w:left="0" w:header="0" w:footer="3" w:gutter="0"/>
          <w:cols w:space="720"/>
          <w:noEndnote/>
          <w:docGrid w:linePitch="360"/>
        </w:sectPr>
      </w:pPr>
    </w:p>
    <w:p w14:paraId="3D6551A6" w14:textId="77777777" w:rsidR="00A923BD" w:rsidRDefault="0089351E">
      <w:pPr>
        <w:spacing w:line="360" w:lineRule="exact"/>
      </w:pPr>
      <w:r>
        <w:rPr>
          <w:noProof/>
        </w:rPr>
        <w:drawing>
          <wp:anchor distT="0" distB="0" distL="0" distR="0" simplePos="0" relativeHeight="62914690" behindDoc="1" locked="0" layoutInCell="1" allowOverlap="1" wp14:anchorId="3D66E4D0" wp14:editId="2F64D967">
            <wp:simplePos x="0" y="0"/>
            <wp:positionH relativeFrom="page">
              <wp:posOffset>1102360</wp:posOffset>
            </wp:positionH>
            <wp:positionV relativeFrom="paragraph">
              <wp:posOffset>12700</wp:posOffset>
            </wp:positionV>
            <wp:extent cx="4218305" cy="481330"/>
            <wp:effectExtent l="0" t="0" r="0" b="0"/>
            <wp:wrapNone/>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8"/>
                    <a:stretch/>
                  </pic:blipFill>
                  <pic:spPr>
                    <a:xfrm>
                      <a:off x="0" y="0"/>
                      <a:ext cx="4218305" cy="481330"/>
                    </a:xfrm>
                    <a:prstGeom prst="rect">
                      <a:avLst/>
                    </a:prstGeom>
                  </pic:spPr>
                </pic:pic>
              </a:graphicData>
            </a:graphic>
          </wp:anchor>
        </w:drawing>
      </w:r>
    </w:p>
    <w:p w14:paraId="72FA20EC" w14:textId="77777777" w:rsidR="00A923BD" w:rsidRDefault="00A923BD">
      <w:pPr>
        <w:spacing w:after="393" w:line="1" w:lineRule="exact"/>
      </w:pPr>
    </w:p>
    <w:p w14:paraId="00CDF2DA" w14:textId="77777777" w:rsidR="00A923BD" w:rsidRDefault="00A923BD">
      <w:pPr>
        <w:spacing w:line="1" w:lineRule="exact"/>
        <w:sectPr w:rsidR="00A923BD">
          <w:type w:val="continuous"/>
          <w:pgSz w:w="11900" w:h="16840"/>
          <w:pgMar w:top="418" w:right="1040" w:bottom="1053" w:left="1054" w:header="0" w:footer="3" w:gutter="0"/>
          <w:cols w:space="720"/>
          <w:noEndnote/>
          <w:docGrid w:linePitch="360"/>
        </w:sectPr>
      </w:pPr>
    </w:p>
    <w:p w14:paraId="77EA4512" w14:textId="77777777" w:rsidR="00A923BD" w:rsidRDefault="0089351E">
      <w:pPr>
        <w:pStyle w:val="Teksttreci0"/>
        <w:spacing w:after="260" w:line="396" w:lineRule="auto"/>
        <w:jc w:val="both"/>
      </w:pPr>
      <w:r>
        <w:rPr>
          <w:rStyle w:val="Teksttreci"/>
        </w:rPr>
        <w:t xml:space="preserve">Jako spółki komunalne będące aktywnymi uczestnikami administracyjnych procesów wydawania decyzji w obszarze ochrony środowiska pragniemy przedstawić Pani Minister </w:t>
      </w:r>
      <w:r>
        <w:rPr>
          <w:rStyle w:val="Teksttreci"/>
        </w:rPr>
        <w:t>kilka postulatów dotyczących zmian, które w naszej opinii doprowadziłyby do istotnej poprawy sprawności przebiegu postępowań prowadzonych w urzędach marszałkowskich.</w:t>
      </w:r>
    </w:p>
    <w:p w14:paraId="7168C65D" w14:textId="77777777" w:rsidR="00A923BD" w:rsidRDefault="0089351E">
      <w:pPr>
        <w:pStyle w:val="Teksttreci0"/>
        <w:spacing w:after="260" w:line="394" w:lineRule="auto"/>
        <w:jc w:val="both"/>
      </w:pPr>
      <w:r>
        <w:rPr>
          <w:rStyle w:val="Teksttreci"/>
        </w:rPr>
        <w:t xml:space="preserve">Wprowadzone w ciągu ostatnich kilku lat zmiany w </w:t>
      </w:r>
      <w:r>
        <w:rPr>
          <w:rStyle w:val="Teksttreci"/>
          <w:b/>
          <w:bCs/>
        </w:rPr>
        <w:t xml:space="preserve">przepisach z zakresu ochrony środowiska spowodowały szereg wyzwań dla podmiotów gospodarujących odpadami. </w:t>
      </w:r>
      <w:r>
        <w:rPr>
          <w:rStyle w:val="Teksttreci"/>
        </w:rPr>
        <w:t>Świadomi zagrożeń jakie płyną z nieprawidłowego postępowania z odpadami, dostrzegamy, że wprowadzone w 2018 r. do ustawy o odpadach oraz ustawy Prawo ochrony środowiska zmiany, które przeciwdziałać miały szarej strefie w konsekwencji doprowadziły do ogromnego paraliżu w procesie wydawanych decyzji administracyjnych. Spowodowały również nadmiarowe koszty dla prowadzących instalacji, konieczność zatrudnie</w:t>
      </w:r>
      <w:r>
        <w:rPr>
          <w:rStyle w:val="Teksttreci"/>
        </w:rPr>
        <w:t>nia dodatkowych osób, a w skrajnych przypadkach konieczność zamknięcia działalności przez mniejsze, legalnie działające firmy, które nie poradziły sobie organizacyjnie i finansowo z dostosowaniem się do nowych wymagań.</w:t>
      </w:r>
    </w:p>
    <w:p w14:paraId="5B8EC8B5" w14:textId="77777777" w:rsidR="00A923BD" w:rsidRDefault="0089351E">
      <w:pPr>
        <w:pStyle w:val="Teksttreci0"/>
        <w:jc w:val="both"/>
      </w:pPr>
      <w:r>
        <w:rPr>
          <w:rStyle w:val="Teksttreci"/>
          <w:u w:val="single"/>
        </w:rPr>
        <w:t>Zmiana przepisów zobowiązała</w:t>
      </w:r>
      <w:r>
        <w:rPr>
          <w:rStyle w:val="Teksttreci"/>
        </w:rPr>
        <w:t xml:space="preserve"> przedsiębiorców prowadzących działalność „odpadową" do złożenia do 5 marca 2020 r. wniosku o zmiany dostosowujące decyzje do nowych wymagań. Nałożenie się wielu istotnych zmian prawnych w systemie gospodarki odpadami od roku 2018 r. a także pandemia COVID-19, spowodowały sytuację, w której wiele podmiotów starających się o wydanie lub zmianę decyzji w zakresie gospodarki odpadami trwają faktycznie od 5 marca 2020 r. w zawieszonej rzeczywistości, z powodu niewydanych decyzji tzw. dostosowawczych. W urzędach</w:t>
      </w:r>
      <w:r>
        <w:rPr>
          <w:rStyle w:val="Teksttreci"/>
        </w:rPr>
        <w:t xml:space="preserve"> marszałkowskich prowadzona jest ogromna liczba ciągle przedłużanych postępowań administracyjnych.</w:t>
      </w:r>
    </w:p>
    <w:p w14:paraId="0FB6A964" w14:textId="77777777" w:rsidR="00A923BD" w:rsidRDefault="0089351E">
      <w:pPr>
        <w:pStyle w:val="Teksttreci0"/>
        <w:spacing w:after="260"/>
        <w:jc w:val="both"/>
        <w:sectPr w:rsidR="00A923BD">
          <w:type w:val="continuous"/>
          <w:pgSz w:w="11900" w:h="16840"/>
          <w:pgMar w:top="418" w:right="1040" w:bottom="418" w:left="1054" w:header="0" w:footer="3" w:gutter="0"/>
          <w:cols w:space="720"/>
          <w:noEndnote/>
          <w:docGrid w:linePitch="360"/>
        </w:sectPr>
      </w:pPr>
      <w:r>
        <w:rPr>
          <w:rStyle w:val="Teksttreci"/>
        </w:rPr>
        <w:t xml:space="preserve">Efektem takiego stanu rzeczy jest to, że </w:t>
      </w:r>
      <w:r>
        <w:rPr>
          <w:rStyle w:val="Teksttreci"/>
          <w:u w:val="single"/>
        </w:rPr>
        <w:t>nowe decyzje nie są wydawane, a złożone wnioski procedowane są latami - w branży mamy podmioty, które czekają od 2019 roku na zmianę decyzji.</w:t>
      </w:r>
    </w:p>
    <w:p w14:paraId="6D8D0870" w14:textId="77777777" w:rsidR="00A923BD" w:rsidRDefault="0089351E">
      <w:pPr>
        <w:pStyle w:val="Teksttreci0"/>
        <w:spacing w:before="120" w:after="120" w:line="377" w:lineRule="auto"/>
        <w:jc w:val="both"/>
      </w:pPr>
      <w:r>
        <w:rPr>
          <w:rStyle w:val="Teksttreci"/>
        </w:rPr>
        <w:lastRenderedPageBreak/>
        <w:t>Z powodu tych opóźnień, dla wielu podmiotów jest procedowane kilka postępowań dla jednej decyzji zasadniczo w tej samej sprawie.</w:t>
      </w:r>
    </w:p>
    <w:p w14:paraId="5689A9D8" w14:textId="77777777" w:rsidR="00A923BD" w:rsidRDefault="0089351E">
      <w:pPr>
        <w:pStyle w:val="Teksttreci0"/>
        <w:spacing w:after="120" w:line="389" w:lineRule="auto"/>
        <w:jc w:val="both"/>
      </w:pPr>
      <w:r>
        <w:rPr>
          <w:rStyle w:val="Teksttreci"/>
        </w:rPr>
        <w:t>Podkreślamy, że aktualnie istniejące opóźnienia przekładają się również na opóźnienia w procesach administracyjnych dla nowo oddawanych do użytkowania inwestycji, co jednocześnie oznacza blokadę procesu inwestycyjnego. Takie opóźnienia generują straty finansowe z tytułu postoju nowej instalacji oraz wpływają negatywnie na rozwój naszych podmiotów.</w:t>
      </w:r>
    </w:p>
    <w:p w14:paraId="7A45B8BA" w14:textId="77777777" w:rsidR="00A923BD" w:rsidRDefault="0089351E">
      <w:pPr>
        <w:pStyle w:val="Teksttreci0"/>
        <w:spacing w:after="120" w:line="386" w:lineRule="auto"/>
        <w:jc w:val="both"/>
      </w:pPr>
      <w:r>
        <w:rPr>
          <w:rStyle w:val="Teksttreci"/>
        </w:rPr>
        <w:t>Widzimy potrzebę rozwiązania systemowego w skali kraju, który rozładuje natłok nagromadzonych wniosków i doprowadzi do sprawnego wydawania decyzji.</w:t>
      </w:r>
    </w:p>
    <w:p w14:paraId="5FCCC209" w14:textId="77777777" w:rsidR="00A923BD" w:rsidRDefault="0089351E">
      <w:pPr>
        <w:pStyle w:val="Teksttreci0"/>
        <w:spacing w:after="120"/>
        <w:jc w:val="both"/>
      </w:pPr>
      <w:r>
        <w:rPr>
          <w:rStyle w:val="Teksttreci"/>
        </w:rPr>
        <w:t>Zgodnie z 48a ust. 1 ustawy o odpadach przedsiębiorca, który zbiera lub przetwarza odpady obowiązany jest ustanowić zabezpieczenie roszczeń tj. zabezpieczyć środki finansowe na ewentualne, późniejsze usunięcie odpadów z terenu, na którym prowadzi działalność.</w:t>
      </w:r>
    </w:p>
    <w:p w14:paraId="4D3CC6E2" w14:textId="77777777" w:rsidR="00A923BD" w:rsidRDefault="0089351E">
      <w:pPr>
        <w:pStyle w:val="Teksttreci0"/>
        <w:spacing w:after="280"/>
        <w:jc w:val="both"/>
      </w:pPr>
      <w:r>
        <w:rPr>
          <w:rStyle w:val="Teksttreci"/>
        </w:rPr>
        <w:t>Zauważmy, że mechanizm ustalenia i zabezpieczenia roszczeń ma na celu ustalenie rzędu wielkości zabezpieczenia roszczeń, a tymczasem stało się to narzędzie do wręcz „aptekarskiego" obliczania wymaganych kwot do 3 i więcej miejsc po przecinku, w tym podawaniu wymiarów miejsc magazynowania odpadów wręcz z dokładnością co do milimetra czy gęstości objętościowej odpadów do 3 miejsc po przecinku, w sytuacji gdy wartości te są wartościami przybliżonymi, zmiennymi w czasie a podawanie wymiarów obiektów budowlanych</w:t>
      </w:r>
      <w:r>
        <w:rPr>
          <w:rStyle w:val="Teksttreci"/>
        </w:rPr>
        <w:t>, czy budynków tak szczegółowo jest niemożliwe. Proponujemy, aby w tym przypadku przyjąć zasadę zaokrąglenia wyników końcowych kwot ustalanych do pełnych tysięcy złotych szczególnie, że kwoty te nie podlegają waloryzacji za zatem z roku na rok ze względu na inflację, mogą nie pokryć kosztów wykonania zastępczego itd.</w:t>
      </w:r>
    </w:p>
    <w:p w14:paraId="2FA6B05B" w14:textId="77777777" w:rsidR="00A923BD" w:rsidRDefault="0089351E">
      <w:pPr>
        <w:pStyle w:val="Teksttreci0"/>
        <w:spacing w:after="280" w:line="394" w:lineRule="auto"/>
        <w:jc w:val="both"/>
      </w:pPr>
      <w:r>
        <w:rPr>
          <w:rStyle w:val="Teksttreci"/>
          <w:b/>
          <w:bCs/>
        </w:rPr>
        <w:t xml:space="preserve">Ponadto widzimy potrzebę ograniczenia nadmiarowych obowiązków, które nie wynikają z przepisów prawa. </w:t>
      </w:r>
      <w:r>
        <w:rPr>
          <w:rStyle w:val="Teksttreci"/>
        </w:rPr>
        <w:t>Dotyczy to w szczególności postępowań administracyjnych i przyjętych przed laty praktyki, które negatywnie wpływają na tempo prowadzenia postępowania administracyjnego. Do działań takich należą:</w:t>
      </w:r>
    </w:p>
    <w:p w14:paraId="28C86E40" w14:textId="77777777" w:rsidR="00A923BD" w:rsidRDefault="0089351E">
      <w:pPr>
        <w:pStyle w:val="Teksttreci0"/>
        <w:numPr>
          <w:ilvl w:val="0"/>
          <w:numId w:val="1"/>
        </w:numPr>
        <w:tabs>
          <w:tab w:val="left" w:pos="725"/>
        </w:tabs>
        <w:spacing w:after="120"/>
        <w:ind w:left="720" w:hanging="360"/>
        <w:jc w:val="both"/>
      </w:pPr>
      <w:r>
        <w:rPr>
          <w:rStyle w:val="Teksttreci"/>
        </w:rPr>
        <w:t xml:space="preserve">dosyłanie wydrukowanych dokumentów, które są dostępne online dla pracowników urzędu tak samo jak i dla przedsiębiorców np.: </w:t>
      </w:r>
      <w:proofErr w:type="spellStart"/>
      <w:r>
        <w:rPr>
          <w:rStyle w:val="Teksttreci"/>
        </w:rPr>
        <w:t>print</w:t>
      </w:r>
      <w:proofErr w:type="spellEnd"/>
      <w:r>
        <w:rPr>
          <w:rStyle w:val="Teksttreci"/>
        </w:rPr>
        <w:t xml:space="preserve"> </w:t>
      </w:r>
      <w:proofErr w:type="spellStart"/>
      <w:r>
        <w:rPr>
          <w:rStyle w:val="Teksttreci"/>
        </w:rPr>
        <w:t>screeny</w:t>
      </w:r>
      <w:proofErr w:type="spellEnd"/>
      <w:r>
        <w:rPr>
          <w:rStyle w:val="Teksttreci"/>
        </w:rPr>
        <w:t xml:space="preserve"> z odpisu KRS i Ksiąg Wieczystych,</w:t>
      </w:r>
    </w:p>
    <w:p w14:paraId="2C3A42E6" w14:textId="77777777" w:rsidR="00A923BD" w:rsidRDefault="0089351E">
      <w:pPr>
        <w:pStyle w:val="Teksttreci0"/>
        <w:numPr>
          <w:ilvl w:val="0"/>
          <w:numId w:val="1"/>
        </w:numPr>
        <w:tabs>
          <w:tab w:val="left" w:pos="725"/>
        </w:tabs>
        <w:spacing w:after="120" w:line="386" w:lineRule="auto"/>
        <w:ind w:left="720" w:hanging="360"/>
        <w:jc w:val="both"/>
      </w:pPr>
      <w:r>
        <w:rPr>
          <w:rStyle w:val="Teksttreci"/>
        </w:rPr>
        <w:t>wymaganie podpisania umowy notarialnej na dzierżawę terenu/</w:t>
      </w:r>
      <w:proofErr w:type="gramStart"/>
      <w:r>
        <w:rPr>
          <w:rStyle w:val="Teksttreci"/>
        </w:rPr>
        <w:t>obiektu</w:t>
      </w:r>
      <w:proofErr w:type="gramEnd"/>
      <w:r>
        <w:rPr>
          <w:rStyle w:val="Teksttreci"/>
        </w:rPr>
        <w:t xml:space="preserve"> jeśli zbieranie i/lub przetwarzanie dotyczy odpadów z grup 20, 19 i 15,</w:t>
      </w:r>
    </w:p>
    <w:p w14:paraId="52254D7E" w14:textId="77777777" w:rsidR="00A923BD" w:rsidRDefault="0089351E">
      <w:pPr>
        <w:pStyle w:val="Teksttreci0"/>
        <w:numPr>
          <w:ilvl w:val="0"/>
          <w:numId w:val="1"/>
        </w:numPr>
        <w:tabs>
          <w:tab w:val="left" w:pos="725"/>
        </w:tabs>
        <w:spacing w:after="120"/>
        <w:ind w:left="720" w:hanging="360"/>
        <w:jc w:val="both"/>
      </w:pPr>
      <w:r>
        <w:rPr>
          <w:rStyle w:val="Teksttreci"/>
        </w:rPr>
        <w:t xml:space="preserve">dostarczanie oryginałów dokumentów lub odpisów notarialnych, w </w:t>
      </w:r>
      <w:proofErr w:type="gramStart"/>
      <w:r>
        <w:rPr>
          <w:rStyle w:val="Teksttreci"/>
        </w:rPr>
        <w:t>sytuacji</w:t>
      </w:r>
      <w:proofErr w:type="gramEnd"/>
      <w:r>
        <w:rPr>
          <w:rStyle w:val="Teksttreci"/>
        </w:rPr>
        <w:t xml:space="preserve"> gdyby wystarczyły dokumenty potwierdzone za zgodność z oryginałem potwierdzone przez upoważnioną osobę do reprezentacji z danego podmiotu.</w:t>
      </w:r>
    </w:p>
    <w:p w14:paraId="7C1AAFBD" w14:textId="77777777" w:rsidR="00A923BD" w:rsidRDefault="0089351E">
      <w:pPr>
        <w:pStyle w:val="Teksttreci0"/>
        <w:spacing w:line="396" w:lineRule="auto"/>
        <w:jc w:val="both"/>
      </w:pPr>
      <w:r>
        <w:rPr>
          <w:rStyle w:val="Teksttreci"/>
        </w:rPr>
        <w:t xml:space="preserve">Widzimy także potrzebę organizacji przez Ministerstwo Klimatu i Środowiska szkoleń w formie stacjonarnej lub online dla pracowników administracji samorządowej oraz przedsiębiorców. Regularne szkolenia przyczynią się do jednolitej interpretacji i stosowania prawa w skali kraju oraz pomogą unikać błędów wynikających z różnorodnych interpretacji </w:t>
      </w:r>
      <w:r>
        <w:rPr>
          <w:rStyle w:val="Teksttreci"/>
        </w:rPr>
        <w:lastRenderedPageBreak/>
        <w:t>prawa, co powinno przełożyć się na prowadzenie procesu wydawania decyzji w sposób efektywny.</w:t>
      </w:r>
    </w:p>
    <w:p w14:paraId="26D4E51D" w14:textId="77777777" w:rsidR="00A923BD" w:rsidRDefault="0089351E">
      <w:pPr>
        <w:pStyle w:val="Teksttreci0"/>
        <w:spacing w:line="396" w:lineRule="auto"/>
        <w:jc w:val="both"/>
      </w:pPr>
      <w:r>
        <w:rPr>
          <w:rStyle w:val="Teksttreci"/>
        </w:rPr>
        <w:t>Zwracamy się także z prośbą o rozważenie możliwości publikowania na stronie internetowej Ministerstwa Klimatu i Środowiska wydanych interpretacji i wytycznych Komisji Europejskiej. Działanie takie ułatwi rozpatrywanie podobnych przypadków przez organy i pozwoli przedsiębiorcom przygotowanie się do konkretnych zagadnień.</w:t>
      </w:r>
    </w:p>
    <w:p w14:paraId="50666253" w14:textId="77777777" w:rsidR="00A923BD" w:rsidRDefault="0089351E">
      <w:pPr>
        <w:pStyle w:val="Teksttreci0"/>
        <w:jc w:val="both"/>
      </w:pPr>
      <w:r>
        <w:rPr>
          <w:rStyle w:val="Teksttreci"/>
        </w:rPr>
        <w:t xml:space="preserve">Apelujemy także o przywrócenie kompetencji na poziom starostów do wydania zezwolenia na zbieranie odpadów. Na dzisiaj w </w:t>
      </w:r>
      <w:proofErr w:type="gramStart"/>
      <w:r>
        <w:rPr>
          <w:rStyle w:val="Teksttreci"/>
        </w:rPr>
        <w:t>przypadku</w:t>
      </w:r>
      <w:proofErr w:type="gramEnd"/>
      <w:r>
        <w:rPr>
          <w:rStyle w:val="Teksttreci"/>
        </w:rPr>
        <w:t xml:space="preserve"> gdy maksymalna łączna masa wszystkich rodzajów odpadów magazynowanych w okresie roku przekracza 3000 Mg właściwym organem jest marszałek województwa. Przekazanie tej kompetencji do Urzędów Marszałkowskich spowodował napływ wielu mniejszych spraw i przyczynił się do zablokowania procesu wydawania decyzji administracyjnych przez Urzędy Marszałkowskie, które nie były i w dalszym ciągu nie są kadrowo przygotowane do rozpatrywania takiej liczby spraw. Postępowania te z powodzeniem mogą być prowadzone p</w:t>
      </w:r>
      <w:r>
        <w:rPr>
          <w:rStyle w:val="Teksttreci"/>
        </w:rPr>
        <w:t>rzez niższy szczebel administracji samorządowej, mającej większą wiedzę na temat działalności prowadzonej na swoim terenie.</w:t>
      </w:r>
    </w:p>
    <w:p w14:paraId="02D6ED5D" w14:textId="77777777" w:rsidR="00A923BD" w:rsidRDefault="0089351E">
      <w:pPr>
        <w:pStyle w:val="Teksttreci0"/>
        <w:jc w:val="both"/>
      </w:pPr>
      <w:r>
        <w:rPr>
          <w:rStyle w:val="Teksttreci"/>
        </w:rPr>
        <w:t>Chcielibyśmy również zwrócić uwagę na brak ustawowej definicji „istotnej zmiany zezwolenia" w ustawie o odpadach co powoduje problemy interpretacyjne w zakresie prawidłowej kwalifikacji zmiany zezwolenia. Przykładowo zbieranie odpadów może odbywać się bez instalacji (urządzenia), dlatego potrzebne jest wprowadzenie definicji „istotnej zmiany zezwolenia", co umożliwi prawidłową ocenę czy zmianę prowadzenia działalności w zakresie zbierania odpadów kwalifikować należy jako istotną czy jako nieistotną zmianę z</w:t>
      </w:r>
      <w:r>
        <w:rPr>
          <w:rStyle w:val="Teksttreci"/>
        </w:rPr>
        <w:t xml:space="preserve">ezwolenia. Jednocześnie w przypadku zmiany pozwalniana na przetwarzanie lub wytwarzanie odpadów należy odnieść się do def. istotnej zmiany instalacji z ustawy Prawo ochrony środowiska, aby prawidłowo </w:t>
      </w:r>
      <w:proofErr w:type="gramStart"/>
      <w:r>
        <w:rPr>
          <w:rStyle w:val="Teksttreci"/>
        </w:rPr>
        <w:t>ocenić</w:t>
      </w:r>
      <w:proofErr w:type="gramEnd"/>
      <w:r>
        <w:rPr>
          <w:rStyle w:val="Teksttreci"/>
        </w:rPr>
        <w:t xml:space="preserve"> czy doszło do zmiany istotnej czy nieistotnej instalacji (urządzenia). Sprawne wydawanie decyzji leży w interesie państwa i rozwoju gospodarki zgodnie z ideą GOZ.</w:t>
      </w:r>
    </w:p>
    <w:p w14:paraId="0A5CA8C8" w14:textId="77777777" w:rsidR="00A923BD" w:rsidRDefault="0089351E">
      <w:pPr>
        <w:pStyle w:val="Teksttreci0"/>
        <w:jc w:val="both"/>
      </w:pPr>
      <w:r>
        <w:rPr>
          <w:rStyle w:val="Teksttreci"/>
        </w:rPr>
        <w:t xml:space="preserve">Procedowanie wniosków o wydanie nowych decyzji sektorowych przez ponad rok powoduje zasadne obawy, że nie wszystkie wnioski zostaną rozpoznane przed zakończeniem 2025 roku. </w:t>
      </w:r>
      <w:r>
        <w:rPr>
          <w:rStyle w:val="Teksttreci"/>
          <w:u w:val="single"/>
        </w:rPr>
        <w:t>Brak zabezpieczenia ważności decyzji grozi instalacjom utratą zezwoleń, a tym samym wstrzymaniem działalności i pozbawieniem pracy zatrudnionych pracowników a niejednokrotnie może powodować realizację celów publicznych podmiotów będących w jurysdykcji jednostek samorządowych.</w:t>
      </w:r>
    </w:p>
    <w:p w14:paraId="1FC3C9A4" w14:textId="77777777" w:rsidR="00A923BD" w:rsidRDefault="0089351E">
      <w:pPr>
        <w:pStyle w:val="Teksttreci0"/>
        <w:jc w:val="both"/>
      </w:pPr>
      <w:r>
        <w:rPr>
          <w:rStyle w:val="Teksttreci"/>
        </w:rPr>
        <w:t xml:space="preserve">Złożenie wniosku o zmianę zezwolenia, pozwolenia, powinno być również przesłanką braną pod uwagę przy ewentualnych sankcjach karnych za naruszenie zapisów zmienianej decyzji, tj. ich </w:t>
      </w:r>
      <w:proofErr w:type="gramStart"/>
      <w:r>
        <w:rPr>
          <w:rStyle w:val="Teksttreci"/>
        </w:rPr>
        <w:t>nie wyciąganie</w:t>
      </w:r>
      <w:proofErr w:type="gramEnd"/>
      <w:r>
        <w:rPr>
          <w:rStyle w:val="Teksttreci"/>
        </w:rPr>
        <w:t xml:space="preserve"> w sytuacji</w:t>
      </w:r>
    </w:p>
    <w:p w14:paraId="351B5FE7" w14:textId="77777777" w:rsidR="00A923BD" w:rsidRDefault="0089351E">
      <w:pPr>
        <w:pStyle w:val="Teksttreci0"/>
        <w:spacing w:after="40"/>
        <w:jc w:val="both"/>
      </w:pPr>
      <w:r>
        <w:rPr>
          <w:rStyle w:val="Teksttreci"/>
        </w:rPr>
        <w:t xml:space="preserve">gdy zrealizowanie wnioskowanej zmiany nie powodowałoby naruszenia. W związku z faktem przewlekłości trwających postępowań dotyczących zmiany dotychczasowych decyzji lub uzyskania nowych, przy ewentualnym rozpatrywaniu sankcji karnych za naruszenie warunków zmienianej decyzji, powinny być brane pod uwagę warunki jakie zostały zgłoszone we wniosku o zmianę tej decyzji </w:t>
      </w:r>
      <w:proofErr w:type="spellStart"/>
      <w:r>
        <w:rPr>
          <w:rStyle w:val="Teksttreci"/>
        </w:rPr>
        <w:t>np</w:t>
      </w:r>
      <w:proofErr w:type="spellEnd"/>
      <w:r>
        <w:rPr>
          <w:rStyle w:val="Teksttreci"/>
        </w:rPr>
        <w:t>: przekroczenie w ilości zbieranych, przetwarzanych czy wytwarzanych odpadów czy zbieranie danego rodzaju odpadów, w sytuacji gdy podmiot wystąpił o taką zmianę a proces uzgodnieniowy trwa parę lat. Należy tu również dodać, że uzyskanie zezwolenia na zbieranie, przetwarzanie odpadów czy pozwolenia zintegrowanego to tylko jedno z wielu wymaganych uzgodnień. Gdy do tego dodać czas na otrzymanie: decyzji lokalizacyjnych, decyzji środowiskowych, pozwoleń na budowę/użytkowanie (jeżeli zmiany tego wymagają), cz</w:t>
      </w:r>
      <w:r>
        <w:rPr>
          <w:rStyle w:val="Teksttreci"/>
        </w:rPr>
        <w:t xml:space="preserve">y </w:t>
      </w:r>
      <w:r>
        <w:rPr>
          <w:rStyle w:val="Teksttreci"/>
        </w:rPr>
        <w:lastRenderedPageBreak/>
        <w:t>wspomnianych zezwoleń to reakcja branży gospodarowania odpadami na pojawiające się potrzeby wydłuża się nawet do 5 -10 lat, tylko ze względów administracyjnych.</w:t>
      </w:r>
    </w:p>
    <w:p w14:paraId="763AE882" w14:textId="77777777" w:rsidR="00A923BD" w:rsidRDefault="0089351E">
      <w:pPr>
        <w:pStyle w:val="Teksttreci0"/>
        <w:spacing w:after="220"/>
        <w:jc w:val="both"/>
      </w:pPr>
      <w:r>
        <w:rPr>
          <w:rStyle w:val="Teksttreci"/>
        </w:rPr>
        <w:t xml:space="preserve">Jako podmioty komunalne prowadzące instalacje MBP, mając na uwadze cele środowiskowe jakimi się kierujemy w swojej działalności oraz odpowiedzialność jaka na nas spoczywa w zakresie wspomagania obsługiwanych gmin w osiąganiu poziomów przygotowania do ponownego użycia i recyklingu odpadów komunalnych, zauważamy, iż pomimo wysortowania odpowiednich frakcji surowcowych istnieje duży problem z przekazaniem ich do </w:t>
      </w:r>
      <w:proofErr w:type="gramStart"/>
      <w:r>
        <w:rPr>
          <w:rStyle w:val="Teksttreci"/>
        </w:rPr>
        <w:t>finalnego</w:t>
      </w:r>
      <w:proofErr w:type="gramEnd"/>
      <w:r>
        <w:rPr>
          <w:rStyle w:val="Teksttreci"/>
        </w:rPr>
        <w:t xml:space="preserve"> </w:t>
      </w:r>
      <w:proofErr w:type="spellStart"/>
      <w:r>
        <w:rPr>
          <w:rStyle w:val="Teksttreci"/>
        </w:rPr>
        <w:t>recyklera</w:t>
      </w:r>
      <w:proofErr w:type="spellEnd"/>
      <w:r>
        <w:rPr>
          <w:rStyle w:val="Teksttreci"/>
        </w:rPr>
        <w:t xml:space="preserve">. Wpływa na to wiele czynników, w tym brak odpowiednich przepisów regulujących </w:t>
      </w:r>
      <w:proofErr w:type="spellStart"/>
      <w:r>
        <w:rPr>
          <w:rStyle w:val="Teksttreci"/>
        </w:rPr>
        <w:t>ekoprojektowanie</w:t>
      </w:r>
      <w:proofErr w:type="spellEnd"/>
      <w:r>
        <w:rPr>
          <w:rStyle w:val="Teksttreci"/>
        </w:rPr>
        <w:t xml:space="preserve"> dla opakowań wprowadzanych na rynek, które wytwarzane są np. jako wiele rodzajów tworzyw sztucznych w jednym opakowaniu.</w:t>
      </w:r>
    </w:p>
    <w:p w14:paraId="4CF6C5A4" w14:textId="77777777" w:rsidR="00A923BD" w:rsidRDefault="0089351E">
      <w:pPr>
        <w:pStyle w:val="Teksttreci0"/>
        <w:spacing w:after="40"/>
        <w:jc w:val="both"/>
      </w:pPr>
      <w:r>
        <w:rPr>
          <w:rStyle w:val="Teksttreci"/>
        </w:rPr>
        <w:t xml:space="preserve">Apelujemy także do wprowadzenia zmian wpływających na poprawę poziomów przygotowania do ponownego użycia i recyklingu osiąganych przez gminy. Jedną z nich jest uznanie </w:t>
      </w:r>
      <w:r>
        <w:rPr>
          <w:rStyle w:val="Teksttreci"/>
          <w:b/>
          <w:bCs/>
        </w:rPr>
        <w:t xml:space="preserve">możliwości utraty statusu odpadów dla wytwarzanego w instalacjach paliwa alternatywnego RDF (takie rozwiązania funkcjonują w krajach EU). </w:t>
      </w:r>
      <w:r>
        <w:rPr>
          <w:rStyle w:val="Teksttreci"/>
        </w:rPr>
        <w:t xml:space="preserve">Proces uzyskania takiej decyzji jest określony w ustawie o odpadach. Według naszej wiedzy dla paliw alternatywnych o kodzie </w:t>
      </w:r>
      <w:proofErr w:type="gramStart"/>
      <w:r>
        <w:rPr>
          <w:rStyle w:val="Teksttreci"/>
        </w:rPr>
        <w:t>19 12 10</w:t>
      </w:r>
      <w:proofErr w:type="gramEnd"/>
      <w:r>
        <w:rPr>
          <w:rStyle w:val="Teksttreci"/>
        </w:rPr>
        <w:t xml:space="preserve"> do dzisiaj w Polsce nie wydano takiej decyzji z obawy przed utratą kontroli nad powstałym strumieniem i ich nielegalnym zagospodarowywaniem poza systemem. Mając ten czynnik na uwadze proponujemy, aby przy zmianie przepisów wprowadzić koniecz</w:t>
      </w:r>
      <w:r>
        <w:rPr>
          <w:rStyle w:val="Teksttreci"/>
        </w:rPr>
        <w:t xml:space="preserve">ność zgłaszania transportu takiego produktu do </w:t>
      </w:r>
      <w:proofErr w:type="gramStart"/>
      <w:r>
        <w:rPr>
          <w:rStyle w:val="Teksttreci"/>
        </w:rPr>
        <w:t>finalnego</w:t>
      </w:r>
      <w:proofErr w:type="gramEnd"/>
      <w:r>
        <w:rPr>
          <w:rStyle w:val="Teksttreci"/>
        </w:rPr>
        <w:t xml:space="preserve"> przetwórcy np. z wykorzystaniem systemu SENT.</w:t>
      </w:r>
    </w:p>
    <w:p w14:paraId="3208F0EE" w14:textId="77777777" w:rsidR="00A923BD" w:rsidRDefault="0089351E">
      <w:pPr>
        <w:pStyle w:val="Teksttreci0"/>
        <w:spacing w:after="40" w:line="389" w:lineRule="auto"/>
        <w:jc w:val="both"/>
      </w:pPr>
      <w:r>
        <w:rPr>
          <w:rStyle w:val="Teksttreci"/>
        </w:rPr>
        <w:t>Jednocześnie należy też zastanowić się nad wykorzystaniem możliwości zaliczenia do recyklingu paliw alternatywnych RDF przetwarzanych w cementowniach np. przy produkcji klinkieru. Zgodnie z technologią wypalania klinkieru stosowaną w cementowniach cała masa paliw alternatywnych RDF kierowanych do procesu wykorzystywana jest jako komponent klinkieru. Tego typu działanie nie wymaga żadnych zmian prawnych, a jedynie wydania przez Ministra Klimatu i Środowiska stosownej interpretacji.</w:t>
      </w:r>
    </w:p>
    <w:p w14:paraId="1C0FB7D3" w14:textId="77777777" w:rsidR="00A923BD" w:rsidRDefault="0089351E">
      <w:pPr>
        <w:pStyle w:val="Teksttreci0"/>
        <w:spacing w:after="40"/>
        <w:jc w:val="both"/>
        <w:sectPr w:rsidR="00A923BD">
          <w:footerReference w:type="default" r:id="rId9"/>
          <w:pgSz w:w="11900" w:h="16840"/>
          <w:pgMar w:top="1049" w:right="1009" w:bottom="1595" w:left="1143" w:header="621" w:footer="3" w:gutter="0"/>
          <w:cols w:space="720"/>
          <w:noEndnote/>
          <w:docGrid w:linePitch="360"/>
        </w:sectPr>
      </w:pPr>
      <w:r>
        <w:rPr>
          <w:rStyle w:val="Teksttreci"/>
        </w:rPr>
        <w:t>Przepisy w tej kwestii powinny być przejrzyste i łatwe do stosowania. Implementowanie rozwiązań stosowanych w innych krajach oraz wprowadzenie proponowanych zmian w aktualnych przepisach,</w:t>
      </w:r>
    </w:p>
    <w:p w14:paraId="220BD991" w14:textId="77777777" w:rsidR="00A923BD" w:rsidRDefault="0089351E">
      <w:pPr>
        <w:pStyle w:val="Teksttreci0"/>
        <w:spacing w:after="160" w:line="240" w:lineRule="auto"/>
      </w:pPr>
      <w:r>
        <w:rPr>
          <w:rStyle w:val="Teksttreci"/>
        </w:rPr>
        <w:lastRenderedPageBreak/>
        <w:t>ich odpowiednia interpretacja naszym zdaniem przyczyni się znacząco do poprawy poziomów uzyskiwanych</w:t>
      </w:r>
    </w:p>
    <w:p w14:paraId="3BA66731" w14:textId="77777777" w:rsidR="00A923BD" w:rsidRDefault="0089351E">
      <w:pPr>
        <w:pStyle w:val="Teksttreci0"/>
        <w:spacing w:after="200" w:line="240" w:lineRule="auto"/>
      </w:pPr>
      <w:r>
        <w:rPr>
          <w:rStyle w:val="Teksttreci"/>
        </w:rPr>
        <w:t>przez gminy.</w:t>
      </w:r>
    </w:p>
    <w:p w14:paraId="79D1A2A2" w14:textId="77777777" w:rsidR="00A923BD" w:rsidRDefault="0089351E">
      <w:pPr>
        <w:pStyle w:val="Teksttreci0"/>
        <w:spacing w:after="180" w:line="406" w:lineRule="auto"/>
      </w:pPr>
      <w:r>
        <w:rPr>
          <w:rStyle w:val="Teksttreci"/>
        </w:rPr>
        <w:t>W przypadku jakichkolwiek dodatkowych pytań lub potrzeby dostarczenia dodatkowych danych pozostajemy do dyspozycji.</w:t>
      </w:r>
    </w:p>
    <w:sectPr w:rsidR="00A923BD">
      <w:pgSz w:w="11900" w:h="16840"/>
      <w:pgMar w:top="1217" w:right="1013" w:bottom="1445" w:left="1214" w:header="7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F374" w14:textId="77777777" w:rsidR="0089351E" w:rsidRDefault="0089351E">
      <w:r>
        <w:separator/>
      </w:r>
    </w:p>
  </w:endnote>
  <w:endnote w:type="continuationSeparator" w:id="0">
    <w:p w14:paraId="3E4239FC" w14:textId="77777777" w:rsidR="0089351E" w:rsidRDefault="0089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E9D2" w14:textId="77777777" w:rsidR="00A923BD" w:rsidRDefault="0089351E">
    <w:pPr>
      <w:spacing w:line="1" w:lineRule="exact"/>
    </w:pPr>
    <w:r>
      <w:rPr>
        <w:noProof/>
      </w:rPr>
      <mc:AlternateContent>
        <mc:Choice Requires="wps">
          <w:drawing>
            <wp:anchor distT="0" distB="0" distL="0" distR="0" simplePos="0" relativeHeight="62914691" behindDoc="1" locked="0" layoutInCell="1" allowOverlap="1" wp14:anchorId="03871486" wp14:editId="702B0F26">
              <wp:simplePos x="0" y="0"/>
              <wp:positionH relativeFrom="page">
                <wp:posOffset>6812280</wp:posOffset>
              </wp:positionH>
              <wp:positionV relativeFrom="page">
                <wp:posOffset>9779635</wp:posOffset>
              </wp:positionV>
              <wp:extent cx="52070"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0CED3839" w14:textId="77777777" w:rsidR="00A923BD" w:rsidRDefault="0089351E">
                          <w:pPr>
                            <w:pStyle w:val="Nagweklubstopka20"/>
                            <w:rPr>
                              <w:sz w:val="18"/>
                              <w:szCs w:val="18"/>
                            </w:rPr>
                          </w:pPr>
                          <w:r>
                            <w:fldChar w:fldCharType="begin"/>
                          </w:r>
                          <w:r>
                            <w:instrText xml:space="preserve"> PAGE \* MERGEFORMAT </w:instrText>
                          </w:r>
                          <w:r>
                            <w:fldChar w:fldCharType="separate"/>
                          </w:r>
                          <w:r>
                            <w:rPr>
                              <w:rStyle w:val="Nagweklubstopka2"/>
                              <w:rFonts w:ascii="Arial" w:eastAsia="Arial" w:hAnsi="Arial" w:cs="Arial"/>
                              <w:sz w:val="18"/>
                              <w:szCs w:val="18"/>
                            </w:rPr>
                            <w:t>#</w:t>
                          </w:r>
                          <w:r>
                            <w:rPr>
                              <w:rStyle w:val="Nagweklubstopka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03871486" id="_x0000_t202" coordsize="21600,21600" o:spt="202" path="m,l,21600r21600,l21600,xe">
              <v:stroke joinstyle="miter"/>
              <v:path gradientshapeok="t" o:connecttype="rect"/>
            </v:shapetype>
            <v:shape id="Shape 16" o:spid="_x0000_s1031" type="#_x0000_t202" style="position:absolute;margin-left:536.4pt;margin-top:770.05pt;width:4.1pt;height:6.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" filled="f" stroked="f">
              <v:textbox style="mso-fit-shape-to-text:t" inset="0,0,0,0">
                <w:txbxContent>
                  <w:p w14:paraId="0CED3839" w14:textId="77777777" w:rsidR="00A923BD" w:rsidRDefault="0089351E">
                    <w:pPr>
                      <w:pStyle w:val="Nagweklubstopka20"/>
                      <w:rPr>
                        <w:sz w:val="18"/>
                        <w:szCs w:val="18"/>
                      </w:rPr>
                    </w:pPr>
                    <w:r>
                      <w:fldChar w:fldCharType="begin"/>
                    </w:r>
                    <w:r>
                      <w:instrText xml:space="preserve"> PAGE \* MERGEFORMAT </w:instrText>
                    </w:r>
                    <w:r>
                      <w:fldChar w:fldCharType="separate"/>
                    </w:r>
                    <w:r>
                      <w:rPr>
                        <w:rStyle w:val="Nagweklubstopka2"/>
                        <w:rFonts w:ascii="Arial" w:eastAsia="Arial" w:hAnsi="Arial" w:cs="Arial"/>
                        <w:sz w:val="18"/>
                        <w:szCs w:val="18"/>
                      </w:rPr>
                      <w:t>#</w:t>
                    </w:r>
                    <w:r>
                      <w:rPr>
                        <w:rStyle w:val="Nagweklubstopka2"/>
                        <w:rFonts w:ascii="Arial" w:eastAsia="Arial" w:hAnsi="Arial" w:cs="Arial"/>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49BF" w14:textId="77777777" w:rsidR="00A923BD" w:rsidRDefault="00A923BD"/>
  </w:footnote>
  <w:footnote w:type="continuationSeparator" w:id="0">
    <w:p w14:paraId="6D823CC9" w14:textId="77777777" w:rsidR="00A923BD" w:rsidRDefault="00A923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012A"/>
    <w:multiLevelType w:val="multilevel"/>
    <w:tmpl w:val="D3A02D7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766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3BD"/>
    <w:rsid w:val="00151F48"/>
    <w:rsid w:val="0089351E"/>
    <w:rsid w:val="00A923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25BF"/>
  <w15:docId w15:val="{0003B218-884E-42B0-BCED-DF1769CD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color w:val="8E8E8E"/>
      <w:sz w:val="28"/>
      <w:szCs w:val="28"/>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0"/>
      <w:szCs w:val="10"/>
      <w:u w:val="none"/>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6"/>
      <w:szCs w:val="1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color w:val="6C6C6C"/>
      <w:sz w:val="13"/>
      <w:szCs w:val="13"/>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24"/>
      <w:szCs w:val="24"/>
      <w:u w:val="none"/>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24"/>
      <w:szCs w:val="24"/>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Teksttreci40">
    <w:name w:val="Tekst treści (4)"/>
    <w:basedOn w:val="Normalny"/>
    <w:link w:val="Teksttreci4"/>
    <w:rPr>
      <w:rFonts w:ascii="Times New Roman" w:eastAsia="Times New Roman" w:hAnsi="Times New Roman" w:cs="Times New Roman"/>
      <w:color w:val="8E8E8E"/>
      <w:sz w:val="28"/>
      <w:szCs w:val="28"/>
    </w:rPr>
  </w:style>
  <w:style w:type="paragraph" w:customStyle="1" w:styleId="Teksttreci50">
    <w:name w:val="Tekst treści (5)"/>
    <w:basedOn w:val="Normalny"/>
    <w:link w:val="Teksttreci5"/>
    <w:rPr>
      <w:rFonts w:ascii="Times New Roman" w:eastAsia="Times New Roman" w:hAnsi="Times New Roman" w:cs="Times New Roman"/>
      <w:sz w:val="10"/>
      <w:szCs w:val="10"/>
    </w:rPr>
  </w:style>
  <w:style w:type="paragraph" w:customStyle="1" w:styleId="Podpisobrazu0">
    <w:name w:val="Podpis obrazu"/>
    <w:basedOn w:val="Normalny"/>
    <w:link w:val="Podpisobrazu"/>
    <w:pPr>
      <w:spacing w:line="259" w:lineRule="auto"/>
    </w:pPr>
    <w:rPr>
      <w:rFonts w:ascii="Arial" w:eastAsia="Arial" w:hAnsi="Arial" w:cs="Arial"/>
      <w:sz w:val="16"/>
      <w:szCs w:val="16"/>
    </w:rPr>
  </w:style>
  <w:style w:type="paragraph" w:customStyle="1" w:styleId="Teksttreci20">
    <w:name w:val="Tekst treści (2)"/>
    <w:basedOn w:val="Normalny"/>
    <w:link w:val="Teksttreci2"/>
    <w:pPr>
      <w:spacing w:after="180" w:line="276" w:lineRule="auto"/>
      <w:jc w:val="center"/>
    </w:pPr>
    <w:rPr>
      <w:rFonts w:ascii="Times New Roman" w:eastAsia="Times New Roman" w:hAnsi="Times New Roman" w:cs="Times New Roman"/>
      <w:color w:val="6C6C6C"/>
      <w:sz w:val="13"/>
      <w:szCs w:val="13"/>
    </w:rPr>
  </w:style>
  <w:style w:type="paragraph" w:customStyle="1" w:styleId="Teksttreci30">
    <w:name w:val="Tekst treści (3)"/>
    <w:basedOn w:val="Normalny"/>
    <w:link w:val="Teksttreci3"/>
    <w:pPr>
      <w:spacing w:after="1040"/>
    </w:pPr>
    <w:rPr>
      <w:rFonts w:ascii="Calibri" w:eastAsia="Calibri" w:hAnsi="Calibri" w:cs="Calibri"/>
    </w:rPr>
  </w:style>
  <w:style w:type="paragraph" w:customStyle="1" w:styleId="Nagwek10">
    <w:name w:val="Nagłówek #1"/>
    <w:basedOn w:val="Normalny"/>
    <w:link w:val="Nagwek1"/>
    <w:pPr>
      <w:spacing w:after="120"/>
      <w:outlineLvl w:val="0"/>
    </w:pPr>
    <w:rPr>
      <w:rFonts w:ascii="Calibri" w:eastAsia="Calibri" w:hAnsi="Calibri" w:cs="Calibri"/>
      <w:b/>
      <w:bCs/>
    </w:rPr>
  </w:style>
  <w:style w:type="paragraph" w:customStyle="1" w:styleId="Teksttreci0">
    <w:name w:val="Tekst treści"/>
    <w:basedOn w:val="Normalny"/>
    <w:link w:val="Teksttreci"/>
    <w:pPr>
      <w:spacing w:after="100" w:line="391" w:lineRule="auto"/>
    </w:pPr>
    <w:rPr>
      <w:rFonts w:ascii="Calibri" w:eastAsia="Calibri" w:hAnsi="Calibri" w:cs="Calibri"/>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9482</Characters>
  <Application>Microsoft Office Word</Application>
  <DocSecurity>0</DocSecurity>
  <Lines>79</Lines>
  <Paragraphs>22</Paragraphs>
  <ScaleCrop>false</ScaleCrop>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 Software )</dc:creator>
  <cp:keywords/>
  <cp:lastModifiedBy>Zygadlewicz Małgorzata</cp:lastModifiedBy>
  <cp:revision>2</cp:revision>
  <dcterms:created xsi:type="dcterms:W3CDTF">2025-06-02T14:15:00Z</dcterms:created>
  <dcterms:modified xsi:type="dcterms:W3CDTF">2025-06-02T14:15:00Z</dcterms:modified>
</cp:coreProperties>
</file>