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A9C" w14:textId="77777777" w:rsidR="00F451AD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B51C4">
        <w:rPr>
          <w:rFonts w:ascii="Verdana" w:hAnsi="Verdana"/>
          <w:sz w:val="20"/>
          <w:szCs w:val="20"/>
        </w:rPr>
        <w:t>PROGRAM FUNKCJONALNO – UŻYTKOWY</w:t>
      </w:r>
    </w:p>
    <w:p w14:paraId="796DBF8A" w14:textId="77777777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</w:p>
    <w:p w14:paraId="025A0E6B" w14:textId="77777777" w:rsidR="00FA5A59" w:rsidRPr="003B51C4" w:rsidRDefault="00FA5A59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przedmiotu zamówienia</w:t>
      </w:r>
    </w:p>
    <w:p w14:paraId="53E7C6F5" w14:textId="2C1600A7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„</w:t>
      </w:r>
      <w:r w:rsidR="00EB5AC6">
        <w:rPr>
          <w:rFonts w:ascii="Verdana" w:hAnsi="Verdana"/>
          <w:sz w:val="20"/>
          <w:szCs w:val="20"/>
        </w:rPr>
        <w:t xml:space="preserve">Poprawa </w:t>
      </w:r>
      <w:r w:rsidR="003B7210">
        <w:rPr>
          <w:rFonts w:ascii="Verdana" w:hAnsi="Verdana"/>
          <w:sz w:val="20"/>
          <w:szCs w:val="20"/>
        </w:rPr>
        <w:t>BRD</w:t>
      </w:r>
      <w:r w:rsidR="00EB5AC6">
        <w:rPr>
          <w:rFonts w:ascii="Verdana" w:hAnsi="Verdana"/>
          <w:sz w:val="20"/>
          <w:szCs w:val="20"/>
        </w:rPr>
        <w:t xml:space="preserve"> na przejściach dla pieszych w ciągu DK11 w m. Sarnów i Krzywizna, DK43 w m. Rudniki i Jaworzno oraz DK45 w m. Krasków i Ligota Dolna”</w:t>
      </w:r>
      <w:r w:rsidR="007114EE">
        <w:rPr>
          <w:rFonts w:ascii="Verdana" w:hAnsi="Verdana"/>
          <w:sz w:val="20"/>
          <w:szCs w:val="20"/>
        </w:rPr>
        <w:t>.</w:t>
      </w:r>
    </w:p>
    <w:p w14:paraId="7DC885A9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Adres obiektu:</w:t>
      </w:r>
    </w:p>
    <w:p w14:paraId="10BCA161" w14:textId="7F718052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7114EE">
        <w:rPr>
          <w:rFonts w:ascii="Verdana" w:hAnsi="Verdana"/>
          <w:sz w:val="20"/>
          <w:szCs w:val="20"/>
        </w:rPr>
        <w:t>11</w:t>
      </w:r>
      <w:r w:rsidRPr="003B51C4">
        <w:rPr>
          <w:rFonts w:ascii="Verdana" w:hAnsi="Verdana"/>
          <w:sz w:val="20"/>
          <w:szCs w:val="20"/>
        </w:rPr>
        <w:t xml:space="preserve">, w m. </w:t>
      </w:r>
      <w:r w:rsidR="007114EE">
        <w:rPr>
          <w:rFonts w:ascii="Verdana" w:hAnsi="Verdana"/>
          <w:sz w:val="20"/>
          <w:szCs w:val="20"/>
        </w:rPr>
        <w:t>Sarnów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 w:rsidR="007114EE">
        <w:rPr>
          <w:rFonts w:ascii="Verdana" w:hAnsi="Verdana"/>
          <w:sz w:val="20"/>
          <w:szCs w:val="20"/>
        </w:rPr>
        <w:t>480+228</w:t>
      </w:r>
      <w:r w:rsidRPr="003B51C4">
        <w:rPr>
          <w:rFonts w:ascii="Verdana" w:hAnsi="Verdana"/>
          <w:sz w:val="20"/>
          <w:szCs w:val="20"/>
        </w:rPr>
        <w:t>;</w:t>
      </w:r>
    </w:p>
    <w:p w14:paraId="2F87B8D1" w14:textId="226CAEC6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7114EE">
        <w:rPr>
          <w:rFonts w:ascii="Verdana" w:hAnsi="Verdana"/>
          <w:sz w:val="20"/>
          <w:szCs w:val="20"/>
        </w:rPr>
        <w:t>11</w:t>
      </w:r>
      <w:r w:rsidRPr="003B51C4">
        <w:rPr>
          <w:rFonts w:ascii="Verdana" w:hAnsi="Verdana"/>
          <w:sz w:val="20"/>
          <w:szCs w:val="20"/>
        </w:rPr>
        <w:t xml:space="preserve">, w m. </w:t>
      </w:r>
      <w:r w:rsidR="007114EE">
        <w:rPr>
          <w:rFonts w:ascii="Verdana" w:hAnsi="Verdana"/>
          <w:sz w:val="20"/>
          <w:szCs w:val="20"/>
        </w:rPr>
        <w:t>Sarnów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 w:rsidR="007114EE">
        <w:rPr>
          <w:rFonts w:ascii="Verdana" w:hAnsi="Verdana"/>
          <w:sz w:val="20"/>
          <w:szCs w:val="20"/>
        </w:rPr>
        <w:t>480+485</w:t>
      </w:r>
      <w:r w:rsidRPr="003B51C4">
        <w:rPr>
          <w:rFonts w:ascii="Verdana" w:hAnsi="Verdana"/>
          <w:sz w:val="20"/>
          <w:szCs w:val="20"/>
        </w:rPr>
        <w:t>;</w:t>
      </w:r>
    </w:p>
    <w:p w14:paraId="04C9F4B5" w14:textId="285ACA9E" w:rsidR="009254CA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7114EE">
        <w:rPr>
          <w:rFonts w:ascii="Verdana" w:hAnsi="Verdana"/>
          <w:sz w:val="20"/>
          <w:szCs w:val="20"/>
        </w:rPr>
        <w:t>11</w:t>
      </w:r>
      <w:r w:rsidR="00357FB1"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 w:rsidR="00357FB1">
        <w:rPr>
          <w:rFonts w:ascii="Verdana" w:hAnsi="Verdana"/>
          <w:sz w:val="20"/>
          <w:szCs w:val="20"/>
        </w:rPr>
        <w:t xml:space="preserve"> </w:t>
      </w:r>
      <w:r w:rsidR="007114EE">
        <w:rPr>
          <w:rFonts w:ascii="Verdana" w:hAnsi="Verdana"/>
          <w:sz w:val="20"/>
          <w:szCs w:val="20"/>
        </w:rPr>
        <w:t>Krzywizna</w:t>
      </w:r>
      <w:r w:rsidRPr="003B51C4">
        <w:rPr>
          <w:rFonts w:ascii="Verdana" w:hAnsi="Verdana"/>
          <w:sz w:val="20"/>
          <w:szCs w:val="20"/>
        </w:rPr>
        <w:t>, prze</w:t>
      </w:r>
      <w:r w:rsidR="00CC79C3">
        <w:rPr>
          <w:rFonts w:ascii="Verdana" w:hAnsi="Verdana"/>
          <w:sz w:val="20"/>
          <w:szCs w:val="20"/>
        </w:rPr>
        <w:t xml:space="preserve">jście dla pieszych w km </w:t>
      </w:r>
      <w:r w:rsidR="007114EE">
        <w:rPr>
          <w:rFonts w:ascii="Verdana" w:hAnsi="Verdana"/>
          <w:sz w:val="20"/>
          <w:szCs w:val="20"/>
        </w:rPr>
        <w:t>484+468</w:t>
      </w:r>
      <w:r w:rsidR="00CC79C3">
        <w:rPr>
          <w:rFonts w:ascii="Verdana" w:hAnsi="Verdana"/>
          <w:sz w:val="20"/>
          <w:szCs w:val="20"/>
        </w:rPr>
        <w:t>;</w:t>
      </w:r>
    </w:p>
    <w:p w14:paraId="4668A224" w14:textId="53BF039D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7114EE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7114EE">
        <w:rPr>
          <w:rFonts w:ascii="Verdana" w:hAnsi="Verdana"/>
          <w:sz w:val="20"/>
          <w:szCs w:val="20"/>
        </w:rPr>
        <w:t>Krzywizna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7114EE">
        <w:rPr>
          <w:rFonts w:ascii="Verdana" w:hAnsi="Verdana"/>
          <w:sz w:val="20"/>
          <w:szCs w:val="20"/>
        </w:rPr>
        <w:t>484+537</w:t>
      </w:r>
      <w:r>
        <w:rPr>
          <w:rFonts w:ascii="Verdana" w:hAnsi="Verdana"/>
          <w:sz w:val="20"/>
          <w:szCs w:val="20"/>
        </w:rPr>
        <w:t>;</w:t>
      </w:r>
    </w:p>
    <w:p w14:paraId="1F3FA9EA" w14:textId="7ADA5B51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7114EE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7114EE">
        <w:rPr>
          <w:rFonts w:ascii="Verdana" w:hAnsi="Verdana"/>
          <w:sz w:val="20"/>
          <w:szCs w:val="20"/>
        </w:rPr>
        <w:t>Krzywizna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7114EE">
        <w:rPr>
          <w:rFonts w:ascii="Verdana" w:hAnsi="Verdana"/>
          <w:sz w:val="20"/>
          <w:szCs w:val="20"/>
        </w:rPr>
        <w:t>484+656</w:t>
      </w:r>
      <w:r>
        <w:rPr>
          <w:rFonts w:ascii="Verdana" w:hAnsi="Verdana"/>
          <w:sz w:val="20"/>
          <w:szCs w:val="20"/>
        </w:rPr>
        <w:t>;</w:t>
      </w:r>
    </w:p>
    <w:p w14:paraId="153AD5C3" w14:textId="6B687BCF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7114EE">
        <w:rPr>
          <w:rFonts w:ascii="Verdana" w:hAnsi="Verdana"/>
          <w:sz w:val="20"/>
          <w:szCs w:val="20"/>
        </w:rPr>
        <w:t>43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7114EE">
        <w:rPr>
          <w:rFonts w:ascii="Verdana" w:hAnsi="Verdana"/>
          <w:sz w:val="20"/>
          <w:szCs w:val="20"/>
        </w:rPr>
        <w:t>Rudniki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</w:t>
      </w:r>
      <w:r w:rsidR="00E33A13">
        <w:rPr>
          <w:rFonts w:ascii="Verdana" w:hAnsi="Verdana"/>
          <w:sz w:val="20"/>
          <w:szCs w:val="20"/>
        </w:rPr>
        <w:t xml:space="preserve"> </w:t>
      </w:r>
      <w:r w:rsidR="00D90B20">
        <w:rPr>
          <w:rFonts w:ascii="Verdana" w:hAnsi="Verdana"/>
          <w:sz w:val="20"/>
          <w:szCs w:val="20"/>
        </w:rPr>
        <w:t>20+48</w:t>
      </w:r>
      <w:r w:rsidR="007114EE">
        <w:rPr>
          <w:rFonts w:ascii="Verdana" w:hAnsi="Verdana"/>
          <w:sz w:val="20"/>
          <w:szCs w:val="20"/>
        </w:rPr>
        <w:t>0-20+500</w:t>
      </w:r>
      <w:r w:rsidR="00E33A13">
        <w:rPr>
          <w:rFonts w:ascii="Verdana" w:hAnsi="Verdana"/>
          <w:sz w:val="20"/>
          <w:szCs w:val="20"/>
        </w:rPr>
        <w:t>;</w:t>
      </w:r>
    </w:p>
    <w:p w14:paraId="03321F4D" w14:textId="50CEBDF4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7114EE">
        <w:rPr>
          <w:rFonts w:ascii="Verdana" w:hAnsi="Verdana"/>
          <w:sz w:val="20"/>
          <w:szCs w:val="20"/>
        </w:rPr>
        <w:t>43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7114EE">
        <w:rPr>
          <w:rFonts w:ascii="Verdana" w:hAnsi="Verdana"/>
          <w:sz w:val="20"/>
          <w:szCs w:val="20"/>
        </w:rPr>
        <w:t>Rudniki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7114EE">
        <w:rPr>
          <w:rFonts w:ascii="Verdana" w:hAnsi="Verdana"/>
          <w:sz w:val="20"/>
          <w:szCs w:val="20"/>
        </w:rPr>
        <w:t>20+665</w:t>
      </w:r>
      <w:r>
        <w:rPr>
          <w:rFonts w:ascii="Verdana" w:hAnsi="Verdana"/>
          <w:sz w:val="20"/>
          <w:szCs w:val="20"/>
        </w:rPr>
        <w:t>;</w:t>
      </w:r>
    </w:p>
    <w:p w14:paraId="38580CEA" w14:textId="661288A5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7114EE">
        <w:rPr>
          <w:rFonts w:ascii="Verdana" w:hAnsi="Verdana"/>
          <w:sz w:val="20"/>
          <w:szCs w:val="20"/>
        </w:rPr>
        <w:t>43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7114EE">
        <w:rPr>
          <w:rFonts w:ascii="Verdana" w:hAnsi="Verdana"/>
          <w:sz w:val="20"/>
          <w:szCs w:val="20"/>
        </w:rPr>
        <w:t>Jaworzno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7114EE">
        <w:rPr>
          <w:rFonts w:ascii="Verdana" w:hAnsi="Verdana"/>
          <w:sz w:val="20"/>
          <w:szCs w:val="20"/>
        </w:rPr>
        <w:t>20+904</w:t>
      </w:r>
      <w:r>
        <w:rPr>
          <w:rFonts w:ascii="Verdana" w:hAnsi="Verdana"/>
          <w:sz w:val="20"/>
          <w:szCs w:val="20"/>
        </w:rPr>
        <w:t>;</w:t>
      </w:r>
    </w:p>
    <w:p w14:paraId="42A69627" w14:textId="63616C55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7114EE">
        <w:rPr>
          <w:rFonts w:ascii="Verdana" w:hAnsi="Verdana"/>
          <w:sz w:val="20"/>
          <w:szCs w:val="20"/>
        </w:rPr>
        <w:t>43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7114EE">
        <w:rPr>
          <w:rFonts w:ascii="Verdana" w:hAnsi="Verdana"/>
          <w:sz w:val="20"/>
          <w:szCs w:val="20"/>
        </w:rPr>
        <w:t>Jaworzno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EE048E">
        <w:rPr>
          <w:rFonts w:ascii="Verdana" w:hAnsi="Verdana"/>
          <w:sz w:val="20"/>
          <w:szCs w:val="20"/>
        </w:rPr>
        <w:t>21+948</w:t>
      </w:r>
      <w:r>
        <w:rPr>
          <w:rFonts w:ascii="Verdana" w:hAnsi="Verdana"/>
          <w:sz w:val="20"/>
          <w:szCs w:val="20"/>
        </w:rPr>
        <w:t>;</w:t>
      </w:r>
    </w:p>
    <w:p w14:paraId="4DFEEB34" w14:textId="045F5F81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EE048E">
        <w:rPr>
          <w:rFonts w:ascii="Verdana" w:hAnsi="Verdana"/>
          <w:sz w:val="20"/>
          <w:szCs w:val="20"/>
        </w:rPr>
        <w:t>45d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EE048E">
        <w:rPr>
          <w:rFonts w:ascii="Verdana" w:hAnsi="Verdana"/>
          <w:sz w:val="20"/>
          <w:szCs w:val="20"/>
        </w:rPr>
        <w:t>Krasów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EE048E">
        <w:rPr>
          <w:rFonts w:ascii="Verdana" w:hAnsi="Verdana"/>
          <w:sz w:val="20"/>
          <w:szCs w:val="20"/>
        </w:rPr>
        <w:t>3+979</w:t>
      </w:r>
      <w:r>
        <w:rPr>
          <w:rFonts w:ascii="Verdana" w:hAnsi="Verdana"/>
          <w:sz w:val="20"/>
          <w:szCs w:val="20"/>
        </w:rPr>
        <w:t>;</w:t>
      </w:r>
    </w:p>
    <w:p w14:paraId="7FCB3ED6" w14:textId="30BD8118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EE048E">
        <w:rPr>
          <w:rFonts w:ascii="Verdana" w:hAnsi="Verdana"/>
          <w:sz w:val="20"/>
          <w:szCs w:val="20"/>
        </w:rPr>
        <w:t>45d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EE048E">
        <w:rPr>
          <w:rFonts w:ascii="Verdana" w:hAnsi="Verdana"/>
          <w:sz w:val="20"/>
          <w:szCs w:val="20"/>
        </w:rPr>
        <w:t>Ligota Dolna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EE048E">
        <w:rPr>
          <w:rFonts w:ascii="Verdana" w:hAnsi="Verdana"/>
          <w:sz w:val="20"/>
          <w:szCs w:val="20"/>
        </w:rPr>
        <w:t>4+869</w:t>
      </w:r>
      <w:r>
        <w:rPr>
          <w:rFonts w:ascii="Verdana" w:hAnsi="Verdana"/>
          <w:sz w:val="20"/>
          <w:szCs w:val="20"/>
        </w:rPr>
        <w:t>;</w:t>
      </w:r>
    </w:p>
    <w:p w14:paraId="78D9FBC1" w14:textId="6FB224B0" w:rsidR="00CC79C3" w:rsidRPr="003B51C4" w:rsidRDefault="00EE048E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droga krajowa nr 45d, w m. Ligota Dolna, przejście dla pieszych w km 4+892.</w:t>
      </w:r>
    </w:p>
    <w:p w14:paraId="5D9C0E5A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</w:p>
    <w:p w14:paraId="46DF7A9F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adres Zamawiającego:</w:t>
      </w:r>
    </w:p>
    <w:p w14:paraId="066FFD22" w14:textId="77777777" w:rsidR="00AC2C30" w:rsidRPr="003B51C4" w:rsidRDefault="00AC2C30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Generalna Dyrekcja Dróg Krajowych i Autostrad Oddział w Opolu</w:t>
      </w:r>
    </w:p>
    <w:p w14:paraId="114EACE3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ul. Niedziałkowskiego 6</w:t>
      </w:r>
    </w:p>
    <w:p w14:paraId="124B4866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45-085 Opole</w:t>
      </w:r>
    </w:p>
    <w:p w14:paraId="6D2532EA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</w:p>
    <w:p w14:paraId="471F2E3F" w14:textId="77777777" w:rsidR="00AC2C30" w:rsidRPr="003B51C4" w:rsidRDefault="00AC2C30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kody CPV:</w:t>
      </w:r>
    </w:p>
    <w:p w14:paraId="123E0ED1" w14:textId="77777777" w:rsidR="00AC2C30" w:rsidRPr="003B51C4" w:rsidRDefault="00AC2C30" w:rsidP="00A641B8">
      <w:pPr>
        <w:pStyle w:val="Akapitzlist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45000000-7 Roboty budowlane</w:t>
      </w:r>
    </w:p>
    <w:p w14:paraId="71CB18ED" w14:textId="77777777" w:rsidR="00AC2C30" w:rsidRPr="003B51C4" w:rsidRDefault="00AC2C30" w:rsidP="00A641B8">
      <w:pPr>
        <w:pStyle w:val="Akapitzlist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71320000-7 Usługi inżynieryjne w zakresie projektowania</w:t>
      </w:r>
    </w:p>
    <w:p w14:paraId="1788345C" w14:textId="77777777" w:rsidR="00AC2C30" w:rsidRPr="003B51C4" w:rsidRDefault="00AC2C30" w:rsidP="00A641B8">
      <w:pPr>
        <w:pStyle w:val="Akapitzlist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45231400-9 Roboty budowlane w zakresie budowy linii energetycznych</w:t>
      </w:r>
    </w:p>
    <w:p w14:paraId="5F4D756D" w14:textId="03803E80" w:rsidR="00AC2C30" w:rsidRDefault="00AC2C30" w:rsidP="00A641B8">
      <w:pPr>
        <w:pStyle w:val="Akapitzlist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45316110-9 Instalowanie urządzeń oświetlenia drogowego</w:t>
      </w:r>
    </w:p>
    <w:p w14:paraId="6B2C1D4B" w14:textId="77777777" w:rsidR="00A641B8" w:rsidRPr="00B106D0" w:rsidRDefault="00A641B8" w:rsidP="00A641B8">
      <w:pPr>
        <w:suppressAutoHyphens/>
        <w:spacing w:after="0" w:line="240" w:lineRule="auto"/>
        <w:ind w:left="709"/>
        <w:jc w:val="both"/>
        <w:rPr>
          <w:rFonts w:ascii="Verdana" w:hAnsi="Verdana" w:cs="Calibri"/>
          <w:b/>
          <w:sz w:val="20"/>
          <w:szCs w:val="20"/>
        </w:rPr>
      </w:pPr>
      <w:r w:rsidRPr="00B106D0">
        <w:rPr>
          <w:rFonts w:ascii="Verdana" w:hAnsi="Verdana" w:cs="Calibri"/>
          <w:b/>
          <w:sz w:val="20"/>
          <w:szCs w:val="20"/>
        </w:rPr>
        <w:t>45316200-7 Instalowanie urządzeń sygnalizacyjnych</w:t>
      </w:r>
    </w:p>
    <w:p w14:paraId="69EA6B1F" w14:textId="77777777" w:rsidR="00A641B8" w:rsidRPr="003B51C4" w:rsidRDefault="00A641B8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399EC5CB" w14:textId="77777777" w:rsidR="009254CA" w:rsidRPr="003B51C4" w:rsidRDefault="00AC2C30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ab/>
      </w:r>
    </w:p>
    <w:p w14:paraId="1B16C581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3A3A7A6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863779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9176104" w14:textId="343EADE8" w:rsidR="00CC79C3" w:rsidRDefault="00EB5AC6" w:rsidP="00EB5AC6">
      <w:pPr>
        <w:tabs>
          <w:tab w:val="left" w:pos="373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0F1A61A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17E108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Spis zawartości:</w:t>
      </w:r>
    </w:p>
    <w:p w14:paraId="3C4C15A2" w14:textId="77777777" w:rsidR="009254CA" w:rsidRPr="003B51C4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Opis ogólny przedmiotu zamówienia</w:t>
      </w:r>
    </w:p>
    <w:p w14:paraId="4DE6A97D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2500FEBF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</w:t>
      </w:r>
    </w:p>
    <w:p w14:paraId="3239B32A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prac projektowych</w:t>
      </w:r>
    </w:p>
    <w:p w14:paraId="6A9B1A90" w14:textId="77777777" w:rsidR="005C0E93" w:rsidRPr="003B51C4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robót budowlanych</w:t>
      </w:r>
    </w:p>
    <w:p w14:paraId="5B56EB04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</w:t>
      </w:r>
    </w:p>
    <w:p w14:paraId="3082D717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</w:t>
      </w:r>
    </w:p>
    <w:p w14:paraId="268250A5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705C81C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budowy oświetlenia dedykowanego LED</w:t>
      </w:r>
    </w:p>
    <w:p w14:paraId="27EAFC0B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ogólne</w:t>
      </w:r>
    </w:p>
    <w:p w14:paraId="7CD4028A" w14:textId="3C97B10C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Poziom i cechy oświetlenia</w:t>
      </w:r>
    </w:p>
    <w:p w14:paraId="6C727273" w14:textId="0D25DDCA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oświetlenia drogowego</w:t>
      </w:r>
    </w:p>
    <w:p w14:paraId="07CA8093" w14:textId="77777777" w:rsidR="00945F19" w:rsidRDefault="00945F19" w:rsidP="00945F19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Sygnalizacja świetlna</w:t>
      </w:r>
    </w:p>
    <w:p w14:paraId="00BA57E4" w14:textId="77777777" w:rsidR="00945F19" w:rsidRDefault="00945F19" w:rsidP="00945F19">
      <w:pPr>
        <w:pStyle w:val="Akapitzlist"/>
        <w:ind w:left="1788"/>
        <w:jc w:val="both"/>
        <w:rPr>
          <w:rFonts w:ascii="Verdana" w:hAnsi="Verdana"/>
          <w:sz w:val="20"/>
          <w:szCs w:val="20"/>
        </w:rPr>
      </w:pPr>
    </w:p>
    <w:p w14:paraId="769C7461" w14:textId="77777777" w:rsidR="009254CA" w:rsidRPr="003B51C4" w:rsidRDefault="009254CA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6B2993E3" w14:textId="77777777" w:rsidR="009254CA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351B65F9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 budowy</w:t>
      </w:r>
    </w:p>
    <w:p w14:paraId="7723DAB2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Odpowiedzialność prawna Wykonawcy</w:t>
      </w:r>
    </w:p>
    <w:p w14:paraId="3589C551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Wyroby budowlane</w:t>
      </w:r>
    </w:p>
    <w:p w14:paraId="01638893" w14:textId="77777777" w:rsidR="005C0E93" w:rsidRPr="003B51C4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wykonywanych robót</w:t>
      </w:r>
    </w:p>
    <w:p w14:paraId="627B2234" w14:textId="77777777" w:rsidR="009254CA" w:rsidRPr="003B51C4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</w:t>
      </w:r>
    </w:p>
    <w:p w14:paraId="28DC0494" w14:textId="77777777" w:rsidR="009254CA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Wymagania dotyczące wykonania </w:t>
      </w:r>
      <w:r w:rsidR="0056664F" w:rsidRPr="003B51C4">
        <w:rPr>
          <w:rFonts w:ascii="Verdana" w:hAnsi="Verdana"/>
          <w:sz w:val="20"/>
          <w:szCs w:val="20"/>
        </w:rPr>
        <w:t>i odbioru opracowań projektowych</w:t>
      </w:r>
    </w:p>
    <w:p w14:paraId="1BA85EFC" w14:textId="77777777" w:rsidR="005C0E93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projektowa</w:t>
      </w:r>
    </w:p>
    <w:p w14:paraId="2550AC63" w14:textId="77777777" w:rsidR="005C0E93" w:rsidRPr="003B51C4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powykonawcza</w:t>
      </w:r>
    </w:p>
    <w:p w14:paraId="22F20658" w14:textId="77777777" w:rsidR="0056664F" w:rsidRPr="003B51C4" w:rsidRDefault="0056664F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39EA102C" w14:textId="77777777" w:rsidR="0056664F" w:rsidRPr="003B51C4" w:rsidRDefault="0056664F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637B3648" w14:textId="0BA4693E" w:rsidR="0056664F" w:rsidRDefault="0056664F" w:rsidP="003B51C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3D662266" w14:textId="20E7990B" w:rsidR="00945F19" w:rsidRPr="003B51C4" w:rsidRDefault="00945F19" w:rsidP="003B51C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</w:t>
      </w:r>
    </w:p>
    <w:p w14:paraId="08DE613E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56454F61" w14:textId="77777777" w:rsidR="0056664F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3C031D7F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E8F6222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3DB499C1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47B4E10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96EAA8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591F542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0B7ABF7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F11086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B7D64FD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4980FA9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89D806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E35F678" w14:textId="77777777" w:rsidR="0056664F" w:rsidRPr="003B51C4" w:rsidRDefault="0056664F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Opis ogólny przedmiotu zamówienia</w:t>
      </w:r>
    </w:p>
    <w:p w14:paraId="7898729D" w14:textId="2262A6D7" w:rsidR="00BA2664" w:rsidRPr="00BA2664" w:rsidRDefault="0056664F" w:rsidP="00D90B20">
      <w:pPr>
        <w:pStyle w:val="Akapitzlist"/>
        <w:jc w:val="both"/>
        <w:rPr>
          <w:rFonts w:ascii="Verdana" w:eastAsia="MS Reference Sans Serif" w:hAnsi="Verdana" w:cs="MS Reference Sans Serif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Przedmiotem zamówienia jest</w:t>
      </w:r>
      <w:r w:rsidR="00BA2664">
        <w:rPr>
          <w:rFonts w:ascii="Verdana" w:hAnsi="Verdana"/>
          <w:sz w:val="20"/>
          <w:szCs w:val="20"/>
        </w:rPr>
        <w:t xml:space="preserve"> </w:t>
      </w:r>
      <w:r w:rsidR="00BA2664" w:rsidRPr="00BA2664">
        <w:rPr>
          <w:rFonts w:ascii="Verdana" w:hAnsi="Verdana"/>
          <w:sz w:val="20"/>
          <w:szCs w:val="20"/>
        </w:rPr>
        <w:t>z</w:t>
      </w:r>
      <w:r w:rsidR="00BA2664" w:rsidRPr="00BA2664">
        <w:rPr>
          <w:rFonts w:ascii="Verdana" w:hAnsi="Verdana" w:cs="Verdana"/>
          <w:bCs/>
          <w:sz w:val="20"/>
          <w:szCs w:val="20"/>
        </w:rPr>
        <w:t>aprojektowanie i budowa doświetlenia przejść dla</w:t>
      </w:r>
      <w:r w:rsidR="00A7031E">
        <w:rPr>
          <w:rFonts w:ascii="Verdana" w:hAnsi="Verdana" w:cs="Verdana"/>
          <w:bCs/>
          <w:sz w:val="20"/>
          <w:szCs w:val="20"/>
        </w:rPr>
        <w:t> </w:t>
      </w:r>
      <w:r w:rsidR="00BA2664" w:rsidRPr="00BA2664">
        <w:rPr>
          <w:rFonts w:ascii="Verdana" w:hAnsi="Verdana" w:cs="Verdana"/>
          <w:bCs/>
          <w:sz w:val="20"/>
          <w:szCs w:val="20"/>
        </w:rPr>
        <w:t>pie</w:t>
      </w:r>
      <w:r w:rsidR="00AC5215">
        <w:rPr>
          <w:rFonts w:ascii="Verdana" w:hAnsi="Verdana" w:cs="Verdana"/>
          <w:bCs/>
          <w:sz w:val="20"/>
          <w:szCs w:val="20"/>
        </w:rPr>
        <w:t xml:space="preserve">szych w ciągu </w:t>
      </w:r>
      <w:r w:rsidR="00AC5215">
        <w:rPr>
          <w:rFonts w:ascii="Verdana" w:hAnsi="Verdana"/>
          <w:sz w:val="20"/>
          <w:szCs w:val="20"/>
        </w:rPr>
        <w:t>DK11 w m. Sarnów i Krzywizna, DK43 w m. Rudniki i Jaworzno oraz DK45 w m. Krasków i Ligota Dolna, oraz budowę sygnalizacji świetlnej wzbudzanej na przejściu w m. Rudniki</w:t>
      </w:r>
      <w:r w:rsidR="00D90B20">
        <w:rPr>
          <w:rFonts w:ascii="Verdana" w:hAnsi="Verdana"/>
          <w:sz w:val="20"/>
          <w:szCs w:val="20"/>
        </w:rPr>
        <w:t>.</w:t>
      </w:r>
    </w:p>
    <w:p w14:paraId="3F449984" w14:textId="46063E7F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45C243D4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realizację następujących zadań inwestycyjnych:</w:t>
      </w:r>
    </w:p>
    <w:p w14:paraId="48B104EA" w14:textId="134126D1" w:rsidR="0056664F" w:rsidRPr="003B51C4" w:rsidRDefault="0056664F" w:rsidP="00AC5215">
      <w:pPr>
        <w:pStyle w:val="Akapitzlist"/>
        <w:ind w:left="567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Budowa oświetlenia dedykowanego na </w:t>
      </w:r>
      <w:r w:rsidR="00274F2B">
        <w:rPr>
          <w:rFonts w:ascii="Verdana" w:hAnsi="Verdana"/>
          <w:sz w:val="20"/>
          <w:szCs w:val="20"/>
        </w:rPr>
        <w:t>1</w:t>
      </w:r>
      <w:r w:rsidR="00AC5215">
        <w:rPr>
          <w:rFonts w:ascii="Verdana" w:hAnsi="Verdana"/>
          <w:sz w:val="20"/>
          <w:szCs w:val="20"/>
        </w:rPr>
        <w:t>2</w:t>
      </w:r>
      <w:r w:rsidR="000A3A87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przejściach dla pieszych</w:t>
      </w:r>
      <w:r w:rsidR="00014AEC">
        <w:rPr>
          <w:rFonts w:ascii="Verdana" w:hAnsi="Verdana"/>
          <w:sz w:val="20"/>
          <w:szCs w:val="20"/>
        </w:rPr>
        <w:t xml:space="preserve">, </w:t>
      </w:r>
      <w:r w:rsidR="00AC5215">
        <w:rPr>
          <w:rFonts w:ascii="Verdana" w:hAnsi="Verdana"/>
          <w:sz w:val="20"/>
          <w:szCs w:val="20"/>
        </w:rPr>
        <w:t xml:space="preserve"> w tym 2 przejścia w m. Sarnów, 3 przejścia w m. Krzywizna, 2 przejścia w m. Rudniki </w:t>
      </w:r>
      <w:r w:rsidR="00D90B20">
        <w:rPr>
          <w:rFonts w:ascii="Verdana" w:hAnsi="Verdana"/>
          <w:sz w:val="20"/>
          <w:szCs w:val="20"/>
        </w:rPr>
        <w:t>(w tym na jednym z nich sygnalizację świetlną)</w:t>
      </w:r>
      <w:r w:rsidR="00AC5215">
        <w:rPr>
          <w:rFonts w:ascii="Verdana" w:hAnsi="Verdana"/>
          <w:sz w:val="20"/>
          <w:szCs w:val="20"/>
        </w:rPr>
        <w:t>, 2 przejścia w m. Jaworzn</w:t>
      </w:r>
      <w:r w:rsidR="00100D9F">
        <w:rPr>
          <w:rFonts w:ascii="Verdana" w:hAnsi="Verdana"/>
          <w:sz w:val="20"/>
          <w:szCs w:val="20"/>
        </w:rPr>
        <w:t>o, 1 przejście w m. Krasków i 2</w:t>
      </w:r>
      <w:r w:rsidR="00AC5215">
        <w:rPr>
          <w:rFonts w:ascii="Verdana" w:hAnsi="Verdana"/>
          <w:sz w:val="20"/>
          <w:szCs w:val="20"/>
        </w:rPr>
        <w:t xml:space="preserve"> przejścia w m. Ligota Dolna</w:t>
      </w:r>
      <w:r w:rsidR="00D90B20">
        <w:rPr>
          <w:rFonts w:ascii="Verdana" w:hAnsi="Verdana"/>
          <w:sz w:val="20"/>
          <w:szCs w:val="20"/>
        </w:rPr>
        <w:t>.</w:t>
      </w:r>
    </w:p>
    <w:p w14:paraId="58F668D8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002119A3" w14:textId="77777777" w:rsidR="0056664F" w:rsidRDefault="0056664F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10E13CAA" w14:textId="77777777" w:rsidR="0007726E" w:rsidRPr="003B51C4" w:rsidRDefault="0007726E" w:rsidP="0007726E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BE0ECF3" w14:textId="77777777" w:rsidR="00187401" w:rsidRPr="003B51C4" w:rsidRDefault="00187401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zamówienia</w:t>
      </w:r>
    </w:p>
    <w:p w14:paraId="6EEEE80B" w14:textId="77777777" w:rsidR="00187401" w:rsidRPr="003B51C4" w:rsidRDefault="0018740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zamówienia obejmuje:</w:t>
      </w:r>
    </w:p>
    <w:p w14:paraId="5E48E222" w14:textId="7306C836" w:rsidR="00187401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Dokonanie wizji w terenie, celem rozpoznania przedmiotu zamówienia;</w:t>
      </w:r>
    </w:p>
    <w:p w14:paraId="663BA8AA" w14:textId="59C693A0" w:rsidR="00EB5AC6" w:rsidRPr="003B51C4" w:rsidRDefault="00EB5AC6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pomiarów ruchu niezbędnych do prawidłowego zaprojektowania programów sygnalizacji i obliczeń przepustowości;</w:t>
      </w:r>
    </w:p>
    <w:p w14:paraId="2D18212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Pozyskanie dla potrzeb projektowania materiałów;</w:t>
      </w:r>
    </w:p>
    <w:p w14:paraId="11BD6144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i oznakowanie miejsca w czasie wykonywania robót;</w:t>
      </w:r>
    </w:p>
    <w:p w14:paraId="29491DBC" w14:textId="321A406F" w:rsidR="00AE0F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Przedstawienie zamawiającemu wstępnych rozwiązań projektowych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uwzględnieniem zastosowanych materiałów do akceptacji;</w:t>
      </w:r>
    </w:p>
    <w:p w14:paraId="75067954" w14:textId="42CD3FA0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dokumentacji projektowej</w:t>
      </w:r>
      <w:r w:rsidR="00F27624">
        <w:rPr>
          <w:rFonts w:ascii="Verdana" w:hAnsi="Verdana"/>
          <w:sz w:val="20"/>
          <w:szCs w:val="20"/>
        </w:rPr>
        <w:t xml:space="preserve"> </w:t>
      </w:r>
      <w:r w:rsidR="00497BC4">
        <w:rPr>
          <w:rFonts w:ascii="Verdana" w:hAnsi="Verdana"/>
          <w:sz w:val="20"/>
          <w:szCs w:val="20"/>
        </w:rPr>
        <w:t xml:space="preserve">dla </w:t>
      </w:r>
      <w:r w:rsidR="00F27624">
        <w:rPr>
          <w:rFonts w:ascii="Verdana" w:hAnsi="Verdana"/>
          <w:sz w:val="20"/>
          <w:szCs w:val="20"/>
        </w:rPr>
        <w:t>sygnalizacji świetlnej oraz</w:t>
      </w:r>
      <w:r w:rsidR="00497BC4">
        <w:rPr>
          <w:rFonts w:ascii="Verdana" w:hAnsi="Verdana"/>
          <w:sz w:val="20"/>
          <w:szCs w:val="20"/>
        </w:rPr>
        <w:t xml:space="preserve"> dokumentacji projektowej dla</w:t>
      </w:r>
      <w:r w:rsidR="00F27624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oświetlenia dedykowanego, wraz z</w:t>
      </w:r>
      <w:r w:rsidR="0027378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niezbędnymi uzgodnieniami składającą się z:</w:t>
      </w:r>
    </w:p>
    <w:p w14:paraId="14698906" w14:textId="37305FEE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branży elektrycznej i drogowej</w:t>
      </w:r>
      <w:r w:rsidR="0069552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oraz innych wynikających z opracowania,</w:t>
      </w:r>
    </w:p>
    <w:p w14:paraId="2FBA683F" w14:textId="2055A8E3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Projektu </w:t>
      </w:r>
      <w:r w:rsidR="00F27624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tałej </w:t>
      </w:r>
      <w:r w:rsidR="00F27624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>rganizacji Ruchu</w:t>
      </w:r>
      <w:r w:rsidR="00497BC4">
        <w:rPr>
          <w:rFonts w:ascii="Verdana" w:hAnsi="Verdana"/>
          <w:sz w:val="20"/>
          <w:szCs w:val="20"/>
        </w:rPr>
        <w:t xml:space="preserve"> w przypadku zmiany wyniesionej w terenie organizacji ruchu</w:t>
      </w:r>
      <w:r w:rsidRPr="003B51C4">
        <w:rPr>
          <w:rFonts w:ascii="Verdana" w:hAnsi="Verdana"/>
          <w:sz w:val="20"/>
          <w:szCs w:val="20"/>
        </w:rPr>
        <w:t>,</w:t>
      </w:r>
    </w:p>
    <w:p w14:paraId="1D3E1427" w14:textId="37A6DF5C" w:rsidR="00AE0FC4" w:rsidRPr="003B51C4" w:rsidRDefault="00AE0FC4" w:rsidP="00497B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Czasowej Organizacji R</w:t>
      </w:r>
      <w:r w:rsidR="00497BC4">
        <w:rPr>
          <w:rFonts w:ascii="Verdana" w:hAnsi="Verdana"/>
          <w:sz w:val="20"/>
          <w:szCs w:val="20"/>
        </w:rPr>
        <w:t xml:space="preserve">uchu na czas prowadzenia budowy. Dopuszcza się wykorzystanie zatwierdzonej organizacji ruchu dla robót krótko trwających, po wyrażeniu zgody przez Zamawiającego dla konkretnej lokalizacji. Projekt jest dostępny pod adresem: </w:t>
      </w:r>
      <w:hyperlink r:id="rId7" w:history="1">
        <w:r w:rsidR="00497BC4" w:rsidRPr="00FB1E76">
          <w:rPr>
            <w:rStyle w:val="Hipercze"/>
            <w:rFonts w:ascii="Verdana" w:hAnsi="Verdana"/>
            <w:sz w:val="20"/>
            <w:szCs w:val="20"/>
          </w:rPr>
          <w:t>https://www.gov.pl/web/gddkia-opole/zatwierdzone-schematy-organizacji-ruchu</w:t>
        </w:r>
      </w:hyperlink>
      <w:r w:rsidR="00497BC4">
        <w:rPr>
          <w:rFonts w:ascii="Verdana" w:hAnsi="Verdana"/>
          <w:sz w:val="20"/>
          <w:szCs w:val="20"/>
        </w:rPr>
        <w:t xml:space="preserve">.   </w:t>
      </w:r>
    </w:p>
    <w:p w14:paraId="7197D8C8" w14:textId="77777777" w:rsidR="00AE0FC4" w:rsidRPr="003B51C4" w:rsidRDefault="00AE0FC4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w imieniu zamawiającego niezbędnych uzgodnień, opinii, decyzji i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pozwoleń wymaganych do prawidłowego wykonania zadania:</w:t>
      </w:r>
    </w:p>
    <w:p w14:paraId="69646ED5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Uzgodnienie z zarządcami dróg podporządkowanych (jeżeli są wymagane)</w:t>
      </w:r>
    </w:p>
    <w:p w14:paraId="4CFCDD16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zgłoszenia oraz uzyskanie zaświadczenia o braku podstaw wniesienia sprzeciwu wobec zgłoszenia robót budowlanych.</w:t>
      </w:r>
    </w:p>
    <w:p w14:paraId="1BBA6A90" w14:textId="77777777" w:rsidR="00AE0FC4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i zgłoszenie urządzeń d</w:t>
      </w:r>
      <w:r w:rsidR="003B7202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 podania napięcia oraz rozruch urządzeń</w:t>
      </w:r>
    </w:p>
    <w:p w14:paraId="5996DA6C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Zrealizowanie robót w oparciu o opracowanie uzgodnione i zatwierdzone projekty wykonawcze;</w:t>
      </w:r>
    </w:p>
    <w:p w14:paraId="0B463F59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inwentaryzacji geodezyjnej powykonawczej (obiektu wraz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przyłączem);</w:t>
      </w:r>
    </w:p>
    <w:p w14:paraId="20F8F234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dokumentacji powykonawczej z uwzględnieniem zmian i korekt wprowadzonych w czasie trwania robót budowlanych;</w:t>
      </w:r>
    </w:p>
    <w:p w14:paraId="09708990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Przeprowadzenie prób i kontroli przewidzianych dla ww. robót;</w:t>
      </w:r>
    </w:p>
    <w:p w14:paraId="3DEB63BB" w14:textId="5D2E9FB0" w:rsidR="00D7028D" w:rsidRPr="00014AEC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Nadzór elektryczny i drogowy nad ww. robotami.</w:t>
      </w:r>
    </w:p>
    <w:p w14:paraId="0A5DDD98" w14:textId="607803F9" w:rsidR="00AE0FC4" w:rsidRDefault="00AE0FC4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773D5932" w14:textId="77777777" w:rsidR="00AC5215" w:rsidRPr="003B51C4" w:rsidRDefault="00AC5215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4E0ACFD5" w14:textId="77777777" w:rsidR="00187401" w:rsidRPr="003B51C4" w:rsidRDefault="00407E0F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prac projektowych</w:t>
      </w:r>
    </w:p>
    <w:p w14:paraId="0FD40063" w14:textId="77777777" w:rsidR="00C557CA" w:rsidRPr="003B51C4" w:rsidRDefault="00C557CA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31F9FEB" w14:textId="77777777" w:rsidR="00407E0F" w:rsidRPr="003B51C4" w:rsidRDefault="00407E0F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opracowanie:</w:t>
      </w:r>
    </w:p>
    <w:p w14:paraId="7F46DEEC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i/lub wykonawczego;</w:t>
      </w:r>
    </w:p>
    <w:p w14:paraId="5CE2FACB" w14:textId="5C3EF17A" w:rsidR="00407E0F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zasilania;</w:t>
      </w:r>
    </w:p>
    <w:p w14:paraId="4AF4307A" w14:textId="77777777" w:rsidR="00F27624" w:rsidRPr="003B51C4" w:rsidRDefault="00F27624" w:rsidP="00F2762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Projektu wykonawczego sygnalizacji świetlnej;</w:t>
      </w:r>
    </w:p>
    <w:p w14:paraId="0ABC2FB7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oświetlenia dedykowanego przejści</w:t>
      </w:r>
      <w:r w:rsidR="00C557CA" w:rsidRPr="003B51C4">
        <w:rPr>
          <w:rFonts w:ascii="Verdana" w:hAnsi="Verdana"/>
          <w:sz w:val="20"/>
          <w:szCs w:val="20"/>
        </w:rPr>
        <w:t>a</w:t>
      </w:r>
      <w:r w:rsidRPr="003B51C4">
        <w:rPr>
          <w:rFonts w:ascii="Verdana" w:hAnsi="Verdana"/>
          <w:sz w:val="20"/>
          <w:szCs w:val="20"/>
        </w:rPr>
        <w:t xml:space="preserve"> dla pieszych;</w:t>
      </w:r>
    </w:p>
    <w:p w14:paraId="707F3D85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i czasowej organizacji ruchu;</w:t>
      </w:r>
    </w:p>
    <w:p w14:paraId="5C680070" w14:textId="3C2A827C" w:rsidR="00407E0F" w:rsidRPr="00F27624" w:rsidRDefault="00407E0F" w:rsidP="00F27624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niezbędnych warunków, opinii, uzgodnień dokumentacji projektowej oraz decyzji administracyjnych</w:t>
      </w:r>
      <w:r w:rsidR="00F27624">
        <w:rPr>
          <w:rFonts w:ascii="Verdana" w:hAnsi="Verdana"/>
          <w:sz w:val="20"/>
          <w:szCs w:val="20"/>
        </w:rPr>
        <w:t xml:space="preserve"> - </w:t>
      </w:r>
      <w:r w:rsidR="00F27624" w:rsidRPr="004C5060">
        <w:rPr>
          <w:rFonts w:ascii="Verdana" w:hAnsi="Verdana"/>
          <w:sz w:val="20"/>
          <w:szCs w:val="20"/>
        </w:rPr>
        <w:t>Zamawiający dopuszcza zawarcie porozumienia z</w:t>
      </w:r>
      <w:r w:rsidR="00F27624">
        <w:rPr>
          <w:rFonts w:ascii="Verdana" w:hAnsi="Verdana"/>
          <w:sz w:val="20"/>
          <w:szCs w:val="20"/>
        </w:rPr>
        <w:t> </w:t>
      </w:r>
      <w:r w:rsidR="00F27624" w:rsidRPr="004C5060">
        <w:rPr>
          <w:rFonts w:ascii="Verdana" w:hAnsi="Verdana"/>
          <w:sz w:val="20"/>
          <w:szCs w:val="20"/>
        </w:rPr>
        <w:t>Gminą właściwą miejscowo celem wykorzystania istniejącej sieci energetycznej do przyłączenia oświetlenia dedykowanego</w:t>
      </w:r>
      <w:r w:rsidR="00B6211F">
        <w:rPr>
          <w:rFonts w:ascii="Verdana" w:hAnsi="Verdana"/>
          <w:sz w:val="20"/>
          <w:szCs w:val="20"/>
        </w:rPr>
        <w:t xml:space="preserve"> i sygnalizacji świetlnej</w:t>
      </w:r>
      <w:r w:rsidR="00F27624">
        <w:rPr>
          <w:rFonts w:ascii="Verdana" w:hAnsi="Verdana"/>
          <w:sz w:val="20"/>
          <w:szCs w:val="20"/>
        </w:rPr>
        <w:t xml:space="preserve"> przy udziale Zamawiającego</w:t>
      </w:r>
      <w:r w:rsidR="00F27624" w:rsidRPr="004C5060">
        <w:rPr>
          <w:rFonts w:ascii="Verdana" w:hAnsi="Verdana"/>
          <w:sz w:val="20"/>
          <w:szCs w:val="20"/>
        </w:rPr>
        <w:t>;</w:t>
      </w:r>
    </w:p>
    <w:p w14:paraId="3572AED9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Dokumentacji powykonawczej.</w:t>
      </w:r>
    </w:p>
    <w:p w14:paraId="0BAA84A4" w14:textId="60B11C65" w:rsidR="00407E0F" w:rsidRDefault="00407E0F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59B3965" w14:textId="77777777" w:rsidR="00014AEC" w:rsidRPr="003B51C4" w:rsidRDefault="00014AE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7AF37D5" w14:textId="77777777" w:rsidR="00187401" w:rsidRPr="003B51C4" w:rsidRDefault="00B90D7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robót budowlanych</w:t>
      </w:r>
    </w:p>
    <w:p w14:paraId="07FDBF53" w14:textId="77777777" w:rsidR="00B90D7D" w:rsidRPr="003B51C4" w:rsidRDefault="00B90D7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CA17792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Prace pomiarowe i przygotowawcze;</w:t>
      </w:r>
    </w:p>
    <w:p w14:paraId="4974DA28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Oznakowanie prowadzonych robót;</w:t>
      </w:r>
    </w:p>
    <w:p w14:paraId="22E1FA43" w14:textId="3D453ED1" w:rsidR="00C557CA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Likwidację ewentualnych kolizji z sieciami podziemnymi i nadziemnymi;</w:t>
      </w:r>
    </w:p>
    <w:p w14:paraId="4CC49417" w14:textId="6FE80816" w:rsidR="00F27624" w:rsidRDefault="00F27624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Budowa sterownika sygnalizacji świetlnej;</w:t>
      </w:r>
    </w:p>
    <w:p w14:paraId="338B17B9" w14:textId="5EB4E527" w:rsidR="00E2198A" w:rsidRDefault="00E2198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Budowa przyłącza i wykonanie zasilania sygnalizacji świetlnej;</w:t>
      </w:r>
    </w:p>
    <w:p w14:paraId="625AE422" w14:textId="1EA5CCE1" w:rsidR="0025431C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Posadowienie masztów i wysięgników;</w:t>
      </w:r>
    </w:p>
    <w:p w14:paraId="59B194B3" w14:textId="067C4B73" w:rsidR="0025431C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Ustawienie szafki sterownika;</w:t>
      </w:r>
    </w:p>
    <w:p w14:paraId="6967263C" w14:textId="22EF6DFF" w:rsidR="0025431C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 sygnalizatorów dla grup kołowych i pieszych;</w:t>
      </w:r>
    </w:p>
    <w:p w14:paraId="565B8C41" w14:textId="1D1416C8" w:rsidR="0025431C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 sygnalizatorów akustycznych;</w:t>
      </w:r>
    </w:p>
    <w:p w14:paraId="0CFF6124" w14:textId="5E82242C" w:rsidR="0025431C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 przycisków dla pieszych;</w:t>
      </w:r>
    </w:p>
    <w:p w14:paraId="41B29329" w14:textId="497B17DD" w:rsidR="0025431C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 wideo detekcji;</w:t>
      </w:r>
    </w:p>
    <w:p w14:paraId="124F5380" w14:textId="3C447B92" w:rsidR="00695521" w:rsidRDefault="00695521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 systemu prowadzenia osób z niepełnosprawnościami wzroku, zgodnie z Wytycznymi projektowania infrastruktury dla pieszych (WRD-41-2) Część 2: Projektowanie infrastruktury liniowej.</w:t>
      </w:r>
    </w:p>
    <w:p w14:paraId="524AABFD" w14:textId="3CFA1AAA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Wykonanie przewiertu pod drogą krajową rurą PCV minimum </w:t>
      </w:r>
      <w:r w:rsidRPr="003B51C4">
        <w:rPr>
          <w:rFonts w:ascii="Verdana" w:hAnsi="Verdana" w:cstheme="minorHAnsi"/>
          <w:sz w:val="20"/>
          <w:szCs w:val="20"/>
        </w:rPr>
        <w:t>Ø</w:t>
      </w:r>
      <w:r w:rsidRPr="003B51C4">
        <w:rPr>
          <w:rFonts w:ascii="Verdana" w:hAnsi="Verdana"/>
          <w:sz w:val="20"/>
          <w:szCs w:val="20"/>
        </w:rPr>
        <w:t xml:space="preserve"> 110 mm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instalacji oświetlenia dedykowanego przejścia dla pieszych;</w:t>
      </w:r>
    </w:p>
    <w:p w14:paraId="15B4E5F9" w14:textId="107440FB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Montaż słupów dla umieszczenia </w:t>
      </w:r>
      <w:r w:rsidR="00497BC4">
        <w:rPr>
          <w:rFonts w:ascii="Verdana" w:hAnsi="Verdana"/>
          <w:sz w:val="20"/>
          <w:szCs w:val="20"/>
        </w:rPr>
        <w:t>opraw oświetlenia dedykowanego ok.</w:t>
      </w:r>
      <w:r w:rsidRPr="003B51C4">
        <w:rPr>
          <w:rFonts w:ascii="Verdana" w:hAnsi="Verdana"/>
          <w:sz w:val="20"/>
          <w:szCs w:val="20"/>
        </w:rPr>
        <w:t xml:space="preserve"> </w:t>
      </w:r>
      <w:r w:rsidR="0025431C">
        <w:rPr>
          <w:rFonts w:ascii="Verdana" w:hAnsi="Verdana"/>
          <w:sz w:val="20"/>
          <w:szCs w:val="20"/>
        </w:rPr>
        <w:t>12</w:t>
      </w:r>
      <w:r w:rsidRPr="003B51C4">
        <w:rPr>
          <w:rFonts w:ascii="Verdana" w:hAnsi="Verdana"/>
          <w:sz w:val="20"/>
          <w:szCs w:val="20"/>
        </w:rPr>
        <w:t xml:space="preserve"> </w:t>
      </w:r>
      <w:proofErr w:type="spellStart"/>
      <w:r w:rsidR="0025431C">
        <w:rPr>
          <w:rFonts w:ascii="Verdana" w:hAnsi="Verdana"/>
          <w:sz w:val="20"/>
          <w:szCs w:val="20"/>
        </w:rPr>
        <w:t>kpl</w:t>
      </w:r>
      <w:proofErr w:type="spellEnd"/>
      <w:r w:rsidR="00497BC4">
        <w:rPr>
          <w:rFonts w:ascii="Verdana" w:hAnsi="Verdana"/>
          <w:sz w:val="20"/>
          <w:szCs w:val="20"/>
        </w:rPr>
        <w:t>.</w:t>
      </w:r>
      <w:r w:rsidRPr="003B51C4">
        <w:rPr>
          <w:rFonts w:ascii="Verdana" w:hAnsi="Verdana"/>
          <w:sz w:val="20"/>
          <w:szCs w:val="20"/>
        </w:rPr>
        <w:t>;</w:t>
      </w:r>
    </w:p>
    <w:p w14:paraId="57E74BDC" w14:textId="585D67E2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BA2664">
        <w:rPr>
          <w:rFonts w:ascii="Verdana" w:hAnsi="Verdana"/>
          <w:sz w:val="20"/>
          <w:szCs w:val="20"/>
        </w:rPr>
        <w:t>Montaż zegar</w:t>
      </w:r>
      <w:r w:rsidR="00BA2664">
        <w:rPr>
          <w:rFonts w:ascii="Verdana" w:hAnsi="Verdana"/>
          <w:sz w:val="20"/>
          <w:szCs w:val="20"/>
        </w:rPr>
        <w:t>ów</w:t>
      </w:r>
      <w:r w:rsidRPr="00BA2664">
        <w:rPr>
          <w:rFonts w:ascii="Verdana" w:hAnsi="Verdana"/>
          <w:sz w:val="20"/>
          <w:szCs w:val="20"/>
        </w:rPr>
        <w:t xml:space="preserve"> astronomiczn</w:t>
      </w:r>
      <w:r w:rsidR="00BA2664">
        <w:rPr>
          <w:rFonts w:ascii="Verdana" w:hAnsi="Verdana"/>
          <w:sz w:val="20"/>
          <w:szCs w:val="20"/>
        </w:rPr>
        <w:t>ych</w:t>
      </w:r>
      <w:r w:rsidRPr="003B51C4">
        <w:rPr>
          <w:rFonts w:ascii="Verdana" w:hAnsi="Verdana"/>
          <w:sz w:val="20"/>
          <w:szCs w:val="20"/>
        </w:rPr>
        <w:t xml:space="preserve"> do sterowania oświetleniem dedykowanym,</w:t>
      </w:r>
    </w:p>
    <w:p w14:paraId="5F561EEC" w14:textId="77777777" w:rsidR="00C557CA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instalacji zasilania dedykowanego oświetlenia przejścia dla pieszych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kanalizacji kablowej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- miejsce włączenia zgodnie z warunkami technicznymi;</w:t>
      </w:r>
    </w:p>
    <w:p w14:paraId="05ED2213" w14:textId="13235992" w:rsidR="00531733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szafki elektroenergetycznej dla umiejscowienia zabezpieczeń, sterowników oświetlenia, zegara astronomicznego, wszystkich urządzeń potrzebnych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wykonania zasilania infrastruktury energetycznej – zabrania się montażu skrzynek energetycznych na istniejących i planowanych słupach oraz masztach;</w:t>
      </w:r>
    </w:p>
    <w:p w14:paraId="7540DA50" w14:textId="3DED9E0E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oprawy dedykowanego oświetlenia przejścia dla pieszych</w:t>
      </w:r>
      <w:r w:rsidR="00497BC4">
        <w:rPr>
          <w:rFonts w:ascii="Verdana" w:hAnsi="Verdana"/>
          <w:sz w:val="20"/>
          <w:szCs w:val="20"/>
        </w:rPr>
        <w:t xml:space="preserve"> ok</w:t>
      </w:r>
      <w:r w:rsidR="00BA2664">
        <w:rPr>
          <w:rFonts w:ascii="Verdana" w:hAnsi="Verdana"/>
          <w:sz w:val="20"/>
          <w:szCs w:val="20"/>
        </w:rPr>
        <w:t xml:space="preserve"> </w:t>
      </w:r>
      <w:r w:rsidR="0025431C">
        <w:rPr>
          <w:rFonts w:ascii="Verdana" w:hAnsi="Verdana"/>
          <w:sz w:val="20"/>
          <w:szCs w:val="20"/>
        </w:rPr>
        <w:t xml:space="preserve">12 </w:t>
      </w:r>
      <w:proofErr w:type="spellStart"/>
      <w:r w:rsidR="0025431C">
        <w:rPr>
          <w:rFonts w:ascii="Verdana" w:hAnsi="Verdana"/>
          <w:sz w:val="20"/>
          <w:szCs w:val="20"/>
        </w:rPr>
        <w:t>kpl</w:t>
      </w:r>
      <w:proofErr w:type="spellEnd"/>
      <w:r w:rsidRPr="003B51C4">
        <w:rPr>
          <w:rFonts w:ascii="Verdana" w:hAnsi="Verdana"/>
          <w:sz w:val="20"/>
          <w:szCs w:val="20"/>
        </w:rPr>
        <w:t>.;</w:t>
      </w:r>
    </w:p>
    <w:p w14:paraId="54041DBB" w14:textId="35522DDA" w:rsidR="00F233DD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pomiarów parametrów oświetlenia dedykowanego po jego montażu;</w:t>
      </w:r>
    </w:p>
    <w:p w14:paraId="2CB5C8AE" w14:textId="2C076D92" w:rsidR="0025431C" w:rsidRPr="003B51C4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Uruchomienie sygnalizacji świetlnej;</w:t>
      </w:r>
    </w:p>
    <w:p w14:paraId="75515637" w14:textId="446F82CA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Odnowa oraz uzupełnienie istniejącego oznakowania pionowego i poziomego zgodnie z zatwierdzonym projek</w:t>
      </w:r>
      <w:r w:rsidR="00D90B20">
        <w:rPr>
          <w:rFonts w:ascii="Verdana" w:hAnsi="Verdana"/>
          <w:sz w:val="20"/>
          <w:szCs w:val="20"/>
        </w:rPr>
        <w:t>tem stałej organizacji ruchu (w</w:t>
      </w:r>
      <w:r w:rsidRPr="003B51C4">
        <w:rPr>
          <w:rFonts w:ascii="Verdana" w:hAnsi="Verdana"/>
          <w:sz w:val="20"/>
          <w:szCs w:val="20"/>
        </w:rPr>
        <w:t xml:space="preserve"> przypadku zmian w stanie istniejącym);</w:t>
      </w:r>
    </w:p>
    <w:p w14:paraId="4C6584A6" w14:textId="34033695" w:rsidR="00F233DD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Inwentaryzacja geodezyjna powykonawcza;</w:t>
      </w:r>
    </w:p>
    <w:p w14:paraId="7A51C2F9" w14:textId="257B0611" w:rsidR="0025431C" w:rsidRPr="00100D9F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terminie 30 dni od dnia uruchomienia sygnalizacji należy dokonać sprawdzenia </w:t>
      </w:r>
      <w:r w:rsidRPr="00100D9F">
        <w:rPr>
          <w:rFonts w:ascii="Verdana" w:hAnsi="Verdana"/>
          <w:sz w:val="20"/>
          <w:szCs w:val="20"/>
        </w:rPr>
        <w:t>jej działania i ewentualnie dokonać zmian w programie i sterowaniu;</w:t>
      </w:r>
    </w:p>
    <w:p w14:paraId="4731EEB8" w14:textId="0363A127" w:rsidR="0025431C" w:rsidRPr="00100D9F" w:rsidRDefault="0025431C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100D9F">
        <w:rPr>
          <w:rFonts w:ascii="Verdana" w:hAnsi="Verdana"/>
          <w:sz w:val="20"/>
          <w:szCs w:val="20"/>
        </w:rPr>
        <w:lastRenderedPageBreak/>
        <w:t xml:space="preserve">Wykonawca będzie zobowiązany do podłączenia sterownika do systemu monitoringu i pokrycia kosztów rekonfiguracji systemu do nowego układu sterowania. </w:t>
      </w:r>
      <w:r w:rsidR="00100D9F" w:rsidRPr="00100D9F">
        <w:rPr>
          <w:rFonts w:ascii="Verdana" w:hAnsi="Verdana"/>
          <w:sz w:val="20"/>
          <w:szCs w:val="20"/>
        </w:rPr>
        <w:t>Przed pracami odbiorowymi</w:t>
      </w:r>
      <w:r w:rsidRPr="00100D9F">
        <w:rPr>
          <w:rFonts w:ascii="Verdana" w:hAnsi="Verdana"/>
          <w:sz w:val="20"/>
          <w:szCs w:val="20"/>
        </w:rPr>
        <w:t xml:space="preserve"> Wykonawca umieści kartę SIM w modemie sterownika celem sprawdzenia działania sygnalizacji w monitoringu</w:t>
      </w:r>
      <w:r w:rsidR="00100D9F" w:rsidRPr="00100D9F">
        <w:rPr>
          <w:rFonts w:ascii="Verdana" w:hAnsi="Verdana"/>
          <w:sz w:val="20"/>
          <w:szCs w:val="20"/>
        </w:rPr>
        <w:t>.</w:t>
      </w:r>
    </w:p>
    <w:p w14:paraId="6D9EBA21" w14:textId="77777777" w:rsidR="00187401" w:rsidRPr="003B51C4" w:rsidRDefault="004F56C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Uporząd</w:t>
      </w:r>
      <w:r w:rsidR="00F233DD" w:rsidRPr="003B51C4">
        <w:rPr>
          <w:rFonts w:ascii="Verdana" w:hAnsi="Verdana"/>
          <w:sz w:val="20"/>
          <w:szCs w:val="20"/>
        </w:rPr>
        <w:t>kowanie placu budowy</w:t>
      </w:r>
      <w:r w:rsidR="00535E7D">
        <w:rPr>
          <w:rFonts w:ascii="Verdana" w:hAnsi="Verdana"/>
          <w:sz w:val="20"/>
          <w:szCs w:val="20"/>
        </w:rPr>
        <w:t>.</w:t>
      </w:r>
    </w:p>
    <w:p w14:paraId="7D577E6B" w14:textId="77777777" w:rsidR="00187401" w:rsidRPr="003B51C4" w:rsidRDefault="00187401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099C795" w14:textId="77777777" w:rsidR="00187401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zamówienia.</w:t>
      </w:r>
    </w:p>
    <w:p w14:paraId="468A6A95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727AC99" w14:textId="7FECC299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Miejsca objęte przedmiotem zamówienia znajdują się na terenie gmin</w:t>
      </w:r>
      <w:r w:rsidR="0025431C">
        <w:rPr>
          <w:rFonts w:ascii="Verdana" w:hAnsi="Verdana"/>
          <w:sz w:val="20"/>
          <w:szCs w:val="20"/>
        </w:rPr>
        <w:t>:</w:t>
      </w:r>
      <w:r w:rsidRPr="003B51C4">
        <w:rPr>
          <w:rFonts w:ascii="Verdana" w:hAnsi="Verdana"/>
          <w:sz w:val="20"/>
          <w:szCs w:val="20"/>
        </w:rPr>
        <w:t xml:space="preserve"> </w:t>
      </w:r>
      <w:r w:rsidR="00D90B20">
        <w:rPr>
          <w:rFonts w:ascii="Verdana" w:hAnsi="Verdana"/>
          <w:sz w:val="20"/>
          <w:szCs w:val="20"/>
        </w:rPr>
        <w:t>Byczyna, Kluczbork i</w:t>
      </w:r>
      <w:r w:rsidR="0025431C">
        <w:rPr>
          <w:rFonts w:ascii="Verdana" w:hAnsi="Verdana"/>
          <w:sz w:val="20"/>
          <w:szCs w:val="20"/>
        </w:rPr>
        <w:t xml:space="preserve"> Rudniki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województwie opolskim. Jest</w:t>
      </w:r>
      <w:r w:rsidR="003B51C4">
        <w:rPr>
          <w:rFonts w:ascii="Verdana" w:hAnsi="Verdana"/>
          <w:sz w:val="20"/>
          <w:szCs w:val="20"/>
        </w:rPr>
        <w:t xml:space="preserve"> to</w:t>
      </w:r>
      <w:r w:rsidRPr="003B51C4">
        <w:rPr>
          <w:rFonts w:ascii="Verdana" w:hAnsi="Verdana"/>
          <w:sz w:val="20"/>
          <w:szCs w:val="20"/>
        </w:rPr>
        <w:t xml:space="preserve"> obszar objęty działaniem Rejonu w </w:t>
      </w:r>
      <w:r w:rsidR="0025431C">
        <w:rPr>
          <w:rFonts w:ascii="Verdana" w:hAnsi="Verdana"/>
          <w:sz w:val="20"/>
          <w:szCs w:val="20"/>
        </w:rPr>
        <w:t>Kluczborku</w:t>
      </w:r>
      <w:r w:rsidRPr="003B51C4">
        <w:rPr>
          <w:rFonts w:ascii="Verdana" w:hAnsi="Verdana"/>
          <w:sz w:val="20"/>
          <w:szCs w:val="20"/>
        </w:rPr>
        <w:t>.</w:t>
      </w:r>
    </w:p>
    <w:p w14:paraId="58153496" w14:textId="77777777" w:rsidR="003C02D1" w:rsidRPr="003B51C4" w:rsidRDefault="003C02D1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08F3183" w14:textId="7E125EEA" w:rsidR="003C02D1" w:rsidRPr="003B51C4" w:rsidRDefault="00DC62A8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Ciąg</w:t>
      </w:r>
      <w:r w:rsidR="003C02D1" w:rsidRPr="003B51C4">
        <w:rPr>
          <w:rFonts w:ascii="Verdana" w:hAnsi="Verdana"/>
          <w:sz w:val="20"/>
          <w:szCs w:val="20"/>
        </w:rPr>
        <w:t xml:space="preserve"> DK </w:t>
      </w:r>
      <w:r w:rsidR="00AD5D9F">
        <w:rPr>
          <w:rFonts w:ascii="Verdana" w:hAnsi="Verdana"/>
          <w:sz w:val="20"/>
          <w:szCs w:val="20"/>
        </w:rPr>
        <w:t>11</w:t>
      </w:r>
      <w:r w:rsidRPr="003B51C4">
        <w:rPr>
          <w:rFonts w:ascii="Verdana" w:hAnsi="Verdana"/>
          <w:sz w:val="20"/>
          <w:szCs w:val="20"/>
        </w:rPr>
        <w:t>,</w:t>
      </w:r>
      <w:r w:rsidR="003C02D1" w:rsidRPr="003B51C4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m. </w:t>
      </w:r>
      <w:r w:rsidR="00AD5D9F">
        <w:rPr>
          <w:rFonts w:ascii="Verdana" w:hAnsi="Verdana"/>
          <w:sz w:val="20"/>
          <w:szCs w:val="20"/>
        </w:rPr>
        <w:t>Sarnów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D5D9F">
        <w:rPr>
          <w:rFonts w:ascii="Verdana" w:hAnsi="Verdana"/>
          <w:sz w:val="20"/>
          <w:szCs w:val="20"/>
        </w:rPr>
        <w:t>480+228</w:t>
      </w:r>
    </w:p>
    <w:p w14:paraId="506B5252" w14:textId="1C2CD8D3" w:rsidR="00DC62A8" w:rsidRPr="003B51C4" w:rsidRDefault="00535E7D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 techniczna:</w:t>
      </w:r>
      <w:r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DC62A8" w:rsidRPr="003B51C4">
        <w:rPr>
          <w:rFonts w:ascii="Verdana" w:hAnsi="Verdana"/>
          <w:sz w:val="20"/>
          <w:szCs w:val="20"/>
        </w:rPr>
        <w:t>G</w:t>
      </w:r>
      <w:r w:rsidR="000866FB">
        <w:rPr>
          <w:rFonts w:ascii="Verdana" w:hAnsi="Verdana"/>
          <w:sz w:val="20"/>
          <w:szCs w:val="20"/>
        </w:rPr>
        <w:t>P</w:t>
      </w:r>
      <w:r w:rsidR="00DC62A8" w:rsidRPr="003B51C4">
        <w:rPr>
          <w:rFonts w:ascii="Verdana" w:hAnsi="Verdana"/>
          <w:sz w:val="20"/>
          <w:szCs w:val="20"/>
        </w:rPr>
        <w:t>,</w:t>
      </w:r>
    </w:p>
    <w:p w14:paraId="4041E490" w14:textId="3C964A98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3AEA3ACF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6DEF083" w14:textId="05020301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8361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1BDBF35" w14:textId="7666C4D8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jedno</w:t>
      </w:r>
      <w:r w:rsidRPr="003B51C4">
        <w:rPr>
          <w:rFonts w:ascii="Verdana" w:hAnsi="Verdana"/>
          <w:sz w:val="20"/>
          <w:szCs w:val="20"/>
        </w:rPr>
        <w:t>stronny</w:t>
      </w:r>
    </w:p>
    <w:p w14:paraId="175D4A7E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0FF8F86" w14:textId="2500CFBF" w:rsidR="00DC62A8" w:rsidRPr="003B51C4" w:rsidRDefault="00DC62A8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AD5D9F">
        <w:rPr>
          <w:rFonts w:ascii="Verdana" w:hAnsi="Verdana"/>
          <w:sz w:val="20"/>
          <w:szCs w:val="20"/>
        </w:rPr>
        <w:t>11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Sarnów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D5D9F">
        <w:rPr>
          <w:rFonts w:ascii="Verdana" w:hAnsi="Verdana"/>
          <w:sz w:val="20"/>
          <w:szCs w:val="20"/>
        </w:rPr>
        <w:t>480+485</w:t>
      </w:r>
    </w:p>
    <w:p w14:paraId="1731FA06" w14:textId="11790858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  <w:t>G</w:t>
      </w:r>
      <w:r w:rsidR="00274F2B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735172D9" w14:textId="209016D6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8,0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AFD14A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1FCD16E" w14:textId="6FF0489B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8361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FB6918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9FB6235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F376B3" w14:textId="548418DE" w:rsidR="00400E71" w:rsidRPr="003B51C4" w:rsidRDefault="00400E71" w:rsidP="008F501E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AD5D9F">
        <w:rPr>
          <w:rFonts w:ascii="Verdana" w:hAnsi="Verdana"/>
          <w:sz w:val="20"/>
          <w:szCs w:val="20"/>
        </w:rPr>
        <w:t>11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Krzywizna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D5D9F">
        <w:rPr>
          <w:rFonts w:ascii="Verdana" w:hAnsi="Verdana"/>
          <w:sz w:val="20"/>
          <w:szCs w:val="20"/>
        </w:rPr>
        <w:t>484+468</w:t>
      </w:r>
    </w:p>
    <w:p w14:paraId="761D9CFF" w14:textId="4637B72C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620045">
        <w:rPr>
          <w:rFonts w:ascii="Verdana" w:hAnsi="Verdana"/>
          <w:sz w:val="20"/>
          <w:szCs w:val="20"/>
        </w:rPr>
        <w:t>G</w:t>
      </w:r>
      <w:r w:rsidR="00274F2B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691CD919" w14:textId="1F866B45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274F2B">
        <w:rPr>
          <w:rFonts w:ascii="Verdana" w:hAnsi="Verdana"/>
          <w:sz w:val="20"/>
          <w:szCs w:val="20"/>
        </w:rPr>
        <w:t>7</w:t>
      </w:r>
      <w:r w:rsidR="00620045">
        <w:rPr>
          <w:rFonts w:ascii="Verdana" w:hAnsi="Verdana"/>
          <w:sz w:val="20"/>
          <w:szCs w:val="20"/>
        </w:rPr>
        <w:t>,</w:t>
      </w:r>
      <w:r w:rsidR="00AD5D9F">
        <w:rPr>
          <w:rFonts w:ascii="Verdana" w:hAnsi="Verdana"/>
          <w:sz w:val="20"/>
          <w:szCs w:val="20"/>
        </w:rPr>
        <w:t>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2C174AB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2A57CC5" w14:textId="3AABA8BF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8361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1B05155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42CF376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84B794" w14:textId="77777777" w:rsidR="00400E71" w:rsidRPr="003B51C4" w:rsidRDefault="00400E71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42B047F5" w14:textId="42D61C84" w:rsidR="00274F2B" w:rsidRPr="003B51C4" w:rsidRDefault="00274F2B" w:rsidP="00274F2B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AD5D9F">
        <w:rPr>
          <w:rFonts w:ascii="Verdana" w:hAnsi="Verdana"/>
          <w:sz w:val="20"/>
          <w:szCs w:val="20"/>
        </w:rPr>
        <w:t>11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Krzywizna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D5D9F">
        <w:rPr>
          <w:rFonts w:ascii="Verdana" w:hAnsi="Verdana"/>
          <w:sz w:val="20"/>
          <w:szCs w:val="20"/>
        </w:rPr>
        <w:t>484+537</w:t>
      </w:r>
    </w:p>
    <w:p w14:paraId="7FC54FA0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4F8CB438" w14:textId="313482A1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3EAB55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E3C95A4" w14:textId="3809390D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8361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5457AC9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584526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1D498C1" w14:textId="11819480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AD5D9F">
        <w:rPr>
          <w:rFonts w:ascii="Verdana" w:hAnsi="Verdana"/>
          <w:sz w:val="20"/>
          <w:szCs w:val="20"/>
        </w:rPr>
        <w:t>11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Krzywizna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D5D9F">
        <w:rPr>
          <w:rFonts w:ascii="Verdana" w:hAnsi="Verdana"/>
          <w:sz w:val="20"/>
          <w:szCs w:val="20"/>
        </w:rPr>
        <w:t>484+656</w:t>
      </w:r>
    </w:p>
    <w:p w14:paraId="43F500F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9324624" w14:textId="0AD53F4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8B9A115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465597A" w14:textId="55E1A5D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8361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2675A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17CB42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13F82A" w14:textId="1C370169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 xml:space="preserve">Ciąg DK </w:t>
      </w:r>
      <w:r w:rsidR="00AD5D9F">
        <w:rPr>
          <w:rFonts w:ascii="Verdana" w:hAnsi="Verdana"/>
          <w:sz w:val="20"/>
          <w:szCs w:val="20"/>
        </w:rPr>
        <w:t>43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Rudniki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D90B20">
        <w:rPr>
          <w:rFonts w:ascii="Verdana" w:hAnsi="Verdana"/>
          <w:sz w:val="20"/>
          <w:szCs w:val="20"/>
        </w:rPr>
        <w:t>20+48</w:t>
      </w:r>
      <w:r w:rsidR="00AD5D9F">
        <w:rPr>
          <w:rFonts w:ascii="Verdana" w:hAnsi="Verdana"/>
          <w:sz w:val="20"/>
          <w:szCs w:val="20"/>
        </w:rPr>
        <w:t>0-20+500</w:t>
      </w:r>
    </w:p>
    <w:p w14:paraId="7F24184E" w14:textId="48E5673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6C55941" w14:textId="35E84F50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9,5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BFDE2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5DE0166" w14:textId="10FA7F4D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7168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0E896F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35F49E0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A2534CD" w14:textId="5847883C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AD5D9F">
        <w:rPr>
          <w:rFonts w:ascii="Verdana" w:hAnsi="Verdana"/>
          <w:sz w:val="20"/>
          <w:szCs w:val="20"/>
        </w:rPr>
        <w:t>43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Rudniki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D5D9F">
        <w:rPr>
          <w:rFonts w:ascii="Verdana" w:hAnsi="Verdana"/>
          <w:sz w:val="20"/>
          <w:szCs w:val="20"/>
        </w:rPr>
        <w:t>20+665</w:t>
      </w:r>
    </w:p>
    <w:p w14:paraId="006793FD" w14:textId="4B424568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0A4F999" w14:textId="4D9DAFD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4082E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8E393BB" w14:textId="696C46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7168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DA7739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C09DE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222736" w14:textId="1E543E8D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AD5D9F">
        <w:rPr>
          <w:rFonts w:ascii="Verdana" w:hAnsi="Verdana"/>
          <w:sz w:val="20"/>
          <w:szCs w:val="20"/>
        </w:rPr>
        <w:t>43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Jaworzno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D5D9F">
        <w:rPr>
          <w:rFonts w:ascii="Verdana" w:hAnsi="Verdana"/>
          <w:sz w:val="20"/>
          <w:szCs w:val="20"/>
        </w:rPr>
        <w:t>20+904</w:t>
      </w:r>
    </w:p>
    <w:p w14:paraId="1F4703BB" w14:textId="20F05C0D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266F0DB" w14:textId="283B847A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6,5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32C5D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0DBCEFA" w14:textId="45BA46A3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7168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BA0147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73D727E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19B9096" w14:textId="7B04C3B8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AD5D9F">
        <w:rPr>
          <w:rFonts w:ascii="Verdana" w:hAnsi="Verdana"/>
          <w:sz w:val="20"/>
          <w:szCs w:val="20"/>
        </w:rPr>
        <w:t>43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D5D9F">
        <w:rPr>
          <w:rFonts w:ascii="Verdana" w:hAnsi="Verdana"/>
          <w:sz w:val="20"/>
          <w:szCs w:val="20"/>
        </w:rPr>
        <w:t>Jaworzno</w:t>
      </w:r>
      <w:r w:rsidR="00475274"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km </w:t>
      </w:r>
      <w:r w:rsidR="00AD5D9F">
        <w:rPr>
          <w:rFonts w:ascii="Verdana" w:hAnsi="Verdana"/>
          <w:sz w:val="20"/>
          <w:szCs w:val="20"/>
        </w:rPr>
        <w:t>21+948</w:t>
      </w:r>
    </w:p>
    <w:p w14:paraId="58069EDC" w14:textId="00D5682D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11094BFF" w14:textId="22C914C6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D5D9F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CB5229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BFCFA75" w14:textId="09A8EAD1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F5A78">
        <w:rPr>
          <w:rFonts w:ascii="Verdana" w:hAnsi="Verdana"/>
          <w:sz w:val="20"/>
          <w:szCs w:val="20"/>
        </w:rPr>
        <w:t>7168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321412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DCD6F86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BDC716B" w14:textId="763D629B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5F5A78">
        <w:rPr>
          <w:rFonts w:ascii="Verdana" w:hAnsi="Verdana"/>
          <w:sz w:val="20"/>
          <w:szCs w:val="20"/>
        </w:rPr>
        <w:t>45d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5F5A78">
        <w:rPr>
          <w:rFonts w:ascii="Verdana" w:hAnsi="Verdana"/>
          <w:sz w:val="20"/>
          <w:szCs w:val="20"/>
        </w:rPr>
        <w:t>Krasów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5F5A78">
        <w:rPr>
          <w:rFonts w:ascii="Verdana" w:hAnsi="Verdana"/>
          <w:sz w:val="20"/>
          <w:szCs w:val="20"/>
        </w:rPr>
        <w:t>3+979</w:t>
      </w:r>
    </w:p>
    <w:p w14:paraId="22F7CD3F" w14:textId="66C8C461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F5A78">
        <w:rPr>
          <w:rFonts w:ascii="Verdana" w:hAnsi="Verdana"/>
          <w:sz w:val="20"/>
          <w:szCs w:val="20"/>
        </w:rPr>
        <w:t>Z</w:t>
      </w:r>
      <w:r w:rsidRPr="003B51C4">
        <w:rPr>
          <w:rFonts w:ascii="Verdana" w:hAnsi="Verdana"/>
          <w:sz w:val="20"/>
          <w:szCs w:val="20"/>
        </w:rPr>
        <w:t>,</w:t>
      </w:r>
    </w:p>
    <w:p w14:paraId="1789A648" w14:textId="012FCB73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F5A78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,</w:t>
      </w:r>
      <w:r w:rsidR="00475274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BCDB1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62CFCE1" w14:textId="126504AA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75274">
        <w:rPr>
          <w:rFonts w:ascii="Verdana" w:hAnsi="Verdana"/>
          <w:sz w:val="20"/>
          <w:szCs w:val="20"/>
        </w:rPr>
        <w:t>39</w:t>
      </w:r>
      <w:r w:rsidR="005F5A78">
        <w:rPr>
          <w:rFonts w:ascii="Verdana" w:hAnsi="Verdana"/>
          <w:sz w:val="20"/>
          <w:szCs w:val="20"/>
        </w:rPr>
        <w:t>49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6EE3E8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CE24F8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AAA6FAA" w14:textId="60B37095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5F5A78">
        <w:rPr>
          <w:rFonts w:ascii="Verdana" w:hAnsi="Verdana"/>
          <w:sz w:val="20"/>
          <w:szCs w:val="20"/>
        </w:rPr>
        <w:t>45d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5F5A78">
        <w:rPr>
          <w:rFonts w:ascii="Verdana" w:hAnsi="Verdana"/>
          <w:sz w:val="20"/>
          <w:szCs w:val="20"/>
        </w:rPr>
        <w:t>Ligota Dolna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5F5A78">
        <w:rPr>
          <w:rFonts w:ascii="Verdana" w:hAnsi="Verdana"/>
          <w:sz w:val="20"/>
          <w:szCs w:val="20"/>
        </w:rPr>
        <w:t>4+869</w:t>
      </w:r>
    </w:p>
    <w:p w14:paraId="478A7CB6" w14:textId="2922C346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F5A78">
        <w:rPr>
          <w:rFonts w:ascii="Verdana" w:hAnsi="Verdana"/>
          <w:sz w:val="20"/>
          <w:szCs w:val="20"/>
        </w:rPr>
        <w:t>Z</w:t>
      </w:r>
      <w:r w:rsidRPr="003B51C4">
        <w:rPr>
          <w:rFonts w:ascii="Verdana" w:hAnsi="Verdana"/>
          <w:sz w:val="20"/>
          <w:szCs w:val="20"/>
        </w:rPr>
        <w:t>,</w:t>
      </w:r>
    </w:p>
    <w:p w14:paraId="26DF358D" w14:textId="353B445E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F5A78">
        <w:rPr>
          <w:rFonts w:ascii="Verdana" w:hAnsi="Verdana"/>
          <w:sz w:val="20"/>
          <w:szCs w:val="20"/>
        </w:rPr>
        <w:t>6,0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C16171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681E33E" w14:textId="1325CA26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F5A78">
        <w:rPr>
          <w:rFonts w:ascii="Verdana" w:hAnsi="Verdana"/>
          <w:sz w:val="20"/>
          <w:szCs w:val="20"/>
        </w:rPr>
        <w:t>3949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F799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8C273F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26ABBDB" w14:textId="5BEB9B5C" w:rsidR="005F5A78" w:rsidRPr="003B51C4" w:rsidRDefault="005F5A78" w:rsidP="005F5A78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45d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Ligota Dolna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4+892</w:t>
      </w:r>
    </w:p>
    <w:p w14:paraId="43B59AB3" w14:textId="77777777" w:rsidR="005F5A78" w:rsidRPr="003B51C4" w:rsidRDefault="005F5A78" w:rsidP="005F5A7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Z</w:t>
      </w:r>
      <w:r w:rsidRPr="003B51C4">
        <w:rPr>
          <w:rFonts w:ascii="Verdana" w:hAnsi="Verdana"/>
          <w:sz w:val="20"/>
          <w:szCs w:val="20"/>
        </w:rPr>
        <w:t>,</w:t>
      </w:r>
    </w:p>
    <w:p w14:paraId="28FC8C36" w14:textId="77777777" w:rsidR="005F5A78" w:rsidRPr="003B51C4" w:rsidRDefault="005F5A78" w:rsidP="005F5A7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6,0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B9BBC85" w14:textId="77777777" w:rsidR="005F5A78" w:rsidRPr="003B51C4" w:rsidRDefault="005F5A78" w:rsidP="005F5A7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09C3068" w14:textId="77777777" w:rsidR="005F5A78" w:rsidRPr="003B51C4" w:rsidRDefault="005F5A78" w:rsidP="005F5A7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3949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2F9C373" w14:textId="77777777" w:rsidR="005F5A78" w:rsidRPr="003B51C4" w:rsidRDefault="005F5A78" w:rsidP="005F5A7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2CBD90F" w14:textId="77777777" w:rsidR="005F5A78" w:rsidRPr="003B51C4" w:rsidRDefault="005F5A78" w:rsidP="005F5A7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67630AA" w14:textId="77777777" w:rsidR="00903692" w:rsidRP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7F35A193" w14:textId="4ABEE5E8" w:rsidR="004F56CD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użytkowe.</w:t>
      </w:r>
    </w:p>
    <w:p w14:paraId="478490F8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3BA4AA4" w14:textId="1F036E63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robót budowlanych i oddanie do użytku przedmiotu zamówienia musi być zrealizowane zgodnie z przepisami ustawy Prawo Budowlane. Wykonanie i oddanie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użytku musi również być zgodne ze wszystkimi aktami prawnymi właściwymi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przedmiocie zamówienia, z przepisami </w:t>
      </w:r>
      <w:proofErr w:type="spellStart"/>
      <w:r w:rsidRPr="003B51C4">
        <w:rPr>
          <w:rFonts w:ascii="Verdana" w:hAnsi="Verdana"/>
          <w:sz w:val="20"/>
          <w:szCs w:val="20"/>
        </w:rPr>
        <w:t>techniczno</w:t>
      </w:r>
      <w:proofErr w:type="spellEnd"/>
      <w:r w:rsidRPr="003B51C4">
        <w:rPr>
          <w:rFonts w:ascii="Verdana" w:hAnsi="Verdana"/>
          <w:sz w:val="20"/>
          <w:szCs w:val="20"/>
        </w:rPr>
        <w:t xml:space="preserve">– budowlanymi, obowiązującymi polskimi normami, wytycznymi oraz zasadami najnowszych rozwiązań technicznych. </w:t>
      </w:r>
      <w:r w:rsidR="003C3739" w:rsidRPr="003B51C4">
        <w:rPr>
          <w:rFonts w:ascii="Verdana" w:hAnsi="Verdana"/>
          <w:sz w:val="20"/>
          <w:szCs w:val="20"/>
        </w:rPr>
        <w:t>W</w:t>
      </w:r>
      <w:r w:rsidR="003B51C4">
        <w:rPr>
          <w:rFonts w:ascii="Verdana" w:hAnsi="Verdana"/>
          <w:sz w:val="20"/>
          <w:szCs w:val="20"/>
        </w:rPr>
        <w:t> </w:t>
      </w:r>
      <w:r w:rsidR="003C3739" w:rsidRPr="003B51C4">
        <w:rPr>
          <w:rFonts w:ascii="Verdana" w:hAnsi="Verdana"/>
          <w:sz w:val="20"/>
          <w:szCs w:val="20"/>
        </w:rPr>
        <w:t>celu oszacowania i wyceny zakresu robót dla potrzeb sporządzenia oferty należy kierować się:</w:t>
      </w:r>
    </w:p>
    <w:p w14:paraId="5CCE5988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wynikami szczegółowej wizji w terenie i inwentaryzacji własnych,</w:t>
      </w:r>
    </w:p>
    <w:p w14:paraId="734D9C15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treścią opracowań znajdujących się do wglądu u Zamawiającego,</w:t>
      </w:r>
    </w:p>
    <w:p w14:paraId="0369BE2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zapisami niniejszego Programu Funkcjonalno- Użytkowego,</w:t>
      </w:r>
    </w:p>
    <w:p w14:paraId="0AAFAC11" w14:textId="5CC7FD75" w:rsidR="003C3739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wszelkie kolizje z obcymi sieciami należy uwzględnić przy sporządzaniu dokumentacji wraz z wymaganymi uzgodnieniami i ich wykonaniem w terenie.</w:t>
      </w:r>
    </w:p>
    <w:p w14:paraId="7F5347BE" w14:textId="525749AE" w:rsidR="00E2198A" w:rsidRPr="003B51C4" w:rsidRDefault="00E2198A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rozwiązania wpływające na zwiększenie zakresu robót stanowią ryzyko Wykonawcy i nie będą traktowane jako roboty dodatkowe.</w:t>
      </w:r>
    </w:p>
    <w:p w14:paraId="1068C4DF" w14:textId="77777777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</w:p>
    <w:p w14:paraId="1E55576F" w14:textId="77777777" w:rsidR="004F56CD" w:rsidRPr="003B51C4" w:rsidRDefault="003C3739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4B080E8C" w14:textId="77777777" w:rsidR="0092012D" w:rsidRPr="003B51C4" w:rsidRDefault="0092012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F22E6CE" w14:textId="77777777" w:rsidR="003C3739" w:rsidRPr="003B51C4" w:rsidRDefault="003C3739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 zakresie budowy oświetlenia dedykowanego LED</w:t>
      </w:r>
    </w:p>
    <w:p w14:paraId="48FD2D6D" w14:textId="77777777" w:rsidR="00804575" w:rsidRPr="003B51C4" w:rsidRDefault="00804575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33C4781A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ogólne</w:t>
      </w:r>
    </w:p>
    <w:p w14:paraId="13405E8E" w14:textId="77777777" w:rsidR="007D59DB" w:rsidRPr="003B51C4" w:rsidRDefault="007D59DB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Oświetlenie dla pieszych powinno jednocześnie zapewniać kierowcy właściwe warunki rozpoznania sytuacji drogowej i obserwacji sylwetki pieszego, a pieszemu właściwe warunki otoczenia, przejścia dla pieszych i zbliżających się pojazdów</w:t>
      </w:r>
      <w:r w:rsidR="004370F5" w:rsidRPr="003B51C4">
        <w:rPr>
          <w:rFonts w:ascii="Verdana" w:hAnsi="Verdana"/>
          <w:sz w:val="20"/>
          <w:szCs w:val="20"/>
        </w:rPr>
        <w:t>. W tym celu należy zapewnić urządzenia oświetleniowe, które zapewniają kontrast luminacji postaci pieszego oraz tła za pieszym. Jednocześnie żaden z użytkowników nie powinien być oślepiony przez źródła światła</w:t>
      </w:r>
    </w:p>
    <w:p w14:paraId="277830A6" w14:textId="77777777" w:rsidR="003C3739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oprawy oświetleniowe proponowane przez Wykonawcę do realizacji inwestycji, muszą być wykonane wyłącznie jako typowe rozwiązania katalogowe, tym samym nie będą akceptowane przez zamawiającego oprawy wykonane jako rozwiązania: specjalne, na zamówienie, itp.;</w:t>
      </w:r>
    </w:p>
    <w:p w14:paraId="48EF1996" w14:textId="77777777" w:rsidR="0092012D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Dla po</w:t>
      </w:r>
      <w:r w:rsidR="0092012D" w:rsidRPr="003B51C4">
        <w:rPr>
          <w:rFonts w:ascii="Verdana" w:hAnsi="Verdana"/>
          <w:sz w:val="20"/>
          <w:szCs w:val="20"/>
        </w:rPr>
        <w:t>trzeb związanych z ww. oświetlen</w:t>
      </w:r>
      <w:r w:rsidRPr="003B51C4">
        <w:rPr>
          <w:rFonts w:ascii="Verdana" w:hAnsi="Verdana"/>
          <w:sz w:val="20"/>
          <w:szCs w:val="20"/>
        </w:rPr>
        <w:t>iem nie należy stosować opraw tzw. Parkowych</w:t>
      </w:r>
      <w:r w:rsidR="0092012D" w:rsidRPr="003B51C4">
        <w:rPr>
          <w:rFonts w:ascii="Verdana" w:hAnsi="Verdana"/>
          <w:sz w:val="20"/>
          <w:szCs w:val="20"/>
        </w:rPr>
        <w:t xml:space="preserve"> tylko drogowe oprawy oświetleniowe wykonane w technologii LED</w:t>
      </w:r>
    </w:p>
    <w:p w14:paraId="17B55BB2" w14:textId="77777777" w:rsidR="003C3739" w:rsidRPr="003B51C4" w:rsidRDefault="0092012D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Oprawy oświetleniowe powinny charakteryzować się między innymi: minimalizacją kosztów w zakresie eksploatacji i utrzymania, trwałością korpusu i układów zasilających, odpornością na czynniki atmosferyczne i być odporne na stłuczenie. Pokrywa oprawy winna być wykonana z aluminium, korpus oprawy (rama) wykonany z niek</w:t>
      </w:r>
      <w:r w:rsidR="00804575" w:rsidRPr="003B51C4">
        <w:rPr>
          <w:rFonts w:ascii="Verdana" w:hAnsi="Verdana"/>
          <w:sz w:val="20"/>
          <w:szCs w:val="20"/>
        </w:rPr>
        <w:t>orodującego odlewu aluminiowego.</w:t>
      </w:r>
    </w:p>
    <w:p w14:paraId="238B8B17" w14:textId="77777777" w:rsidR="00804575" w:rsidRPr="003B51C4" w:rsidRDefault="00804575" w:rsidP="003B51C4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B63B983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Poziom i cechy oświetlenia</w:t>
      </w:r>
    </w:p>
    <w:p w14:paraId="7BD0AD5A" w14:textId="77777777" w:rsidR="004370F5" w:rsidRPr="003B51C4" w:rsidRDefault="004370F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Wykonanie oświetlenia dedykowanego przejść dla pieszych należy zrealizować w oparc</w:t>
      </w:r>
      <w:r w:rsidR="0007726E">
        <w:rPr>
          <w:rFonts w:ascii="Verdana" w:hAnsi="Verdana"/>
          <w:sz w:val="20"/>
          <w:szCs w:val="20"/>
        </w:rPr>
        <w:t>iu o</w:t>
      </w:r>
      <w:r w:rsidRPr="003B51C4">
        <w:rPr>
          <w:rFonts w:ascii="Verdana" w:hAnsi="Verdana"/>
          <w:sz w:val="20"/>
          <w:szCs w:val="20"/>
        </w:rPr>
        <w:t>:</w:t>
      </w:r>
    </w:p>
    <w:p w14:paraId="0F9762F0" w14:textId="1F81692F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projektowania infrastruktury dla pieszych. Część 3: Projektowanie p</w:t>
      </w:r>
      <w:r w:rsidR="00814C55">
        <w:rPr>
          <w:rFonts w:ascii="Verdana" w:hAnsi="Verdana"/>
          <w:sz w:val="20"/>
          <w:szCs w:val="20"/>
        </w:rPr>
        <w:t>rzejść dla pieszych (WR-D-41-3) z 02 marca 2021 r.</w:t>
      </w:r>
    </w:p>
    <w:p w14:paraId="3DBB53CD" w14:textId="747C2CBA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Wytyczne projektowania infrastruktury dla pieszych. Część 4: Projektowanie oświetlenia przejść dla pieszych (WR-D-41-4). </w:t>
      </w:r>
      <w:r w:rsidR="00814C55">
        <w:rPr>
          <w:rFonts w:ascii="Verdana" w:hAnsi="Verdana"/>
          <w:sz w:val="20"/>
          <w:szCs w:val="20"/>
        </w:rPr>
        <w:t>Z 01 lipca 2021 r.</w:t>
      </w:r>
    </w:p>
    <w:p w14:paraId="568AA54E" w14:textId="5ACCD7E0" w:rsidR="004370F5" w:rsidRPr="003B51C4" w:rsidRDefault="004370F5" w:rsidP="0007726E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 projektu należy dołączyć szczegółowe obliczenia fotometryczne</w:t>
      </w:r>
      <w:r w:rsidR="00814C55">
        <w:rPr>
          <w:rFonts w:ascii="Verdana" w:hAnsi="Verdana"/>
          <w:sz w:val="20"/>
          <w:szCs w:val="20"/>
        </w:rPr>
        <w:t>.</w:t>
      </w:r>
    </w:p>
    <w:p w14:paraId="1FF48644" w14:textId="77777777" w:rsidR="0092012D" w:rsidRPr="003B51C4" w:rsidRDefault="0092012D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02CFABE2" w14:textId="77777777" w:rsidR="003C3739" w:rsidRPr="003B51C4" w:rsidRDefault="0092012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Konstrukcje wsporcze oświetlenia drogowego</w:t>
      </w:r>
    </w:p>
    <w:p w14:paraId="2F776E4D" w14:textId="15C88E59" w:rsidR="009B3039" w:rsidRDefault="0092012D" w:rsidP="009B3039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Dla wykonania oświetlenia drogowego należy stosować typowe </w:t>
      </w:r>
      <w:r w:rsidR="00300691">
        <w:rPr>
          <w:rFonts w:ascii="Verdana" w:hAnsi="Verdana"/>
          <w:sz w:val="20"/>
          <w:szCs w:val="20"/>
        </w:rPr>
        <w:t>bezpieczne konstrukcje wsporcze stanowiące wyrób budowlany w rozumieni</w:t>
      </w:r>
      <w:r w:rsidR="00D044A4">
        <w:rPr>
          <w:rFonts w:ascii="Verdana" w:hAnsi="Verdana"/>
          <w:sz w:val="20"/>
          <w:szCs w:val="20"/>
        </w:rPr>
        <w:t xml:space="preserve">u ustawy o wyrobach budowalnych. </w:t>
      </w:r>
      <w:r w:rsidR="00300691">
        <w:rPr>
          <w:rFonts w:ascii="Verdana" w:hAnsi="Verdana"/>
          <w:sz w:val="20"/>
          <w:szCs w:val="20"/>
        </w:rPr>
        <w:t>Konstrukcje wsporcze muszą spełniać wszelkie postanowienia obowiązujących norm w</w:t>
      </w:r>
      <w:r w:rsidR="003521E3">
        <w:rPr>
          <w:rFonts w:ascii="Verdana" w:hAnsi="Verdana"/>
          <w:sz w:val="20"/>
          <w:szCs w:val="20"/>
        </w:rPr>
        <w:t> </w:t>
      </w:r>
      <w:r w:rsidR="00300691">
        <w:rPr>
          <w:rFonts w:ascii="Verdana" w:hAnsi="Verdana"/>
          <w:sz w:val="20"/>
          <w:szCs w:val="20"/>
        </w:rPr>
        <w:t xml:space="preserve">zakresie wymaganej wytrzymałości ze względu na występującą </w:t>
      </w:r>
      <w:r w:rsidR="00D044A4">
        <w:rPr>
          <w:rFonts w:ascii="Verdana" w:hAnsi="Verdana"/>
          <w:sz w:val="20"/>
          <w:szCs w:val="20"/>
        </w:rPr>
        <w:t>w danym terenie strefę wiatrową oraz normę PN-EN 12767 (</w:t>
      </w:r>
      <w:r w:rsidR="00D044A4" w:rsidRPr="00D044A4">
        <w:rPr>
          <w:rFonts w:ascii="Verdana" w:hAnsi="Verdana"/>
          <w:sz w:val="20"/>
          <w:szCs w:val="20"/>
        </w:rPr>
        <w:t>Bierne bezpieczeństwo konstrukcji wsporczych dla urządzeń drogowych</w:t>
      </w:r>
      <w:r w:rsidR="00D044A4">
        <w:rPr>
          <w:rFonts w:ascii="Verdana" w:hAnsi="Verdana"/>
          <w:sz w:val="20"/>
          <w:szCs w:val="20"/>
        </w:rPr>
        <w:t>).</w:t>
      </w:r>
      <w:r w:rsidR="0030069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Słupy i maszty oświetleniowe wykonane ze stali oraz aluminium i ze stopów aluminium, które będą lokalizowane poza obiektami inżynierskimi (mostowymi), należy montować wyłącznie na fundamentach prefabrykowanych lub wykonanych na placu budowy. Długość wysięgników oświetlenia drogowego należy dobrać w taki sposób, aby linia opraw nie była uzależniona od zmiany odległości poszczególnych słupów od krawędzi jezdni, w celu prowadzenia kierowców niezakłóconą linią świetlną.</w:t>
      </w:r>
    </w:p>
    <w:p w14:paraId="4C725E0B" w14:textId="6E4A31FE" w:rsidR="00E2198A" w:rsidRDefault="00E2198A" w:rsidP="00E2198A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Sygnalizacja świetlna</w:t>
      </w:r>
    </w:p>
    <w:p w14:paraId="2F6CE173" w14:textId="09CEC3AB" w:rsidR="00E2198A" w:rsidRPr="00E2198A" w:rsidRDefault="00E2198A" w:rsidP="00E2198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Sygnalizacja św</w:t>
      </w:r>
      <w:r w:rsidR="00E23F7F">
        <w:rPr>
          <w:rFonts w:ascii="Verdana" w:hAnsi="Verdana"/>
          <w:sz w:val="20"/>
          <w:szCs w:val="20"/>
        </w:rPr>
        <w:t>ietlna pracować powinna w zależn</w:t>
      </w:r>
      <w:r>
        <w:rPr>
          <w:rFonts w:ascii="Verdana" w:hAnsi="Verdana"/>
          <w:sz w:val="20"/>
          <w:szCs w:val="20"/>
        </w:rPr>
        <w:t xml:space="preserve">ości od zakresu </w:t>
      </w:r>
      <w:proofErr w:type="spellStart"/>
      <w:r>
        <w:rPr>
          <w:rFonts w:ascii="Verdana" w:hAnsi="Verdana"/>
          <w:sz w:val="20"/>
          <w:szCs w:val="20"/>
        </w:rPr>
        <w:t>wzbudzeń</w:t>
      </w:r>
      <w:proofErr w:type="spellEnd"/>
      <w:r>
        <w:rPr>
          <w:rFonts w:ascii="Verdana" w:hAnsi="Verdana"/>
          <w:sz w:val="20"/>
          <w:szCs w:val="20"/>
        </w:rPr>
        <w:t xml:space="preserve"> systemów detekcji. Podstawowym stanem przy braku zgłoszeń powinien być stan „Zielona dla ruchu kołowego”. Sygnalizacja musi zostać wyp</w:t>
      </w:r>
      <w:r w:rsidR="00E23F7F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sażona w systemy detekcji dla pieszych – przyciski zgłoszeniowe na przejściu przez jezdnię na masztach sygnalizatorów. Wyjście ze stanu podstawowego i załączenie światła zielonego w grupie powinno następować w chwili zarejestrowania</w:t>
      </w:r>
      <w:r w:rsidR="00E23F7F">
        <w:rPr>
          <w:rFonts w:ascii="Verdana" w:hAnsi="Verdana"/>
          <w:sz w:val="20"/>
          <w:szCs w:val="20"/>
        </w:rPr>
        <w:t xml:space="preserve"> zgłoszenia od detektora przypisanego do tej grupy. Przyciski dla pieszych zlokalizowane na masztach powinny mieć za zadnie przekazywanie żądania światła zielonego do sterownika. Przyciski powinny pokazywać przyjęcie zgłoszenia przez sterownik. </w:t>
      </w:r>
    </w:p>
    <w:p w14:paraId="65273C3C" w14:textId="77777777" w:rsidR="006B22C9" w:rsidRPr="003B51C4" w:rsidRDefault="006B22C9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D3EAA75" w14:textId="77777777" w:rsidR="004F56CD" w:rsidRDefault="00EE6200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581E0A1E" w14:textId="77777777" w:rsidR="0007726E" w:rsidRPr="003B51C4" w:rsidRDefault="0007726E" w:rsidP="0007726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37702E8" w14:textId="77777777" w:rsidR="00EE6200" w:rsidRPr="003B51C4" w:rsidRDefault="00EE6200" w:rsidP="0007726E">
      <w:pPr>
        <w:pStyle w:val="Akapitzlist"/>
        <w:numPr>
          <w:ilvl w:val="0"/>
          <w:numId w:val="23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Plac budowy</w:t>
      </w:r>
    </w:p>
    <w:p w14:paraId="57B7483C" w14:textId="258C6745" w:rsidR="00EE6200" w:rsidRPr="003B51C4" w:rsidRDefault="00EE6200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przekaże Wykonawcy całość terenu objętego lokalizacją obiektów. Przed przystąpieniem do robót budowlanych należy zabezpieczyć teren budowy zgodnie z</w:t>
      </w:r>
      <w:r w:rsidR="003521E3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obowiązującymi przepisami. Zamawiający nie zapewnia Wykonawcy pomieszczeń socjalno-technicznych na terenie budowy. Po zakończeniu budowy Wykonawca zobowiązany jest do uporządkowania terenu.</w:t>
      </w:r>
    </w:p>
    <w:p w14:paraId="2D5B0A5A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8A8EF65" w14:textId="77777777" w:rsidR="00EE6200" w:rsidRPr="003B51C4" w:rsidRDefault="008B58B8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terenu budowy / robót</w:t>
      </w:r>
    </w:p>
    <w:p w14:paraId="23F4C139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7FA55EC7" w14:textId="0232F77F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jest zobowiązany do utrzymania ruchu publicznego oraz utrzymania istniejących obiektów (jezdnie, ciągi piesze, znaki drogowe, urządzenia odwodnienia itp.) na terenie budowy / prac, w okresie trwania realizacji poszczególnych robót, aż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 zakończenia i odbioru ostatecznego tych robót.</w:t>
      </w:r>
    </w:p>
    <w:p w14:paraId="0631E58B" w14:textId="641832D4" w:rsidR="00572906" w:rsidRDefault="00572906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F62ED9C" w14:textId="77777777" w:rsidR="00176982" w:rsidRPr="003B51C4" w:rsidRDefault="00176982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33FB2AE" w14:textId="77777777" w:rsidR="008B58B8" w:rsidRPr="003B51C4" w:rsidRDefault="008B58B8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Odpowiedzialność prawna Wykonawcy</w:t>
      </w:r>
    </w:p>
    <w:p w14:paraId="7DB684FD" w14:textId="7D5FA6C9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będzie zobowiązany umową do przyjęcia odpowiedzialności od następstw i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za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wyniki działalności w zakresie:</w:t>
      </w:r>
    </w:p>
    <w:p w14:paraId="5E18DE8F" w14:textId="77777777" w:rsidR="008B58B8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Organizacji robót budowlanych,</w:t>
      </w:r>
    </w:p>
    <w:p w14:paraId="7B1F0F81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interesów osób trzecich,</w:t>
      </w:r>
    </w:p>
    <w:p w14:paraId="71A2B5DB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Ochrony środowiska,</w:t>
      </w:r>
    </w:p>
    <w:p w14:paraId="0A278547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pracy,</w:t>
      </w:r>
    </w:p>
    <w:p w14:paraId="2930ABDE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ruchu drogowego związanego z budową,</w:t>
      </w:r>
    </w:p>
    <w:p w14:paraId="4B3E2A88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placu budowy przed dostępem osób trzech.</w:t>
      </w:r>
    </w:p>
    <w:p w14:paraId="2AF276CE" w14:textId="77777777" w:rsidR="00572906" w:rsidRPr="003B51C4" w:rsidRDefault="00572906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32C476AF" w14:textId="77777777" w:rsidR="00EB727A" w:rsidRPr="003B51C4" w:rsidRDefault="00EB727A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</w:t>
      </w:r>
    </w:p>
    <w:p w14:paraId="3609D3BE" w14:textId="77777777" w:rsidR="00EB727A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 stosowane w trakcie wykonywania robót budowlanych mają spełniać wymagania polskich przepisów, a Wykonawca będzie posiadał dokumenty potwierdzające, że z</w:t>
      </w:r>
      <w:r w:rsidR="00931EDF" w:rsidRPr="003B51C4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stały one wprowadzone do obrotu zgodnie z regulacjami ustawy o wyrobach budowlanych i posiadają </w:t>
      </w:r>
      <w:r w:rsidR="00931EDF" w:rsidRPr="003B51C4">
        <w:rPr>
          <w:rFonts w:ascii="Verdana" w:hAnsi="Verdana"/>
          <w:sz w:val="20"/>
          <w:szCs w:val="20"/>
        </w:rPr>
        <w:t>wymagane parametry.</w:t>
      </w:r>
    </w:p>
    <w:p w14:paraId="320CF465" w14:textId="77777777" w:rsidR="00D7028D" w:rsidRPr="003B51C4" w:rsidRDefault="00D7028D" w:rsidP="003B51C4">
      <w:pPr>
        <w:jc w:val="both"/>
        <w:rPr>
          <w:rFonts w:ascii="Verdana" w:hAnsi="Verdana"/>
          <w:sz w:val="20"/>
          <w:szCs w:val="20"/>
        </w:rPr>
      </w:pPr>
    </w:p>
    <w:p w14:paraId="36088E66" w14:textId="77777777" w:rsidR="00EE6200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Kontrola wykonywanych robót</w:t>
      </w:r>
    </w:p>
    <w:p w14:paraId="014BB261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przewiduje bieżącą kontrolę wykonywanych robót.</w:t>
      </w:r>
    </w:p>
    <w:p w14:paraId="5006E61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Kontroli zamawiającego będą poddane w szczególności:</w:t>
      </w:r>
    </w:p>
    <w:p w14:paraId="33B6CD30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Rozwiązania projektowe zawarte w projekcie wykonawczym przed ich skierowaniem do realizacji robót budowlanych- w aspekcie ich zgodności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programem funkcjonalno- użytkowym oraz warunkami umowy,</w:t>
      </w:r>
    </w:p>
    <w:p w14:paraId="06EA89E6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Stosowane gotowe wyroby budowlane -  w odniesieniu do dokumentów potwierdzających ich dopuszczenie do obrotu oraz zgodności parametrów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danymi zawartymi w opracowaniach projektowych,</w:t>
      </w:r>
    </w:p>
    <w:p w14:paraId="6EB8FFC3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Sposób wykonania robót budowlanych – w aspekcie zgodności ich wykonania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projektem wykonawczym, programem funkcjonalno- użytkowym i umową, obowiązującymi normami i sztuką budowlaną,</w:t>
      </w:r>
    </w:p>
    <w:p w14:paraId="4A38D96B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Jakość wykonania robót i dokładność montażu,</w:t>
      </w:r>
    </w:p>
    <w:p w14:paraId="7D286790" w14:textId="63867856" w:rsidR="00556E9B" w:rsidRPr="00695521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Prawidłowość funkcjonowania zamontowanych urządzeń.</w:t>
      </w:r>
    </w:p>
    <w:p w14:paraId="6681F656" w14:textId="1219EAD6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ustala następujące rodzaje odbiorów:</w:t>
      </w:r>
    </w:p>
    <w:p w14:paraId="22D428B9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dokumentacji projektowej,</w:t>
      </w:r>
    </w:p>
    <w:p w14:paraId="402B05C4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robót zanikających i ulegających zakryciu,</w:t>
      </w:r>
    </w:p>
    <w:p w14:paraId="4D8911C2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częściowy,</w:t>
      </w:r>
    </w:p>
    <w:p w14:paraId="1E7B2C5A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końcowy,</w:t>
      </w:r>
    </w:p>
    <w:p w14:paraId="7661293F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Odbiory pogwarancyjne.</w:t>
      </w:r>
    </w:p>
    <w:p w14:paraId="08784AB4" w14:textId="77777777" w:rsidR="00DD3C8D" w:rsidRPr="003B51C4" w:rsidRDefault="00DD3C8D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09D695C3" w14:textId="77777777" w:rsidR="00572906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zamówienia.</w:t>
      </w:r>
    </w:p>
    <w:p w14:paraId="083C206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wyłonieniu Wykonawcy jest on zobowiązany w ciągu 7 dni do podpisania Umowy. Po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podpisaniu Umowy Wykonawca w ciągu 5 dniu przedłoży do akceptacji Zamawiającego harmonogram szczegółowy wykonania poszczególnych opracowań projektowych, uzyskania poszczególnych opinii, uzgodnień i decyzji oraz wyko</w:t>
      </w:r>
      <w:r w:rsidR="00DD3C8D" w:rsidRPr="003B51C4">
        <w:rPr>
          <w:rFonts w:ascii="Verdana" w:hAnsi="Verdana"/>
          <w:sz w:val="20"/>
          <w:szCs w:val="20"/>
        </w:rPr>
        <w:t>n</w:t>
      </w:r>
      <w:r w:rsidRPr="003B51C4">
        <w:rPr>
          <w:rFonts w:ascii="Verdana" w:hAnsi="Verdana"/>
          <w:sz w:val="20"/>
          <w:szCs w:val="20"/>
        </w:rPr>
        <w:t>ania robót budowlanych</w:t>
      </w:r>
      <w:r w:rsidR="007B7218" w:rsidRPr="003B51C4">
        <w:rPr>
          <w:rFonts w:ascii="Verdana" w:hAnsi="Verdana"/>
          <w:sz w:val="20"/>
          <w:szCs w:val="20"/>
        </w:rPr>
        <w:t>.</w:t>
      </w:r>
    </w:p>
    <w:p w14:paraId="05B4AD20" w14:textId="77777777" w:rsidR="005271DD" w:rsidRPr="003B51C4" w:rsidRDefault="005271D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F624896" w14:textId="77777777" w:rsidR="00DD3C8D" w:rsidRPr="003B51C4" w:rsidRDefault="00DD3C8D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Wymagania dotyczące wykonywania i odbioru opracowań projektowych</w:t>
      </w:r>
    </w:p>
    <w:p w14:paraId="7887A9E2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78D4C00" w14:textId="77777777" w:rsidR="005271DD" w:rsidRPr="003B51C4" w:rsidRDefault="005271DD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projektowa</w:t>
      </w:r>
    </w:p>
    <w:p w14:paraId="52A94A15" w14:textId="77777777" w:rsidR="00DD3C8D" w:rsidRPr="003B51C4" w:rsidRDefault="00DD3C8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podpisaniu Umowy Wykonawca opracuje Dokumentację Projektową w zakresie branży elektrycznej i drogowej wraz z niezbędnymi uzgodnieniami i zatwierdzeniami w ilości:</w:t>
      </w:r>
    </w:p>
    <w:p w14:paraId="438BD64E" w14:textId="0D2DE5FF" w:rsidR="00DD3C8D" w:rsidRPr="003B51C4" w:rsidRDefault="00DD3C8D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Branża</w:t>
      </w:r>
      <w:r w:rsidR="00782D98">
        <w:rPr>
          <w:rFonts w:ascii="Verdana" w:hAnsi="Verdana"/>
          <w:sz w:val="20"/>
          <w:szCs w:val="20"/>
        </w:rPr>
        <w:t xml:space="preserve"> elektryczna i konstrukcyjna – </w:t>
      </w:r>
      <w:r w:rsidR="00100D9F">
        <w:rPr>
          <w:rFonts w:ascii="Verdana" w:hAnsi="Verdana"/>
          <w:sz w:val="20"/>
          <w:szCs w:val="20"/>
        </w:rPr>
        <w:t>3</w:t>
      </w:r>
      <w:r w:rsidRPr="003B51C4">
        <w:rPr>
          <w:rFonts w:ascii="Verdana" w:hAnsi="Verdana"/>
          <w:sz w:val="20"/>
          <w:szCs w:val="20"/>
        </w:rPr>
        <w:t xml:space="preserve"> egz.,</w:t>
      </w:r>
    </w:p>
    <w:p w14:paraId="66A93D88" w14:textId="31DF864D" w:rsidR="00DD3C8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Branża inżynierii ruchu – </w:t>
      </w:r>
      <w:r w:rsidR="00100D9F">
        <w:rPr>
          <w:rFonts w:ascii="Verdana" w:hAnsi="Verdana"/>
          <w:sz w:val="20"/>
          <w:szCs w:val="20"/>
        </w:rPr>
        <w:t>3</w:t>
      </w:r>
      <w:r w:rsidR="00DD3C8D" w:rsidRPr="003B51C4">
        <w:rPr>
          <w:rFonts w:ascii="Verdana" w:hAnsi="Verdana"/>
          <w:sz w:val="20"/>
          <w:szCs w:val="20"/>
        </w:rPr>
        <w:t xml:space="preserve"> egz.</w:t>
      </w:r>
      <w:r w:rsidR="005271DD" w:rsidRPr="003B51C4">
        <w:rPr>
          <w:rFonts w:ascii="Verdana" w:hAnsi="Verdana"/>
          <w:sz w:val="20"/>
          <w:szCs w:val="20"/>
        </w:rPr>
        <w:t>,</w:t>
      </w:r>
    </w:p>
    <w:p w14:paraId="05AA8A63" w14:textId="7F11895A" w:rsidR="005271D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Branża drogowa – </w:t>
      </w:r>
      <w:r w:rsidR="00100D9F">
        <w:rPr>
          <w:rFonts w:ascii="Verdana" w:hAnsi="Verdana"/>
          <w:sz w:val="20"/>
          <w:szCs w:val="20"/>
        </w:rPr>
        <w:t>3</w:t>
      </w:r>
      <w:r w:rsidR="005271DD" w:rsidRPr="003B51C4">
        <w:rPr>
          <w:rFonts w:ascii="Verdana" w:hAnsi="Verdana"/>
          <w:sz w:val="20"/>
          <w:szCs w:val="20"/>
        </w:rPr>
        <w:t xml:space="preserve"> egz.</w:t>
      </w:r>
    </w:p>
    <w:p w14:paraId="7A8BB4BA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projektów:</w:t>
      </w:r>
    </w:p>
    <w:p w14:paraId="5CA14FAF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(wer.2012), ponadto powinny zawierać wszystkie pomierzone współrzędne w układzie 2000,</w:t>
      </w:r>
    </w:p>
    <w:p w14:paraId="337AE031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MS Word i MS Excel;</w:t>
      </w:r>
    </w:p>
    <w:p w14:paraId="0BF775B2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*.pdf.</w:t>
      </w:r>
    </w:p>
    <w:p w14:paraId="2F6AE27D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27FB16C" w14:textId="77777777" w:rsidR="00EB727A" w:rsidRPr="003B51C4" w:rsidRDefault="00EB727A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powykonawcza</w:t>
      </w:r>
    </w:p>
    <w:p w14:paraId="67C6582B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zakończeniu robót Wykonawcza sporządzi i przekaże Zamawiającemu dokumentację powykonawczą. Dokumentacja  powykonawcza zawierać będzie:</w:t>
      </w:r>
    </w:p>
    <w:p w14:paraId="3F3164F4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Dokumentację projektową odstawową z naniesionymi zmianami, uzgodnienia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opinie,</w:t>
      </w:r>
    </w:p>
    <w:p w14:paraId="64FABDB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Sprawozdanie kierownika budowy wraz z oświadczeniami o zakończeniu robót,</w:t>
      </w:r>
    </w:p>
    <w:p w14:paraId="024D87A7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Protokoły odbiorów częściowych i zanikających (podlegających zakryciu),</w:t>
      </w:r>
    </w:p>
    <w:p w14:paraId="7359C78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Obmiar robót,</w:t>
      </w:r>
    </w:p>
    <w:p w14:paraId="5648E9F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Inwentaryzację geodezyjną,</w:t>
      </w:r>
    </w:p>
    <w:p w14:paraId="4644FB81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Protokół pomiaru parametrów elektrycznych.</w:t>
      </w:r>
    </w:p>
    <w:p w14:paraId="5F715BFA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 powykonawczych z naniesionymi zmianami:</w:t>
      </w:r>
    </w:p>
    <w:p w14:paraId="1AE2770A" w14:textId="77777777" w:rsidR="00EB727A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</w:t>
      </w:r>
      <w:proofErr w:type="spellStart"/>
      <w:r w:rsidRPr="003B51C4">
        <w:rPr>
          <w:rFonts w:ascii="Verdana" w:hAnsi="Verdana"/>
          <w:sz w:val="20"/>
          <w:szCs w:val="20"/>
        </w:rPr>
        <w:t>wer</w:t>
      </w:r>
      <w:proofErr w:type="spellEnd"/>
      <w:r w:rsidRPr="003B51C4">
        <w:rPr>
          <w:rFonts w:ascii="Verdana" w:hAnsi="Verdana"/>
          <w:sz w:val="20"/>
          <w:szCs w:val="20"/>
        </w:rPr>
        <w:t>. 2012), ponadto powinny zawierać wszystkie pomierzone współrzędne w układzie 2000,</w:t>
      </w:r>
    </w:p>
    <w:p w14:paraId="7CFD7FB7" w14:textId="1A29DE01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</w:t>
      </w:r>
      <w:r w:rsidR="00E23F7F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 Word i MS Excel,</w:t>
      </w:r>
    </w:p>
    <w:p w14:paraId="24197B74" w14:textId="1082AD3B" w:rsidR="00931EDF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*pdf.</w:t>
      </w:r>
    </w:p>
    <w:p w14:paraId="003C6629" w14:textId="77777777" w:rsidR="0016044C" w:rsidRDefault="0016044C" w:rsidP="0016044C">
      <w:pPr>
        <w:pStyle w:val="Akapitzlist"/>
        <w:ind w:left="927"/>
        <w:jc w:val="both"/>
        <w:rPr>
          <w:rFonts w:ascii="Verdana" w:hAnsi="Verdana"/>
          <w:sz w:val="20"/>
          <w:szCs w:val="20"/>
        </w:rPr>
      </w:pPr>
    </w:p>
    <w:p w14:paraId="00A1E13E" w14:textId="77777777" w:rsidR="00804575" w:rsidRDefault="00804575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Szczegółowe rozwiązania wpływające na zwiększenie zakresu robót stanowią ryzyko Wykonawcy i nie będą traktowane jako roboty dodatkowe (podane w</w:t>
      </w:r>
      <w:r w:rsidR="001307B0">
        <w:rPr>
          <w:rFonts w:ascii="Verdana" w:hAnsi="Verdana"/>
          <w:b/>
          <w:sz w:val="20"/>
          <w:szCs w:val="20"/>
        </w:rPr>
        <w:t> </w:t>
      </w:r>
      <w:r w:rsidRPr="003B51C4">
        <w:rPr>
          <w:rFonts w:ascii="Verdana" w:hAnsi="Verdana"/>
          <w:b/>
          <w:sz w:val="20"/>
          <w:szCs w:val="20"/>
        </w:rPr>
        <w:t>niniejszym programie funkcjonalno-użytkowym ilości planowanych robót mogą ulec zmianie po opracowaniu dokumentacji projektowej).</w:t>
      </w:r>
    </w:p>
    <w:p w14:paraId="6220ACD9" w14:textId="77777777" w:rsidR="00A568EC" w:rsidRPr="003B51C4" w:rsidRDefault="00A568EC" w:rsidP="003B51C4">
      <w:pPr>
        <w:jc w:val="both"/>
        <w:rPr>
          <w:rFonts w:ascii="Verdana" w:hAnsi="Verdana"/>
          <w:b/>
          <w:sz w:val="20"/>
          <w:szCs w:val="20"/>
        </w:rPr>
      </w:pPr>
    </w:p>
    <w:p w14:paraId="17F4952A" w14:textId="77777777" w:rsidR="00EE6200" w:rsidRPr="003B51C4" w:rsidRDefault="006B22C9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1D0B3B9C" w14:textId="77777777" w:rsidR="006B22C9" w:rsidRPr="003B51C4" w:rsidRDefault="006B22C9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2FA90DC" w14:textId="77777777" w:rsidR="00804575" w:rsidRPr="003B51C4" w:rsidRDefault="00804575" w:rsidP="003B51C4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719422CF" w14:textId="77777777" w:rsidR="006B22C9" w:rsidRPr="003B51C4" w:rsidRDefault="006B22C9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5B0845B3" w14:textId="77777777" w:rsidR="00804575" w:rsidRPr="003B51C4" w:rsidRDefault="00804575" w:rsidP="003B51C4">
      <w:pPr>
        <w:pStyle w:val="Akapitzlist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 zamówienia winien spełniać wymogi:</w:t>
      </w:r>
    </w:p>
    <w:p w14:paraId="6766D072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7 lipca 1994 r. Prawo budowlane,</w:t>
      </w:r>
    </w:p>
    <w:p w14:paraId="6E579F3F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Ustawy z dnia 21 marca 1985 r. o drogach publicznych,</w:t>
      </w:r>
    </w:p>
    <w:p w14:paraId="32851B10" w14:textId="7DDA1DD5" w:rsidR="00804575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20 czerwca 1997 r. Prawo o ruchu drogowym,</w:t>
      </w:r>
    </w:p>
    <w:p w14:paraId="33B7799A" w14:textId="71936C8C" w:rsidR="00945F19" w:rsidRPr="003B51C4" w:rsidRDefault="00945F19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 Ministra Transportu, Budownictwa i Gospodarki Morskiej z dnia 25 kwietnia 2012 r. w sprawie szczegółowego zakresu i normy projektu budowlanego,</w:t>
      </w:r>
    </w:p>
    <w:p w14:paraId="376C134C" w14:textId="4A47E83E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</w:t>
      </w:r>
      <w:r w:rsidR="00300F55" w:rsidRPr="003B51C4">
        <w:rPr>
          <w:rFonts w:ascii="Verdana" w:hAnsi="Verdana"/>
          <w:sz w:val="20"/>
          <w:szCs w:val="20"/>
        </w:rPr>
        <w:t>ia Min</w:t>
      </w:r>
      <w:r w:rsidRPr="003B51C4">
        <w:rPr>
          <w:rFonts w:ascii="Verdana" w:hAnsi="Verdana"/>
          <w:sz w:val="20"/>
          <w:szCs w:val="20"/>
        </w:rPr>
        <w:t>i</w:t>
      </w:r>
      <w:r w:rsidR="00300F55" w:rsidRPr="003B51C4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tra Infrastruktury z dnia 18 </w:t>
      </w:r>
      <w:r w:rsidR="00945F19">
        <w:rPr>
          <w:rFonts w:ascii="Verdana" w:hAnsi="Verdana"/>
          <w:sz w:val="20"/>
          <w:szCs w:val="20"/>
        </w:rPr>
        <w:t>maja</w:t>
      </w:r>
      <w:r w:rsidRPr="003B51C4">
        <w:rPr>
          <w:rFonts w:ascii="Verdana" w:hAnsi="Verdana"/>
          <w:sz w:val="20"/>
          <w:szCs w:val="20"/>
        </w:rPr>
        <w:t xml:space="preserve"> 2004 r. w sprawie określenia metod i podstaw sporządzania kosztorysu inwestorskiego, obliczania planowanych kosztów prac projektowych oraz planowanych kosztów robót budowlanych określonych w </w:t>
      </w:r>
      <w:r w:rsidR="00300F55" w:rsidRPr="003B51C4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rogramie funkcjonalno- użytkowym,</w:t>
      </w:r>
    </w:p>
    <w:p w14:paraId="482D2652" w14:textId="77777777" w:rsidR="0080457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 września 2004 r., w sprawie szczegółowego zakresu i formy dokumentacji projektowej, specyfikacji technicznych wykonania i odbioru robót budowlanych oraz programu funkcjonalno- użytkowego,</w:t>
      </w:r>
    </w:p>
    <w:p w14:paraId="0723FE38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transportu i Gospodarki Morskiej z dnia 2 marca 1999 r., w sprawie warunków technicznych, jakim powinny odpowiadać drogi publiczne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ich usytuowanie,</w:t>
      </w:r>
    </w:p>
    <w:p w14:paraId="0ADC6970" w14:textId="46D602E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z dnia 3 lipca 2003 r., w sprawie szczegółowych warunków technicznych dla znaków i sygnałów drogowych oraz urządzeń bezpieczeństwa ruchu drogowego i warunków ich umieszczania na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drogach,</w:t>
      </w:r>
    </w:p>
    <w:p w14:paraId="44C59EEA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i Spraw Wewnętrznych i Administracji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dnia 31 lipca 2002 r., w sprawie znaków i sygnałów drogowych,</w:t>
      </w:r>
    </w:p>
    <w:p w14:paraId="6C6E5DCF" w14:textId="43A56CF6" w:rsidR="00300F55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23 września 2003 r., w sprawie szczegółowych warunków zarządzania ruchem na drogach oraz wykonywania nadzoru nad tym zarządzeniem.</w:t>
      </w:r>
    </w:p>
    <w:p w14:paraId="3C51FC6C" w14:textId="423347A8" w:rsidR="00945F19" w:rsidRDefault="00945F19" w:rsidP="00945F19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</w:t>
      </w:r>
    </w:p>
    <w:p w14:paraId="4450DC36" w14:textId="4D0C607B" w:rsidR="00945F19" w:rsidRDefault="00945F19" w:rsidP="00945F19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techniczne da nowych sygnalizatorów – Załącznik A</w:t>
      </w:r>
    </w:p>
    <w:p w14:paraId="73FB6CDD" w14:textId="6EDE3D5A" w:rsidR="00945F19" w:rsidRDefault="00945F19" w:rsidP="00945F19">
      <w:pPr>
        <w:pStyle w:val="Akapitzlist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Wymagania techniczne dla nowych sterowników sygnalizacji świetlnych – Załącznik B</w:t>
      </w:r>
    </w:p>
    <w:p w14:paraId="6111B021" w14:textId="3D5C9D07" w:rsidR="00782D98" w:rsidRDefault="00945F19" w:rsidP="00FF76EF">
      <w:pPr>
        <w:pStyle w:val="Akapitzlist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 Część 4: Projektowanie oświetlenia przejść dla pieszych 02-2021.07.01</w:t>
      </w:r>
    </w:p>
    <w:p w14:paraId="2500F48E" w14:textId="2E467D75" w:rsidR="00695521" w:rsidRDefault="00695521" w:rsidP="00FF76EF">
      <w:pPr>
        <w:pStyle w:val="Akapitzlist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 (WRD-41-2) Część 2: Projektowanie infrastruktury liniowej.</w:t>
      </w:r>
    </w:p>
    <w:p w14:paraId="183A18B3" w14:textId="77777777" w:rsidR="00695521" w:rsidRPr="003B51C4" w:rsidRDefault="00695521" w:rsidP="00695521">
      <w:pPr>
        <w:pStyle w:val="Akapitzlist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projektowania infrastruktury dla pieszych. Część 3: Projektowanie p</w:t>
      </w:r>
      <w:r>
        <w:rPr>
          <w:rFonts w:ascii="Verdana" w:hAnsi="Verdana"/>
          <w:sz w:val="20"/>
          <w:szCs w:val="20"/>
        </w:rPr>
        <w:t>rzejść dla pieszych (WR-D-41-3) z 02 marca 2021 r.</w:t>
      </w:r>
    </w:p>
    <w:p w14:paraId="07D23D4F" w14:textId="77777777" w:rsidR="00695521" w:rsidRPr="003B51C4" w:rsidRDefault="00695521" w:rsidP="00695521">
      <w:pPr>
        <w:pStyle w:val="Akapitzlist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Wytyczne projektowania infrastruktury dla pieszych. Część 4: Projektowanie oświetlenia przejść dla pieszych (WR-D-41-4). </w:t>
      </w:r>
      <w:r>
        <w:rPr>
          <w:rFonts w:ascii="Verdana" w:hAnsi="Verdana"/>
          <w:sz w:val="20"/>
          <w:szCs w:val="20"/>
        </w:rPr>
        <w:t>Z 01 lipca 2021 r.</w:t>
      </w:r>
    </w:p>
    <w:p w14:paraId="6147BD68" w14:textId="77777777" w:rsidR="00695521" w:rsidRPr="00FF76EF" w:rsidRDefault="00695521" w:rsidP="00695521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sectPr w:rsidR="00695521" w:rsidRPr="00FF76EF" w:rsidSect="008147D4">
      <w:headerReference w:type="default" r:id="rId8"/>
      <w:footerReference w:type="default" r:id="rId9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92E94" w14:textId="77777777" w:rsidR="00035C1F" w:rsidRDefault="00035C1F" w:rsidP="0092012D">
      <w:pPr>
        <w:spacing w:after="0" w:line="240" w:lineRule="auto"/>
      </w:pPr>
      <w:r>
        <w:separator/>
      </w:r>
    </w:p>
  </w:endnote>
  <w:endnote w:type="continuationSeparator" w:id="0">
    <w:p w14:paraId="64B05BE4" w14:textId="77777777" w:rsidR="00035C1F" w:rsidRDefault="00035C1F" w:rsidP="0092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26FF" w14:textId="0000A4B0" w:rsidR="00EB5AC6" w:rsidRPr="00EB5AC6" w:rsidRDefault="00EB5AC6" w:rsidP="00EB5AC6">
    <w:pPr>
      <w:jc w:val="both"/>
      <w:rPr>
        <w:rFonts w:ascii="Verdana" w:hAnsi="Verdana"/>
        <w:i/>
        <w:sz w:val="20"/>
        <w:szCs w:val="20"/>
      </w:rPr>
    </w:pPr>
    <w:r w:rsidRPr="00EB5AC6">
      <w:rPr>
        <w:rFonts w:ascii="Verdana" w:hAnsi="Verdana"/>
        <w:i/>
        <w:sz w:val="20"/>
        <w:szCs w:val="20"/>
      </w:rPr>
      <w:t xml:space="preserve">„Poprawa </w:t>
    </w:r>
    <w:r w:rsidR="003B7210">
      <w:rPr>
        <w:rFonts w:ascii="Verdana" w:hAnsi="Verdana"/>
        <w:i/>
        <w:sz w:val="20"/>
        <w:szCs w:val="20"/>
      </w:rPr>
      <w:t>BRD</w:t>
    </w:r>
    <w:r w:rsidRPr="00EB5AC6">
      <w:rPr>
        <w:rFonts w:ascii="Verdana" w:hAnsi="Verdana"/>
        <w:i/>
        <w:sz w:val="20"/>
        <w:szCs w:val="20"/>
      </w:rPr>
      <w:t xml:space="preserve"> na przejściach dla pieszych w ciągu DK11 w m. Sarnów i Krzywizna, DK43 w m. Rudniki i Jaworzno oraz DK45 w m. Krasków i Ligota Dolna”.</w:t>
    </w:r>
  </w:p>
  <w:p w14:paraId="5F38EB14" w14:textId="77777777" w:rsidR="00E80AFD" w:rsidRPr="00EB5AC6" w:rsidRDefault="00E80AFD" w:rsidP="00EB5A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7FFAA" w14:textId="77777777" w:rsidR="00035C1F" w:rsidRDefault="00035C1F" w:rsidP="0092012D">
      <w:pPr>
        <w:spacing w:after="0" w:line="240" w:lineRule="auto"/>
      </w:pPr>
      <w:r>
        <w:separator/>
      </w:r>
    </w:p>
  </w:footnote>
  <w:footnote w:type="continuationSeparator" w:id="0">
    <w:p w14:paraId="2D623845" w14:textId="77777777" w:rsidR="00035C1F" w:rsidRDefault="00035C1F" w:rsidP="0092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25C3" w14:textId="07E7FC42" w:rsidR="00E80AFD" w:rsidRPr="00E80AFD" w:rsidRDefault="00E80AFD">
    <w:pPr>
      <w:pStyle w:val="Nagwek"/>
      <w:rPr>
        <w:i/>
      </w:rPr>
    </w:pPr>
    <w:r>
      <w:tab/>
    </w:r>
    <w:r>
      <w:tab/>
    </w:r>
    <w:r w:rsidR="00100D9F">
      <w:rPr>
        <w:i/>
      </w:rPr>
      <w:t>Program Funkcjonalno - U</w:t>
    </w:r>
    <w:r w:rsidRPr="00E80AFD">
      <w:rPr>
        <w:i/>
      </w:rPr>
      <w:t>żytkowy</w:t>
    </w:r>
  </w:p>
  <w:p w14:paraId="386C7EE2" w14:textId="77777777" w:rsidR="00E80AFD" w:rsidRDefault="00E8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784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C5B09"/>
    <w:multiLevelType w:val="hybridMultilevel"/>
    <w:tmpl w:val="30E6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314"/>
    <w:multiLevelType w:val="hybridMultilevel"/>
    <w:tmpl w:val="0E148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A4683"/>
    <w:multiLevelType w:val="hybridMultilevel"/>
    <w:tmpl w:val="C7F6D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01329"/>
    <w:multiLevelType w:val="hybridMultilevel"/>
    <w:tmpl w:val="917A8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55E54"/>
    <w:multiLevelType w:val="multilevel"/>
    <w:tmpl w:val="2D7E99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1C255BA5"/>
    <w:multiLevelType w:val="hybridMultilevel"/>
    <w:tmpl w:val="066A561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DBB40ED"/>
    <w:multiLevelType w:val="hybridMultilevel"/>
    <w:tmpl w:val="253CB08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0CC7974"/>
    <w:multiLevelType w:val="hybridMultilevel"/>
    <w:tmpl w:val="3BDAA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C4117"/>
    <w:multiLevelType w:val="hybridMultilevel"/>
    <w:tmpl w:val="A4D8A3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DD15DB"/>
    <w:multiLevelType w:val="hybridMultilevel"/>
    <w:tmpl w:val="444202FE"/>
    <w:lvl w:ilvl="0" w:tplc="0172AF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DBB1299"/>
    <w:multiLevelType w:val="hybridMultilevel"/>
    <w:tmpl w:val="4E789F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18319A6"/>
    <w:multiLevelType w:val="hybridMultilevel"/>
    <w:tmpl w:val="19C2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33274"/>
    <w:multiLevelType w:val="hybridMultilevel"/>
    <w:tmpl w:val="7138C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6957F8"/>
    <w:multiLevelType w:val="multilevel"/>
    <w:tmpl w:val="75A4AF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5" w15:restartNumberingAfterBreak="0">
    <w:nsid w:val="36936568"/>
    <w:multiLevelType w:val="hybridMultilevel"/>
    <w:tmpl w:val="0F9E85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6C14E6B"/>
    <w:multiLevelType w:val="hybridMultilevel"/>
    <w:tmpl w:val="4AEA52BC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7" w15:restartNumberingAfterBreak="0">
    <w:nsid w:val="3C3E695C"/>
    <w:multiLevelType w:val="hybridMultilevel"/>
    <w:tmpl w:val="AE9C1B1A"/>
    <w:lvl w:ilvl="0" w:tplc="EAD8F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05D08"/>
    <w:multiLevelType w:val="hybridMultilevel"/>
    <w:tmpl w:val="724652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15D5BBD"/>
    <w:multiLevelType w:val="multilevel"/>
    <w:tmpl w:val="523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426EBF"/>
    <w:multiLevelType w:val="hybridMultilevel"/>
    <w:tmpl w:val="BC7683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40125E3"/>
    <w:multiLevelType w:val="hybridMultilevel"/>
    <w:tmpl w:val="7354ED2E"/>
    <w:lvl w:ilvl="0" w:tplc="97D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573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F220E"/>
    <w:multiLevelType w:val="hybridMultilevel"/>
    <w:tmpl w:val="7A2C83C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E4D34EF"/>
    <w:multiLevelType w:val="hybridMultilevel"/>
    <w:tmpl w:val="EE76D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CF3275"/>
    <w:multiLevelType w:val="hybridMultilevel"/>
    <w:tmpl w:val="E8A6D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3165D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976FE"/>
    <w:multiLevelType w:val="hybridMultilevel"/>
    <w:tmpl w:val="868AC3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9E02C63"/>
    <w:multiLevelType w:val="hybridMultilevel"/>
    <w:tmpl w:val="0AF00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BF66B0"/>
    <w:multiLevelType w:val="hybridMultilevel"/>
    <w:tmpl w:val="80CCB1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CC07170"/>
    <w:multiLevelType w:val="hybridMultilevel"/>
    <w:tmpl w:val="578C20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3627E35"/>
    <w:multiLevelType w:val="hybridMultilevel"/>
    <w:tmpl w:val="0890E1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51772AB"/>
    <w:multiLevelType w:val="multilevel"/>
    <w:tmpl w:val="6204B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A2B518B"/>
    <w:multiLevelType w:val="hybridMultilevel"/>
    <w:tmpl w:val="F31E78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BEA3A21"/>
    <w:multiLevelType w:val="hybridMultilevel"/>
    <w:tmpl w:val="0FBCFC16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5" w15:restartNumberingAfterBreak="0">
    <w:nsid w:val="6D1B0690"/>
    <w:multiLevelType w:val="hybridMultilevel"/>
    <w:tmpl w:val="0B4E2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C8388D"/>
    <w:multiLevelType w:val="hybridMultilevel"/>
    <w:tmpl w:val="90A0C64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5"/>
  </w:num>
  <w:num w:numId="5">
    <w:abstractNumId w:val="0"/>
  </w:num>
  <w:num w:numId="6">
    <w:abstractNumId w:val="21"/>
  </w:num>
  <w:num w:numId="7">
    <w:abstractNumId w:val="26"/>
  </w:num>
  <w:num w:numId="8">
    <w:abstractNumId w:val="22"/>
  </w:num>
  <w:num w:numId="9">
    <w:abstractNumId w:val="18"/>
  </w:num>
  <w:num w:numId="10">
    <w:abstractNumId w:val="16"/>
  </w:num>
  <w:num w:numId="11">
    <w:abstractNumId w:val="34"/>
  </w:num>
  <w:num w:numId="12">
    <w:abstractNumId w:val="12"/>
  </w:num>
  <w:num w:numId="13">
    <w:abstractNumId w:val="28"/>
  </w:num>
  <w:num w:numId="14">
    <w:abstractNumId w:val="4"/>
  </w:num>
  <w:num w:numId="15">
    <w:abstractNumId w:val="7"/>
  </w:num>
  <w:num w:numId="16">
    <w:abstractNumId w:val="9"/>
  </w:num>
  <w:num w:numId="17">
    <w:abstractNumId w:val="29"/>
  </w:num>
  <w:num w:numId="18">
    <w:abstractNumId w:val="6"/>
  </w:num>
  <w:num w:numId="19">
    <w:abstractNumId w:val="8"/>
  </w:num>
  <w:num w:numId="20">
    <w:abstractNumId w:val="3"/>
  </w:num>
  <w:num w:numId="21">
    <w:abstractNumId w:val="13"/>
  </w:num>
  <w:num w:numId="22">
    <w:abstractNumId w:val="10"/>
  </w:num>
  <w:num w:numId="23">
    <w:abstractNumId w:val="32"/>
  </w:num>
  <w:num w:numId="24">
    <w:abstractNumId w:val="20"/>
  </w:num>
  <w:num w:numId="25">
    <w:abstractNumId w:val="33"/>
  </w:num>
  <w:num w:numId="26">
    <w:abstractNumId w:val="30"/>
  </w:num>
  <w:num w:numId="27">
    <w:abstractNumId w:val="27"/>
  </w:num>
  <w:num w:numId="28">
    <w:abstractNumId w:val="23"/>
  </w:num>
  <w:num w:numId="29">
    <w:abstractNumId w:val="24"/>
  </w:num>
  <w:num w:numId="30">
    <w:abstractNumId w:val="11"/>
  </w:num>
  <w:num w:numId="31">
    <w:abstractNumId w:val="31"/>
  </w:num>
  <w:num w:numId="32">
    <w:abstractNumId w:val="36"/>
  </w:num>
  <w:num w:numId="33">
    <w:abstractNumId w:val="1"/>
  </w:num>
  <w:num w:numId="34">
    <w:abstractNumId w:val="15"/>
  </w:num>
  <w:num w:numId="35">
    <w:abstractNumId w:val="25"/>
  </w:num>
  <w:num w:numId="36">
    <w:abstractNumId w:val="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59"/>
    <w:rsid w:val="00014AEC"/>
    <w:rsid w:val="00035C1F"/>
    <w:rsid w:val="000620B8"/>
    <w:rsid w:val="0007726E"/>
    <w:rsid w:val="000866FB"/>
    <w:rsid w:val="000A3A87"/>
    <w:rsid w:val="00100D9F"/>
    <w:rsid w:val="00124059"/>
    <w:rsid w:val="001307B0"/>
    <w:rsid w:val="0016044C"/>
    <w:rsid w:val="001731E8"/>
    <w:rsid w:val="00176982"/>
    <w:rsid w:val="00184C4A"/>
    <w:rsid w:val="00187401"/>
    <w:rsid w:val="001A7130"/>
    <w:rsid w:val="001D5BF8"/>
    <w:rsid w:val="001E52D1"/>
    <w:rsid w:val="001F59DB"/>
    <w:rsid w:val="0022072C"/>
    <w:rsid w:val="0025431C"/>
    <w:rsid w:val="00273784"/>
    <w:rsid w:val="00274F2B"/>
    <w:rsid w:val="00276BFC"/>
    <w:rsid w:val="0027770F"/>
    <w:rsid w:val="00294BAA"/>
    <w:rsid w:val="00300691"/>
    <w:rsid w:val="00300F55"/>
    <w:rsid w:val="003521E3"/>
    <w:rsid w:val="00357FB1"/>
    <w:rsid w:val="00363EF0"/>
    <w:rsid w:val="003B0D13"/>
    <w:rsid w:val="003B51C4"/>
    <w:rsid w:val="003B7202"/>
    <w:rsid w:val="003B7210"/>
    <w:rsid w:val="003C02D1"/>
    <w:rsid w:val="003C3739"/>
    <w:rsid w:val="00400E71"/>
    <w:rsid w:val="00407E0F"/>
    <w:rsid w:val="00412F3B"/>
    <w:rsid w:val="004370F5"/>
    <w:rsid w:val="00475274"/>
    <w:rsid w:val="00491033"/>
    <w:rsid w:val="00497BC4"/>
    <w:rsid w:val="004D0AE1"/>
    <w:rsid w:val="004E2A8C"/>
    <w:rsid w:val="004F56CD"/>
    <w:rsid w:val="005271DD"/>
    <w:rsid w:val="00531733"/>
    <w:rsid w:val="00535E7D"/>
    <w:rsid w:val="00547280"/>
    <w:rsid w:val="00556E9B"/>
    <w:rsid w:val="0056664F"/>
    <w:rsid w:val="00572906"/>
    <w:rsid w:val="005C0E93"/>
    <w:rsid w:val="005F5A78"/>
    <w:rsid w:val="00613B74"/>
    <w:rsid w:val="00620045"/>
    <w:rsid w:val="00695521"/>
    <w:rsid w:val="006B0222"/>
    <w:rsid w:val="006B22C9"/>
    <w:rsid w:val="006C01BC"/>
    <w:rsid w:val="006F246A"/>
    <w:rsid w:val="007114EE"/>
    <w:rsid w:val="00782D98"/>
    <w:rsid w:val="007B7218"/>
    <w:rsid w:val="007D59DB"/>
    <w:rsid w:val="00804575"/>
    <w:rsid w:val="008147D4"/>
    <w:rsid w:val="00814C55"/>
    <w:rsid w:val="00832142"/>
    <w:rsid w:val="008B58B8"/>
    <w:rsid w:val="008F501E"/>
    <w:rsid w:val="00903692"/>
    <w:rsid w:val="0092012D"/>
    <w:rsid w:val="009254CA"/>
    <w:rsid w:val="00931EDF"/>
    <w:rsid w:val="00945F19"/>
    <w:rsid w:val="009840FE"/>
    <w:rsid w:val="009B3039"/>
    <w:rsid w:val="00A00625"/>
    <w:rsid w:val="00A568EC"/>
    <w:rsid w:val="00A641B8"/>
    <w:rsid w:val="00A7031E"/>
    <w:rsid w:val="00AC2C30"/>
    <w:rsid w:val="00AC5215"/>
    <w:rsid w:val="00AD5D9F"/>
    <w:rsid w:val="00AE0FC4"/>
    <w:rsid w:val="00B106D0"/>
    <w:rsid w:val="00B6211F"/>
    <w:rsid w:val="00B90D7D"/>
    <w:rsid w:val="00BA2664"/>
    <w:rsid w:val="00BB1FF2"/>
    <w:rsid w:val="00C402FB"/>
    <w:rsid w:val="00C557CA"/>
    <w:rsid w:val="00C614B7"/>
    <w:rsid w:val="00CC79C3"/>
    <w:rsid w:val="00CF000C"/>
    <w:rsid w:val="00D044A4"/>
    <w:rsid w:val="00D44138"/>
    <w:rsid w:val="00D7028D"/>
    <w:rsid w:val="00D90B20"/>
    <w:rsid w:val="00DC62A8"/>
    <w:rsid w:val="00DD3C8D"/>
    <w:rsid w:val="00E2198A"/>
    <w:rsid w:val="00E23F7F"/>
    <w:rsid w:val="00E33A13"/>
    <w:rsid w:val="00E51095"/>
    <w:rsid w:val="00E80AFD"/>
    <w:rsid w:val="00EB5AC6"/>
    <w:rsid w:val="00EB727A"/>
    <w:rsid w:val="00EE048E"/>
    <w:rsid w:val="00EE6200"/>
    <w:rsid w:val="00F233DD"/>
    <w:rsid w:val="00F27624"/>
    <w:rsid w:val="00F451AD"/>
    <w:rsid w:val="00F8346E"/>
    <w:rsid w:val="00FA5A59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050"/>
  <w15:chartTrackingRefBased/>
  <w15:docId w15:val="{D9339CA8-6182-4B46-A79D-4D87BD3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5A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AFD"/>
  </w:style>
  <w:style w:type="paragraph" w:styleId="Stopka">
    <w:name w:val="footer"/>
    <w:basedOn w:val="Normalny"/>
    <w:link w:val="Stopka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AFD"/>
  </w:style>
  <w:style w:type="character" w:styleId="Odwoaniedokomentarza">
    <w:name w:val="annotation reference"/>
    <w:basedOn w:val="Domylnaczcionkaakapitu"/>
    <w:uiPriority w:val="99"/>
    <w:semiHidden/>
    <w:unhideWhenUsed/>
    <w:rsid w:val="0054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280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A2664"/>
  </w:style>
  <w:style w:type="character" w:styleId="Hipercze">
    <w:name w:val="Hyperlink"/>
    <w:basedOn w:val="Domylnaczcionkaakapitu"/>
    <w:uiPriority w:val="99"/>
    <w:unhideWhenUsed/>
    <w:rsid w:val="00497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-opole/zatwierdzone-schematy-organizacji-ruc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3201</Words>
  <Characters>19207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 Barbara</dc:creator>
  <cp:keywords/>
  <dc:description/>
  <cp:lastModifiedBy>Sebastian Malinowski</cp:lastModifiedBy>
  <cp:revision>2</cp:revision>
  <cp:lastPrinted>2022-01-31T09:38:00Z</cp:lastPrinted>
  <dcterms:created xsi:type="dcterms:W3CDTF">2022-12-19T10:33:00Z</dcterms:created>
  <dcterms:modified xsi:type="dcterms:W3CDTF">2022-12-19T10:33:00Z</dcterms:modified>
</cp:coreProperties>
</file>