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DF4751">
        <w:rPr>
          <w:rStyle w:val="Pogrubienie"/>
        </w:rPr>
        <w:t>01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DF4751">
        <w:rPr>
          <w:rStyle w:val="Pogrubienie"/>
        </w:rPr>
        <w:t>926</w:t>
      </w:r>
      <w:r w:rsidR="008D352C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DF4751">
        <w:rPr>
          <w:b/>
          <w:bCs/>
        </w:rPr>
        <w:t>780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618"/>
        <w:gridCol w:w="2223"/>
        <w:gridCol w:w="2242"/>
        <w:gridCol w:w="1054"/>
        <w:gridCol w:w="2836"/>
      </w:tblGrid>
      <w:tr w:rsidR="00E418B9" w:rsidRPr="00DC43CF" w:rsidTr="00D92826">
        <w:trPr>
          <w:trHeight w:val="600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9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BE20B1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70610A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70610A" w:rsidRPr="00DC43CF" w:rsidTr="00D92826">
        <w:trPr>
          <w:trHeight w:val="1676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F50744" w:rsidRPr="00DC43CF" w:rsidTr="00D92826">
        <w:trPr>
          <w:trHeight w:val="705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9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9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C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C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50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BD7A3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406A04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B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21EB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0C11D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0C11DD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BB0E8E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8E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40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64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366BE2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BE2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AD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AD" w:rsidRPr="00DC43CF" w:rsidTr="00EA294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45" w:rsidRPr="00DC43CF" w:rsidTr="00EA294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45" w:rsidRPr="00DC43CF" w:rsidTr="00EA1F6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5" w:rsidRPr="00DC43CF" w:rsidTr="00EA1F6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5" w:rsidRPr="00DC43CF" w:rsidTr="00EA1F6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5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E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E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E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0D6AD4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C9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F22EC9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F22EC9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EF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EF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EF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72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72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72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AA09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75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891953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8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8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536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536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36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36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36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CF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CF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09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09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09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CA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E702B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B7" w:rsidRPr="00DC43CF" w:rsidTr="00E702B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B7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9D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2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C9320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3D5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4C4487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487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487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3D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CB02CD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CD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4D6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92" w:rsidRPr="00DC43CF" w:rsidTr="004D6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92" w:rsidRPr="00DC43CF" w:rsidTr="004D6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92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731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731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AE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7915AE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AE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AE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72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D06972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72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D06972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948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19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19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19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076CD3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D3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D3" w:rsidRPr="00DC43CF" w:rsidTr="0044662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23" w:rsidRPr="00DC43CF" w:rsidTr="0044662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23" w:rsidRPr="00DC43CF" w:rsidTr="0044662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23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75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75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75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065282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82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82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82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984974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02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B909E2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97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7619C2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C2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DE3581" w:rsidRPr="00DC43CF" w:rsidTr="009A03D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3D7" w:rsidRPr="00DC43CF" w:rsidTr="009A03D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9A03D7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1B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1B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1B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AA2F1B" w:rsidRPr="00DC43CF" w:rsidTr="00CE1DE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DE1" w:rsidRPr="00DC43CF" w:rsidTr="00CE1DE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CE1DE1" w:rsidRPr="00DC43CF" w:rsidTr="00DF475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  <w:tr w:rsidR="00DF4751" w:rsidRPr="00DC43CF" w:rsidTr="00DF475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51" w:rsidRPr="00DC43CF" w:rsidTr="00DF475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drętwienie rąk i nóg, dreszcze, zaburzenia czucia w nogach, utrata smaku i 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DF4751" w:rsidRPr="00DC43CF" w:rsidTr="008F79C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orączka 40º C utrzymująca się do 72 godzin,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8F79CE" w:rsidRPr="00DC43CF" w:rsidTr="008F79C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CE" w:rsidRPr="00DC43CF" w:rsidTr="008F79C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CE" w:rsidRPr="00DC43CF" w:rsidTr="002E4CF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FB" w:rsidRPr="00DC43CF" w:rsidTr="002E4CF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FB" w:rsidRPr="00DC43CF" w:rsidTr="002E4CF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FB" w:rsidRPr="00DC43CF" w:rsidTr="002E4CF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E4CFB" w:rsidRPr="00DC43CF" w:rsidTr="0088597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976" w:rsidRPr="00DC43CF" w:rsidTr="0088597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976" w:rsidRPr="00DC43CF" w:rsidTr="0088597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976" w:rsidRPr="00DC43CF" w:rsidTr="0088597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976" w:rsidRPr="00DC43CF" w:rsidTr="00FB353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32" w:rsidRPr="00DC43CF" w:rsidTr="00FB353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32" w:rsidRPr="00DC43CF" w:rsidTr="00FB353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32" w:rsidRPr="00DC43CF" w:rsidTr="00FB353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32" w:rsidRPr="00DC43CF" w:rsidTr="00FB353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32" w:rsidRPr="00DC43CF" w:rsidTr="00FB353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32" w:rsidRPr="00DC43CF" w:rsidTr="00FB353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nowosądecki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32" w:rsidRPr="00DC43CF" w:rsidTr="003425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AB" w:rsidRPr="00DC43CF" w:rsidTr="003425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AB" w:rsidRPr="00DC43CF" w:rsidTr="003425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AB" w:rsidRPr="00DC43CF" w:rsidTr="003425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AB" w:rsidRPr="00DC43CF" w:rsidTr="007A47B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BD" w:rsidRPr="00DC43CF" w:rsidTr="007A47B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BD" w:rsidRPr="00DC43CF" w:rsidTr="007A47B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BD" w:rsidRPr="00DC43CF" w:rsidTr="0071506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68" w:rsidRPr="00DC43CF" w:rsidTr="0071506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68" w:rsidRPr="00DC43CF" w:rsidTr="0071506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68" w:rsidRPr="00DC43CF" w:rsidTr="0071506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68" w:rsidRPr="00DC43CF" w:rsidTr="008C3C2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C2B" w:rsidRPr="00DC43CF" w:rsidTr="008C3C2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8C3C2B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C8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C8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C8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C8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C8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C8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C8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FE3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024C06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 xml:space="preserve">lergiczne zapalenie nerwu trójdzielnego lewego. Powikłanie Zespół </w:t>
            </w:r>
            <w:proofErr w:type="spellStart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Guillain-Barre</w:t>
            </w:r>
            <w:proofErr w:type="spellEnd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024C06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024C06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06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3109C7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C7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B0" w:rsidRPr="00DC43CF" w:rsidTr="004021C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58" w:rsidRPr="00DC43CF" w:rsidTr="00713B6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66" w:rsidRPr="00DC43CF" w:rsidTr="00713B6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bolesność i powiększenie regionalnych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wężłów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. 38,5-38,9 st. C, utrzymującą się do 48 godz., wysypka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rózyczkopodobna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713B66" w:rsidRPr="00DC43CF" w:rsidTr="00713B6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66" w:rsidRPr="00DC43CF" w:rsidTr="00713B6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66" w:rsidRPr="00DC43CF" w:rsidTr="00713B6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203B7C" w:rsidRPr="00DC43CF" w:rsidTr="00713B6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765D"/>
    <w:rsid w:val="00054CD6"/>
    <w:rsid w:val="00063F56"/>
    <w:rsid w:val="00065282"/>
    <w:rsid w:val="00076CD3"/>
    <w:rsid w:val="00083D25"/>
    <w:rsid w:val="000A48A3"/>
    <w:rsid w:val="000B001D"/>
    <w:rsid w:val="000B71CF"/>
    <w:rsid w:val="000C11DD"/>
    <w:rsid w:val="000C5196"/>
    <w:rsid w:val="000D6AD4"/>
    <w:rsid w:val="000E3785"/>
    <w:rsid w:val="00140F40"/>
    <w:rsid w:val="001A6AB9"/>
    <w:rsid w:val="001B11C3"/>
    <w:rsid w:val="001B3B64"/>
    <w:rsid w:val="001D6FFE"/>
    <w:rsid w:val="001F7D50"/>
    <w:rsid w:val="00203B7C"/>
    <w:rsid w:val="00224665"/>
    <w:rsid w:val="00227314"/>
    <w:rsid w:val="00273BF6"/>
    <w:rsid w:val="00274A8C"/>
    <w:rsid w:val="002767B3"/>
    <w:rsid w:val="002B1D21"/>
    <w:rsid w:val="002B4741"/>
    <w:rsid w:val="002D2994"/>
    <w:rsid w:val="002D4DAB"/>
    <w:rsid w:val="002E4CFB"/>
    <w:rsid w:val="0030646A"/>
    <w:rsid w:val="003109C7"/>
    <w:rsid w:val="00327441"/>
    <w:rsid w:val="003425AB"/>
    <w:rsid w:val="00366BE2"/>
    <w:rsid w:val="0038489A"/>
    <w:rsid w:val="00390CD4"/>
    <w:rsid w:val="003A0AF0"/>
    <w:rsid w:val="003E3286"/>
    <w:rsid w:val="003E5EFA"/>
    <w:rsid w:val="003F2871"/>
    <w:rsid w:val="003F2C2F"/>
    <w:rsid w:val="004021C8"/>
    <w:rsid w:val="00406A04"/>
    <w:rsid w:val="00417CA1"/>
    <w:rsid w:val="00446623"/>
    <w:rsid w:val="004561D5"/>
    <w:rsid w:val="004706BB"/>
    <w:rsid w:val="00475DC1"/>
    <w:rsid w:val="00476502"/>
    <w:rsid w:val="00494E70"/>
    <w:rsid w:val="004A2522"/>
    <w:rsid w:val="004C4487"/>
    <w:rsid w:val="004C73D5"/>
    <w:rsid w:val="004D6892"/>
    <w:rsid w:val="004E153A"/>
    <w:rsid w:val="004E697D"/>
    <w:rsid w:val="00502A5A"/>
    <w:rsid w:val="00507774"/>
    <w:rsid w:val="00513ACB"/>
    <w:rsid w:val="005506E6"/>
    <w:rsid w:val="00566BA3"/>
    <w:rsid w:val="00570535"/>
    <w:rsid w:val="005A4CFB"/>
    <w:rsid w:val="005A5E75"/>
    <w:rsid w:val="005B0071"/>
    <w:rsid w:val="005B7FFE"/>
    <w:rsid w:val="005D3CA5"/>
    <w:rsid w:val="005D7A0E"/>
    <w:rsid w:val="00604561"/>
    <w:rsid w:val="006121F6"/>
    <w:rsid w:val="00621EB5"/>
    <w:rsid w:val="00623C72"/>
    <w:rsid w:val="0063513D"/>
    <w:rsid w:val="006471C8"/>
    <w:rsid w:val="006702A1"/>
    <w:rsid w:val="006E1E50"/>
    <w:rsid w:val="006E763F"/>
    <w:rsid w:val="0070610A"/>
    <w:rsid w:val="007139B0"/>
    <w:rsid w:val="00713B66"/>
    <w:rsid w:val="00715068"/>
    <w:rsid w:val="007150F5"/>
    <w:rsid w:val="0071654B"/>
    <w:rsid w:val="0073496E"/>
    <w:rsid w:val="00752F79"/>
    <w:rsid w:val="007619C2"/>
    <w:rsid w:val="00762C54"/>
    <w:rsid w:val="007656CA"/>
    <w:rsid w:val="0079011A"/>
    <w:rsid w:val="00791028"/>
    <w:rsid w:val="007915AE"/>
    <w:rsid w:val="007A47BD"/>
    <w:rsid w:val="007A6CF7"/>
    <w:rsid w:val="007C0922"/>
    <w:rsid w:val="007E13D7"/>
    <w:rsid w:val="007E1410"/>
    <w:rsid w:val="007E3374"/>
    <w:rsid w:val="007F00FB"/>
    <w:rsid w:val="00805827"/>
    <w:rsid w:val="00826F2F"/>
    <w:rsid w:val="00853025"/>
    <w:rsid w:val="008632FF"/>
    <w:rsid w:val="0087366C"/>
    <w:rsid w:val="00885976"/>
    <w:rsid w:val="00891953"/>
    <w:rsid w:val="008A7B96"/>
    <w:rsid w:val="008B2008"/>
    <w:rsid w:val="008C3C2B"/>
    <w:rsid w:val="008D2DF8"/>
    <w:rsid w:val="008D352C"/>
    <w:rsid w:val="008D421A"/>
    <w:rsid w:val="008F79CE"/>
    <w:rsid w:val="00901F11"/>
    <w:rsid w:val="00910D9A"/>
    <w:rsid w:val="0092558D"/>
    <w:rsid w:val="00934790"/>
    <w:rsid w:val="00957503"/>
    <w:rsid w:val="009753A5"/>
    <w:rsid w:val="00984974"/>
    <w:rsid w:val="00994095"/>
    <w:rsid w:val="009A03D7"/>
    <w:rsid w:val="009B0731"/>
    <w:rsid w:val="009D07B0"/>
    <w:rsid w:val="009E40EF"/>
    <w:rsid w:val="00A12536"/>
    <w:rsid w:val="00A27C90"/>
    <w:rsid w:val="00A33404"/>
    <w:rsid w:val="00A54D97"/>
    <w:rsid w:val="00A7628E"/>
    <w:rsid w:val="00A94C4E"/>
    <w:rsid w:val="00AA0975"/>
    <w:rsid w:val="00AA2F1B"/>
    <w:rsid w:val="00AC0D09"/>
    <w:rsid w:val="00B21948"/>
    <w:rsid w:val="00B26ADD"/>
    <w:rsid w:val="00B338D8"/>
    <w:rsid w:val="00B42C08"/>
    <w:rsid w:val="00B62CE2"/>
    <w:rsid w:val="00B720AD"/>
    <w:rsid w:val="00B909E2"/>
    <w:rsid w:val="00BA0C8C"/>
    <w:rsid w:val="00BA517C"/>
    <w:rsid w:val="00BA6058"/>
    <w:rsid w:val="00BB0E8E"/>
    <w:rsid w:val="00BB5577"/>
    <w:rsid w:val="00BD7A35"/>
    <w:rsid w:val="00BE20B1"/>
    <w:rsid w:val="00BF51F5"/>
    <w:rsid w:val="00C22BC7"/>
    <w:rsid w:val="00C43809"/>
    <w:rsid w:val="00C575C2"/>
    <w:rsid w:val="00C822A6"/>
    <w:rsid w:val="00C93202"/>
    <w:rsid w:val="00CB02CD"/>
    <w:rsid w:val="00CB2892"/>
    <w:rsid w:val="00CB738C"/>
    <w:rsid w:val="00CD2615"/>
    <w:rsid w:val="00CD4412"/>
    <w:rsid w:val="00CD73B6"/>
    <w:rsid w:val="00CE1DE1"/>
    <w:rsid w:val="00CE764F"/>
    <w:rsid w:val="00D06972"/>
    <w:rsid w:val="00D10B25"/>
    <w:rsid w:val="00D447DD"/>
    <w:rsid w:val="00D51192"/>
    <w:rsid w:val="00D63901"/>
    <w:rsid w:val="00D759F6"/>
    <w:rsid w:val="00D92826"/>
    <w:rsid w:val="00D97A22"/>
    <w:rsid w:val="00D97ECA"/>
    <w:rsid w:val="00DA370A"/>
    <w:rsid w:val="00DA6BF5"/>
    <w:rsid w:val="00DB2DC9"/>
    <w:rsid w:val="00DC04BD"/>
    <w:rsid w:val="00DC43CF"/>
    <w:rsid w:val="00DE3581"/>
    <w:rsid w:val="00DF4751"/>
    <w:rsid w:val="00DF7DD8"/>
    <w:rsid w:val="00E41603"/>
    <w:rsid w:val="00E418B9"/>
    <w:rsid w:val="00E43719"/>
    <w:rsid w:val="00E43772"/>
    <w:rsid w:val="00E45E98"/>
    <w:rsid w:val="00E57658"/>
    <w:rsid w:val="00E702B7"/>
    <w:rsid w:val="00E75145"/>
    <w:rsid w:val="00E76FE3"/>
    <w:rsid w:val="00EA1F65"/>
    <w:rsid w:val="00EA2945"/>
    <w:rsid w:val="00EA6C58"/>
    <w:rsid w:val="00ED5642"/>
    <w:rsid w:val="00EE15B9"/>
    <w:rsid w:val="00F023D5"/>
    <w:rsid w:val="00F11199"/>
    <w:rsid w:val="00F14ECF"/>
    <w:rsid w:val="00F22EC9"/>
    <w:rsid w:val="00F331CE"/>
    <w:rsid w:val="00F46D36"/>
    <w:rsid w:val="00F50744"/>
    <w:rsid w:val="00F569D2"/>
    <w:rsid w:val="00F86D9D"/>
    <w:rsid w:val="00FA36E6"/>
    <w:rsid w:val="00FB3532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82</Pages>
  <Words>15112</Words>
  <Characters>90674</Characters>
  <Application>Microsoft Office Word</Application>
  <DocSecurity>0</DocSecurity>
  <Lines>755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131</cp:revision>
  <cp:lastPrinted>2021-01-19T11:32:00Z</cp:lastPrinted>
  <dcterms:created xsi:type="dcterms:W3CDTF">2021-01-25T17:58:00Z</dcterms:created>
  <dcterms:modified xsi:type="dcterms:W3CDTF">2021-02-02T10:32:00Z</dcterms:modified>
</cp:coreProperties>
</file>