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3017" w14:textId="77777777" w:rsidR="000A0EB9" w:rsidRPr="00A210B0" w:rsidRDefault="000A0EB9" w:rsidP="0029637C">
      <w:pPr>
        <w:shd w:val="clear" w:color="auto" w:fill="FFFFFF"/>
        <w:spacing w:line="360" w:lineRule="auto"/>
        <w:jc w:val="center"/>
        <w:outlineLvl w:val="1"/>
        <w:rPr>
          <w:rFonts w:ascii="Arial" w:eastAsia="Times New Roman" w:hAnsi="Arial" w:cs="Arial"/>
          <w:b/>
          <w:color w:val="000000" w:themeColor="text1"/>
          <w:sz w:val="28"/>
          <w:szCs w:val="28"/>
          <w:lang w:eastAsia="pl-PL"/>
        </w:rPr>
      </w:pPr>
      <w:r w:rsidRPr="00A210B0">
        <w:rPr>
          <w:rFonts w:ascii="Arial" w:eastAsia="Times New Roman" w:hAnsi="Arial" w:cs="Arial"/>
          <w:b/>
          <w:color w:val="000000" w:themeColor="text1"/>
          <w:sz w:val="28"/>
          <w:szCs w:val="28"/>
          <w:lang w:eastAsia="pl-PL"/>
        </w:rPr>
        <w:t>Wymagania ogólne</w:t>
      </w:r>
    </w:p>
    <w:p w14:paraId="3D03A172" w14:textId="77777777" w:rsidR="000A0EB9" w:rsidRPr="00A210B0" w:rsidRDefault="00CF3190" w:rsidP="00820087">
      <w:pPr>
        <w:numPr>
          <w:ilvl w:val="0"/>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hyperlink r:id="rId5" w:tooltip="Wydrukuj artykuł &lt; Wymagania ogólne &gt;" w:history="1">
        <w:r w:rsidR="000A0EB9" w:rsidRPr="00A210B0">
          <w:rPr>
            <w:rFonts w:ascii="Arial" w:eastAsia="Times New Roman" w:hAnsi="Arial" w:cs="Arial"/>
            <w:vanish/>
            <w:color w:val="000000" w:themeColor="text1"/>
            <w:sz w:val="24"/>
            <w:szCs w:val="24"/>
            <w:lang w:eastAsia="pl-PL"/>
          </w:rPr>
          <w:t xml:space="preserve">Drukuj </w:t>
        </w:r>
      </w:hyperlink>
    </w:p>
    <w:p w14:paraId="4F556A01" w14:textId="77777777" w:rsidR="000A0EB9" w:rsidRPr="00A210B0" w:rsidRDefault="000A0EB9"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Suplementy diety, żywność wzbogacana i specjalnego przeznaczenia muszą spełniać wymagania ogólne określone w przepisach prawa żywnościowego dla środków spożywczych powszechnie spożywanych oraz dodatkowo wymagania szczegółowe określone w odpowiednich przepisach szczegółowych.</w:t>
      </w:r>
    </w:p>
    <w:p w14:paraId="1AD08F2B" w14:textId="77777777" w:rsidR="000A0EB9" w:rsidRPr="00A210B0" w:rsidRDefault="000A0EB9"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Podstawowe wymagania zdrowotne oraz odnoszące się do znakowania żywności zawarte są w dziale II ustawy z dnia 25 sierpnia 2006 r. o bezpieczeństwie żywności i żywienia. Przepisy te odnoszą się m.in. do; substancji dodatkowych i enzymów spożywczych, aromatów i rozpuszczalników, zanieczyszczeń żywności, napromieniania żywności promieniowaniem jonizującym, znakowania żywności i oświadczeń żywieniowych i zdrowotnych.</w:t>
      </w:r>
    </w:p>
    <w:p w14:paraId="4E112030" w14:textId="77777777" w:rsidR="000A0EB9" w:rsidRPr="00A210B0" w:rsidRDefault="000A0EB9"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 ww. II dziale ustawy o bezpieczeństwie żywności i żywienia zamieszczono także dwa rozdziały odnoszące się bardziej szczegółowo do środków spożywczych specjalnego przeznaczenia (rozdział 6), suplementów diety oraz wzbogacania żywności (rozdział 7), jak również żywności wprowadzanej po raz pierwszy do obrotu (rozdział 8).</w:t>
      </w:r>
    </w:p>
    <w:p w14:paraId="020CBACA" w14:textId="77777777" w:rsidR="000A0EB9" w:rsidRPr="00A210B0" w:rsidRDefault="000A0EB9"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Dodatkowo w zakresie znakowania tych kategorii żywności zastosowanie ma rozporządzenie Parlamentu Europejskiego i Rady (UE) nr 1169/2011 z dnia 25 października 2011 r. w sprawie przekazywania konsumentom informacji na temat żywności.</w:t>
      </w:r>
    </w:p>
    <w:p w14:paraId="3D6699B2" w14:textId="77777777" w:rsidR="00826B8E" w:rsidRPr="00A210B0" w:rsidRDefault="00826B8E" w:rsidP="00820087">
      <w:pPr>
        <w:spacing w:line="360" w:lineRule="auto"/>
        <w:jc w:val="both"/>
        <w:rPr>
          <w:rFonts w:ascii="Arial" w:hAnsi="Arial" w:cs="Arial"/>
          <w:color w:val="000000" w:themeColor="text1"/>
          <w:sz w:val="24"/>
          <w:szCs w:val="24"/>
        </w:rPr>
      </w:pPr>
    </w:p>
    <w:p w14:paraId="242311FE" w14:textId="77777777" w:rsidR="00741C54" w:rsidRPr="00A210B0" w:rsidRDefault="00741C54" w:rsidP="00820087">
      <w:pPr>
        <w:shd w:val="clear" w:color="auto" w:fill="FFFFFF"/>
        <w:spacing w:line="360" w:lineRule="auto"/>
        <w:jc w:val="both"/>
        <w:outlineLvl w:val="1"/>
        <w:rPr>
          <w:rFonts w:ascii="Arial" w:eastAsia="Times New Roman" w:hAnsi="Arial" w:cs="Arial"/>
          <w:b/>
          <w:color w:val="000000" w:themeColor="text1"/>
          <w:sz w:val="24"/>
          <w:szCs w:val="24"/>
          <w:lang w:eastAsia="pl-PL"/>
        </w:rPr>
      </w:pPr>
      <w:r w:rsidRPr="00A210B0">
        <w:rPr>
          <w:rFonts w:ascii="Arial" w:eastAsia="Times New Roman" w:hAnsi="Arial" w:cs="Arial"/>
          <w:b/>
          <w:color w:val="000000" w:themeColor="text1"/>
          <w:sz w:val="24"/>
          <w:szCs w:val="24"/>
          <w:lang w:eastAsia="pl-PL"/>
        </w:rPr>
        <w:t xml:space="preserve">Żywność wzbogacana </w:t>
      </w:r>
    </w:p>
    <w:p w14:paraId="7075FCF6" w14:textId="77777777" w:rsidR="00741C54" w:rsidRPr="00A210B0" w:rsidRDefault="00CF3190" w:rsidP="00820087">
      <w:pPr>
        <w:numPr>
          <w:ilvl w:val="0"/>
          <w:numId w:val="2"/>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hyperlink r:id="rId6" w:tooltip="Wydrukuj artykuł &lt; Żywność wzbogacana &gt;" w:history="1">
        <w:r w:rsidR="00741C54" w:rsidRPr="00A210B0">
          <w:rPr>
            <w:rFonts w:ascii="Arial" w:eastAsia="Times New Roman" w:hAnsi="Arial" w:cs="Arial"/>
            <w:vanish/>
            <w:color w:val="000000" w:themeColor="text1"/>
            <w:sz w:val="24"/>
            <w:szCs w:val="24"/>
            <w:lang w:eastAsia="pl-PL"/>
          </w:rPr>
          <w:t xml:space="preserve">Drukuj </w:t>
        </w:r>
      </w:hyperlink>
    </w:p>
    <w:p w14:paraId="79765257"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Zgodnie z art. 28 ustawy z dnia 25 sierpnia 2006 r. o bezpieczeństwie żywności i żywienia, do środków spożywczych mogą być dodawane witaminy, składniki mineralne lub inne substancje wykazujące efekt odżywczy lub inny fizjologiczny, z uwzględnieniem wymagań określonych w rozporządzeniu (WE) nr 1925/2006 Parlamentu Europejskiego i Rady w sprawie dodawania do żywności witamin i składników mineralnych oraz niektórych innych substancji.</w:t>
      </w:r>
    </w:p>
    <w:p w14:paraId="4B41BFE0"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Wymagania dotyczące dodawania witamin i składników mineralnych</w:t>
      </w:r>
    </w:p>
    <w:p w14:paraId="346AE059"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Do żywności można dodawać tylko witaminy lub składniki mineralne określone w wykazie zawartym w załączniku I, w formach wymienionych w załączniku II, do </w:t>
      </w:r>
      <w:r w:rsidRPr="00A210B0">
        <w:rPr>
          <w:rFonts w:ascii="Arial" w:eastAsia="Times New Roman" w:hAnsi="Arial" w:cs="Arial"/>
          <w:color w:val="000000" w:themeColor="text1"/>
          <w:sz w:val="24"/>
          <w:szCs w:val="24"/>
          <w:lang w:eastAsia="pl-PL"/>
        </w:rPr>
        <w:lastRenderedPageBreak/>
        <w:t>rozporządzenia (WE) nr 1925/2006 i z zastrzeżeniem przepisów określonych w tym rozporządzeniu.</w:t>
      </w:r>
    </w:p>
    <w:p w14:paraId="032D865C"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Witamin i składników mineralnych nie można dodawać do nieprzetworzonej żywności (obejmującej w szczególności owoce, warzywa, mięso, drób i ryby) oraz napojów zawierających ponad 1,2% objętości alkoholu (z wyjątkiem określonych na zasadzie odstępstwa produktów).</w:t>
      </w:r>
    </w:p>
    <w:p w14:paraId="04882A9A"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 Polsce obowiązuje także rozporządzenie Ministra Zdrowia z dnia 16 września 2010 r. w sprawie substancji wzbogacających dodawanych do żywności (Dz. U. z 2010 r., nr 174, poz. 1184). Określa ono środki spożywcze, do których obligatoryjnie są dodawane witaminy lub składniki mineralne oraz ustala minimalne i maksymalne poziomy witamin i składników mineralnych.</w:t>
      </w:r>
    </w:p>
    <w:p w14:paraId="76D70BBE"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Przepisów ww. rozporządzenia Ministra Zdrowia nie stosuje się do wprowadzanych do obrotu w Rzeczypospolitej Polskiej wzbogacanych środków spożywczych znajdujących się w obrocie w innych państwach członkowskich Unii Europejskiej oraz w państwach członkowskich Europejskiego Porozumienia o Wolnym Handlu (EFTA).</w:t>
      </w:r>
    </w:p>
    <w:p w14:paraId="32EA78E4"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Środki spożywcze wzbogacone wprowadzane do obrotu na terytorium Rzeczypospolitej Polskiej muszą spełniać wymagania odnośnie jakości zdrowotnej oraz oznakowania produktów określone m.in. w następujących przepisach prawnych:</w:t>
      </w:r>
    </w:p>
    <w:p w14:paraId="682C9DB7" w14:textId="09846AA4"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ustawa z dnia 25 sierpnia 2006 r. o bezpieczeństwie ży</w:t>
      </w:r>
      <w:r w:rsidR="00431EC6">
        <w:rPr>
          <w:rFonts w:ascii="Arial" w:eastAsia="Times New Roman" w:hAnsi="Arial" w:cs="Arial"/>
          <w:color w:val="000000" w:themeColor="text1"/>
          <w:sz w:val="24"/>
          <w:szCs w:val="24"/>
          <w:lang w:eastAsia="pl-PL"/>
        </w:rPr>
        <w:t>wności i żywienia (Dz. U. z 20</w:t>
      </w:r>
      <w:r w:rsidR="00CD7338">
        <w:rPr>
          <w:rFonts w:ascii="Arial" w:eastAsia="Times New Roman" w:hAnsi="Arial" w:cs="Arial"/>
          <w:color w:val="000000" w:themeColor="text1"/>
          <w:sz w:val="24"/>
          <w:szCs w:val="24"/>
          <w:lang w:eastAsia="pl-PL"/>
        </w:rPr>
        <w:t>2</w:t>
      </w:r>
      <w:r w:rsidR="00CF3190">
        <w:rPr>
          <w:rFonts w:ascii="Arial" w:eastAsia="Times New Roman" w:hAnsi="Arial" w:cs="Arial"/>
          <w:color w:val="000000" w:themeColor="text1"/>
          <w:sz w:val="24"/>
          <w:szCs w:val="24"/>
          <w:lang w:eastAsia="pl-PL"/>
        </w:rPr>
        <w:t>2</w:t>
      </w:r>
      <w:r w:rsidR="00431EC6">
        <w:rPr>
          <w:rFonts w:ascii="Arial" w:eastAsia="Times New Roman" w:hAnsi="Arial" w:cs="Arial"/>
          <w:color w:val="000000" w:themeColor="text1"/>
          <w:sz w:val="24"/>
          <w:szCs w:val="24"/>
          <w:lang w:eastAsia="pl-PL"/>
        </w:rPr>
        <w:t xml:space="preserve"> r. poz. </w:t>
      </w:r>
      <w:r w:rsidR="00CD7338">
        <w:rPr>
          <w:rFonts w:ascii="Arial" w:eastAsia="Times New Roman" w:hAnsi="Arial" w:cs="Arial"/>
          <w:color w:val="000000" w:themeColor="text1"/>
          <w:sz w:val="24"/>
          <w:szCs w:val="24"/>
          <w:lang w:eastAsia="pl-PL"/>
        </w:rPr>
        <w:t>2</w:t>
      </w:r>
      <w:r w:rsidR="00CF3190">
        <w:rPr>
          <w:rFonts w:ascii="Arial" w:eastAsia="Times New Roman" w:hAnsi="Arial" w:cs="Arial"/>
          <w:color w:val="000000" w:themeColor="text1"/>
          <w:sz w:val="24"/>
          <w:szCs w:val="24"/>
          <w:lang w:eastAsia="pl-PL"/>
        </w:rPr>
        <w:t>132</w:t>
      </w:r>
      <w:r w:rsidRPr="00A210B0">
        <w:rPr>
          <w:rFonts w:ascii="Arial" w:eastAsia="Times New Roman" w:hAnsi="Arial" w:cs="Arial"/>
          <w:color w:val="000000" w:themeColor="text1"/>
          <w:sz w:val="24"/>
          <w:szCs w:val="24"/>
          <w:lang w:eastAsia="pl-PL"/>
        </w:rPr>
        <w:t>);</w:t>
      </w:r>
    </w:p>
    <w:p w14:paraId="12AB5BFC"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(WE) nr 1925/2006 Parlamentu Europejskiego i Rady z dnia 20 grudnia 2006 r. w sprawie dodawania do żywności witamin i składników mineralnych oraz niektórych innych substancji (Dz. U. UE L. 404 z 30.12.2006, z późn.zm.);</w:t>
      </w:r>
    </w:p>
    <w:p w14:paraId="52F4989B"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Ministra Zdrowia z dnia 16 września 2010 r. w sprawie substancji wzbogacających dodawanych do żywności (Dz. U. z 2010 r. Nr 174, poz.1184);</w:t>
      </w:r>
    </w:p>
    <w:p w14:paraId="0C8F45C8"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Parlamentu Europejskiego i Rady (UE) nr 1169/2011 z dnia 25 października 2011 r. w sprawie przekazy</w:t>
      </w:r>
      <w:r w:rsidR="00A210B0" w:rsidRPr="00A210B0">
        <w:rPr>
          <w:rFonts w:ascii="Arial" w:eastAsia="Times New Roman" w:hAnsi="Arial" w:cs="Arial"/>
          <w:color w:val="000000" w:themeColor="text1"/>
          <w:sz w:val="24"/>
          <w:szCs w:val="24"/>
          <w:lang w:eastAsia="pl-PL"/>
        </w:rPr>
        <w:t>wania konsumentom informacji na </w:t>
      </w:r>
      <w:r w:rsidRPr="00A210B0">
        <w:rPr>
          <w:rFonts w:ascii="Arial" w:eastAsia="Times New Roman" w:hAnsi="Arial" w:cs="Arial"/>
          <w:color w:val="000000" w:themeColor="text1"/>
          <w:sz w:val="24"/>
          <w:szCs w:val="24"/>
          <w:lang w:eastAsia="pl-PL"/>
        </w:rPr>
        <w:t xml:space="preserve">temat żywności, zmiany rozporządzeń Parlamentu Europejskiego i Rady (WE) nr 1924/2006 i (WE) nr 1925/2006 oraz uchylenia dyrektywy Komisji 87/250/EWG, dyrektywy Rady 90/496/EWG, dyrektywy Komisji 1999/10/WE, </w:t>
      </w:r>
      <w:r w:rsidRPr="00A210B0">
        <w:rPr>
          <w:rFonts w:ascii="Arial" w:eastAsia="Times New Roman" w:hAnsi="Arial" w:cs="Arial"/>
          <w:color w:val="000000" w:themeColor="text1"/>
          <w:sz w:val="24"/>
          <w:szCs w:val="24"/>
          <w:lang w:eastAsia="pl-PL"/>
        </w:rPr>
        <w:lastRenderedPageBreak/>
        <w:t>dyrektywy 2000/13/WE Parlamentu Europejskiego i Rady, dyrektyw Komisji 2002/67/WE i 2008/5/WE oraz rozporządzenia Komisji (WE) nr 608/2004 (Dz. Urz. UE L. 304 z 22.11.2011, s. 18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6F74CA77"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(WE) nr 1924/2006 Parlamentu Europejskiego i Rady z dnia 20 grudnia 2006 r. w sprawie oświadczeń żywieniowych i zdrowotnych dotyczących żywności (sprostowanie Dz. Urz. UE L 12 z 18.01.07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6E883C00"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Komisji (UE) nr 432/2012 z dnia 16 maja 2012 r. ustanawiające wykaz dopuszczonych oświadczeń zdrowotnych dotyczących żywności, innych niż oświadczenia odnoszące się do zmniejszenia ryzyka choroby oraz rozwoju i zdrowia dzieci (Dz. Urz. UE L 136 z 25.05.2012 r. str. 1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7B72C71B"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Parlamentu Europejskiego i Rady (WE) nr 1333/2008 z dnia 16 grudnia 2008 r. w sprawie dodatków do żywności (Dz. U. L 354 z 31.12.2008, s. 16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7D4D416E"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Parlamentu Europejskiego i Rady (WE) nr 1334/2008 z dnia 16 grudnia 2008 r. w sprawie środków aromatyzujących i niektórych składników żywności o właściwościach aromatyzujących do użycia w oraz na środkach spożywczych oraz zmieniające rozporządzenie Rady (EWG) nr 1601/91, rozporządzenia (WE) nr 2232/96 oraz (WE) nr 110/2008 oraz dyrektywę 2000/13/WE (Dz.. U. L 354 z 31.12.2008, s. 34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17D40516" w14:textId="77777777" w:rsidR="00741C54" w:rsidRPr="00A210B0" w:rsidRDefault="00741C54" w:rsidP="00820087">
      <w:pPr>
        <w:numPr>
          <w:ilvl w:val="0"/>
          <w:numId w:val="3"/>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 UE L. 31 z 01.02.2002 r. str. 1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3BD3D4AA"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Środki spożywcze wprowadzane do obrotu na terytorium Rzeczypospolitej Polskiej muszą być oznakowane w języku polskim. Mogą być ponadto oznakowane w innych językach. Środki spożywcze muszą być oznakowane w sposób zrozumiały dla konsumenta, napisy muszą być wyraźne, czytelne i nieusuwalne, umieszczone w widocznym miejscu.</w:t>
      </w:r>
    </w:p>
    <w:p w14:paraId="48925606"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Etykietowanie, prezentacja i reklama żywności z dodatkiem witamin i składników mineralnych nie mogą wprowadzać konsumentów w błąd lub podawać nieprawdy co do wartości odżywczej, jaką żywność może posiadać na skutek dodania tych składników odżywczych.</w:t>
      </w:r>
    </w:p>
    <w:p w14:paraId="30FAFCF9"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lastRenderedPageBreak/>
        <w:t>Zgodnie z art. 50 rozporządzenia unijnego nr 1169/2011 etykietowanie dotyczące wartości odżywczej produktów z dodatkiem witamin i składników mineralnych, które objęte są niniejszym rozporządzeniem, jest obowiązkowe. Wymagana informacja zawiera elementy określone w art. 30 ust. 1 rozporządzenia Parlamentu Europejskiego i Rady (UE) nr 1169/2011 z dnia 25 października 2011 r. w sprawie przekazywania konsumentom informacji na temat żywności oraz całkowite ilości witamin i składników mineralnych obecne w żywności po ich dodaniu.</w:t>
      </w:r>
    </w:p>
    <w:p w14:paraId="27C7994D" w14:textId="77777777" w:rsidR="00741C54" w:rsidRPr="00A210B0" w:rsidRDefault="00741C54"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Zatem w oznakowaniu środków spożywczych wzbogaconych w witaminy i/lub składniki mineralne obowiązkowa informacja o wartości odżywczej obejmuje następujące elementy: wartość energetyczną oraz ilość tłuszczu, kwasów tłuszczowych nasyconych, węglowodanów, cukrów, białka, soli, a także całkowitą ilość witamin i/lub składników mineralnych obecnych w produkcie po ich dodaniu.</w:t>
      </w:r>
    </w:p>
    <w:p w14:paraId="2F50E555" w14:textId="77777777" w:rsidR="00F77F4A" w:rsidRPr="00A210B0" w:rsidRDefault="00F77F4A" w:rsidP="00820087">
      <w:pPr>
        <w:shd w:val="clear" w:color="auto" w:fill="FFFFFF"/>
        <w:spacing w:line="360" w:lineRule="auto"/>
        <w:jc w:val="both"/>
        <w:outlineLvl w:val="1"/>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Żywność specjalnego przeznaczenia </w:t>
      </w:r>
    </w:p>
    <w:p w14:paraId="4D7AB6DC" w14:textId="77777777" w:rsidR="00D44942" w:rsidRPr="00A210B0" w:rsidRDefault="00D44942" w:rsidP="00820087">
      <w:pPr>
        <w:numPr>
          <w:ilvl w:val="0"/>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p>
    <w:p w14:paraId="77C5EC9C" w14:textId="77777777" w:rsidR="00D44942" w:rsidRPr="00A210B0" w:rsidRDefault="00D44942" w:rsidP="00820087">
      <w:pPr>
        <w:numPr>
          <w:ilvl w:val="0"/>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p>
    <w:p w14:paraId="7F1322F1" w14:textId="77777777" w:rsidR="00D44942" w:rsidRPr="00A210B0" w:rsidRDefault="00D44942" w:rsidP="00820087">
      <w:pPr>
        <w:numPr>
          <w:ilvl w:val="0"/>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p>
    <w:p w14:paraId="1C306493" w14:textId="77777777" w:rsidR="00F77F4A" w:rsidRPr="00A210B0" w:rsidRDefault="00CF3190" w:rsidP="00820087">
      <w:pPr>
        <w:numPr>
          <w:ilvl w:val="0"/>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hyperlink r:id="rId7" w:tooltip="Wydrukuj artykuł &lt; Żywność specjalnego przeznaczenia &gt;" w:history="1">
        <w:r w:rsidR="00F77F4A" w:rsidRPr="00A210B0">
          <w:rPr>
            <w:rFonts w:ascii="Arial" w:eastAsia="Times New Roman" w:hAnsi="Arial" w:cs="Arial"/>
            <w:vanish/>
            <w:color w:val="000000" w:themeColor="text1"/>
            <w:sz w:val="24"/>
            <w:szCs w:val="24"/>
            <w:lang w:eastAsia="pl-PL"/>
          </w:rPr>
          <w:t xml:space="preserve">Drukuj </w:t>
        </w:r>
      </w:hyperlink>
    </w:p>
    <w:p w14:paraId="078F19F9"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ŚRODKI SPOŻYWCZE SPECJALNEGO PRZEZNACZENIA</w:t>
      </w:r>
    </w:p>
    <w:p w14:paraId="17E40C46"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sytuacja od 20 lipca 2016 r.</w:t>
      </w:r>
    </w:p>
    <w:p w14:paraId="22B7905B"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Od dnia 20 lipca 2016 r. obowiązują przepisy rozporządzenia Parlamentu Europejskiego i Rady (UE) nr 609/2013</w:t>
      </w:r>
      <w:r w:rsidRPr="00A210B0">
        <w:rPr>
          <w:rFonts w:ascii="Arial" w:eastAsia="Times New Roman" w:hAnsi="Arial" w:cs="Arial"/>
          <w:color w:val="000000" w:themeColor="text1"/>
          <w:sz w:val="24"/>
          <w:szCs w:val="24"/>
          <w:lang w:eastAsia="pl-PL"/>
        </w:rPr>
        <w:t xml:space="preserve"> z dnia 12 czerwca 2013 r. w sprawie żywności przeznaczonej dla niemowląt i małych dzieci oraz żywności specjalnego przeznaczenia medycznego i środków spożywczych zastępujących całodzienną dietę, do kontroli masy ciała oraz uchylające dyrektywę Rady 92/52/WE, dyrektywy Komisji 96/8/WE, 1999/21/WE, 2006/125/WE i 2006/141/WE, dyrektywę Parlamentu Europejskiego i Rady 2009/39/WE oraz rozporządzenia Komisji (WE) nr 41/2009 i (WE) nr 953/2009.</w:t>
      </w:r>
    </w:p>
    <w:p w14:paraId="7729AC00"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Rozporządzenie (UE) nr 609/2013 z dniem 20 lipca 2016 r. uchyliło dyrektywę Parlamentu Europejskiego i Rady 2009/39/WE</w:t>
      </w:r>
      <w:r w:rsidRPr="00A210B0">
        <w:rPr>
          <w:rFonts w:ascii="Arial" w:eastAsia="Times New Roman" w:hAnsi="Arial" w:cs="Arial"/>
          <w:color w:val="000000" w:themeColor="text1"/>
          <w:sz w:val="24"/>
          <w:szCs w:val="24"/>
          <w:lang w:eastAsia="pl-PL"/>
        </w:rPr>
        <w:t xml:space="preserve"> z dnia 6 maja 2009 r. w sprawie środków spożywczych specjalnego przeznaczenia żywieniowego. </w:t>
      </w:r>
      <w:r w:rsidRPr="00A210B0">
        <w:rPr>
          <w:rFonts w:ascii="Arial" w:eastAsia="Times New Roman" w:hAnsi="Arial" w:cs="Arial"/>
          <w:color w:val="000000" w:themeColor="text1"/>
          <w:sz w:val="24"/>
          <w:szCs w:val="24"/>
          <w:u w:val="single"/>
          <w:lang w:eastAsia="pl-PL"/>
        </w:rPr>
        <w:t>Oznacza to, że od 20 lipca 2016 r. te przepisy, które zostały przeniesione z dyrektywy 2009/39/WE do ustawy o bezpieczeństwie żywności i żywienia oraz rozporządzenia Ministra Zdrowia w sprawie środków spożywczych specjalnego przeznaczenia żywieniowego, nie obowiązują.</w:t>
      </w:r>
    </w:p>
    <w:p w14:paraId="14B87E01"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lastRenderedPageBreak/>
        <w:t>Od dnia 20 lipca 2016 r. nie funkcjonuje określenie, definicja i kategoria „środek spożywczy (żywność) specjalnego przeznaczenia żywieniowego” oraz „żywność dietetyczna”.</w:t>
      </w:r>
    </w:p>
    <w:p w14:paraId="04C6A58A" w14:textId="77777777" w:rsidR="00386F67" w:rsidRDefault="00386F67" w:rsidP="00820087">
      <w:pPr>
        <w:shd w:val="clear" w:color="auto" w:fill="FFFFFF"/>
        <w:spacing w:after="105" w:line="360" w:lineRule="auto"/>
        <w:jc w:val="both"/>
        <w:rPr>
          <w:rFonts w:ascii="Arial" w:eastAsia="Times New Roman" w:hAnsi="Arial" w:cs="Arial"/>
          <w:b/>
          <w:bCs/>
          <w:color w:val="000000" w:themeColor="text1"/>
          <w:sz w:val="24"/>
          <w:szCs w:val="24"/>
          <w:u w:val="single"/>
          <w:lang w:eastAsia="pl-PL"/>
        </w:rPr>
      </w:pPr>
    </w:p>
    <w:p w14:paraId="53C942F3"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u w:val="single"/>
          <w:lang w:eastAsia="pl-PL"/>
        </w:rPr>
        <w:t>Produkty bezglutenowe</w:t>
      </w:r>
    </w:p>
    <w:p w14:paraId="6B1A375F"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Z dniem 20 lipca 2016 r. uchylone zostało także rozporządzenie Komisji (WE) nr 41/2009 z dnia 20 stycznia 2009 r. dotyczące składu i etykietowania środków spożywczych odpowiednich dla osób nietolerujących glutenu. </w:t>
      </w:r>
      <w:r w:rsidRPr="00A210B0">
        <w:rPr>
          <w:rFonts w:ascii="Arial" w:eastAsia="Times New Roman" w:hAnsi="Arial" w:cs="Arial"/>
          <w:color w:val="000000" w:themeColor="text1"/>
          <w:sz w:val="24"/>
          <w:szCs w:val="24"/>
          <w:u w:val="single"/>
          <w:lang w:eastAsia="pl-PL"/>
        </w:rPr>
        <w:t>Wymagania dla oznakowania żywności bezglutenowej od dnia 20 lipca 2016 r. regulowane są przez przepisy rozporządzenia wykonawczego Komisji (UE) nr 828/2014 z dnia 30 lipca 2014 r. w sprawie przekazywania konsumentom informacji na temat nieobecności lub zmniejszonej zawartości glutenu w żywności.</w:t>
      </w:r>
    </w:p>
    <w:p w14:paraId="67CB2235"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Wprowadzanie do obrotu na terytorium Rzeczypospolitej Polskiej produktów bezglutenowych lub o zmniejszonej zawartości glutenu nie wymaga powiadomienia Głównego Inspektora Sanitarnego.</w:t>
      </w:r>
    </w:p>
    <w:p w14:paraId="76EC3E44" w14:textId="77777777" w:rsidR="00A210B0" w:rsidRPr="00A210B0" w:rsidRDefault="00A210B0" w:rsidP="00820087">
      <w:pPr>
        <w:shd w:val="clear" w:color="auto" w:fill="FFFFFF"/>
        <w:spacing w:after="105" w:line="360" w:lineRule="auto"/>
        <w:jc w:val="both"/>
        <w:rPr>
          <w:rFonts w:ascii="Arial" w:eastAsia="Times New Roman" w:hAnsi="Arial" w:cs="Arial"/>
          <w:b/>
          <w:bCs/>
          <w:color w:val="000000" w:themeColor="text1"/>
          <w:sz w:val="24"/>
          <w:szCs w:val="24"/>
          <w:u w:val="single"/>
          <w:lang w:eastAsia="pl-PL"/>
        </w:rPr>
      </w:pPr>
    </w:p>
    <w:p w14:paraId="601DAFEF"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u w:val="single"/>
          <w:lang w:eastAsia="pl-PL"/>
        </w:rPr>
        <w:t>Kategorie żywności specjalnego przeznaczenia</w:t>
      </w:r>
    </w:p>
    <w:p w14:paraId="6DF36021"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Jako szczególne kategorie żywności funkcjonują od 20 lipca 2016 r. wyłącznie te, które objęto zakresem rozporządzenia (UE) nr 609/2013</w:t>
      </w:r>
      <w:r w:rsidRPr="00A210B0">
        <w:rPr>
          <w:rFonts w:ascii="Arial" w:eastAsia="Times New Roman" w:hAnsi="Arial" w:cs="Arial"/>
          <w:color w:val="000000" w:themeColor="text1"/>
          <w:sz w:val="24"/>
          <w:szCs w:val="24"/>
          <w:lang w:eastAsia="pl-PL"/>
        </w:rPr>
        <w:t>, tj.</w:t>
      </w:r>
    </w:p>
    <w:p w14:paraId="2CBBB8F1"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preparaty do początkowego żywienia niemowląt i preparaty do dalszego żywienia niemowląt,</w:t>
      </w:r>
    </w:p>
    <w:p w14:paraId="38B2BF35"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produkty zbożowe przetworzone i inna żywność dla dzieci,</w:t>
      </w:r>
    </w:p>
    <w:p w14:paraId="3C5E1CEF"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żywność specjalnego przeznaczenia medycznego, </w:t>
      </w:r>
    </w:p>
    <w:p w14:paraId="0188DE03" w14:textId="77777777" w:rsidR="005D7C35" w:rsidRPr="00A210B0" w:rsidRDefault="005D7C35"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w:t>
      </w:r>
      <w:r w:rsidR="00F77F4A" w:rsidRPr="00A210B0">
        <w:rPr>
          <w:rFonts w:ascii="Arial" w:eastAsia="Times New Roman" w:hAnsi="Arial" w:cs="Arial"/>
          <w:color w:val="000000" w:themeColor="text1"/>
          <w:sz w:val="24"/>
          <w:szCs w:val="24"/>
          <w:lang w:eastAsia="pl-PL"/>
        </w:rPr>
        <w:t xml:space="preserve">środki spożywcze zastępujące całodzienną dietę, do kontroli masy ciała. </w:t>
      </w:r>
    </w:p>
    <w:p w14:paraId="7AB9BCC1" w14:textId="77777777" w:rsidR="005D7C35" w:rsidRPr="00A210B0" w:rsidRDefault="005D7C35"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  </w:t>
      </w:r>
      <w:r w:rsidR="00F77F4A" w:rsidRPr="00A210B0">
        <w:rPr>
          <w:rFonts w:ascii="Arial" w:eastAsia="Times New Roman" w:hAnsi="Arial" w:cs="Arial"/>
          <w:color w:val="000000" w:themeColor="text1"/>
          <w:sz w:val="24"/>
          <w:szCs w:val="24"/>
          <w:lang w:eastAsia="pl-PL"/>
        </w:rPr>
        <w:t xml:space="preserve">Szczegółowe wymagania odnośnie ich składu i oznakowania będą wskazane </w:t>
      </w:r>
    </w:p>
    <w:p w14:paraId="428B23A3" w14:textId="77777777" w:rsidR="00F77F4A" w:rsidRPr="00A210B0" w:rsidRDefault="005D7C35"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  </w:t>
      </w:r>
      <w:r w:rsidR="00F77F4A" w:rsidRPr="00A210B0">
        <w:rPr>
          <w:rFonts w:ascii="Arial" w:eastAsia="Times New Roman" w:hAnsi="Arial" w:cs="Arial"/>
          <w:color w:val="000000" w:themeColor="text1"/>
          <w:sz w:val="24"/>
          <w:szCs w:val="24"/>
          <w:lang w:eastAsia="pl-PL"/>
        </w:rPr>
        <w:t>w odpowiednich rozporządzeniach delegowanych.</w:t>
      </w:r>
    </w:p>
    <w:p w14:paraId="6EE2FC67"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 xml:space="preserve">Żywność objęta zakresem rozporządzenia (UE) nr 609/2013 do czasu zastosowania odpowiednich rozporządzeń delegowanych podlega od dnia 20 lipca 2016 r. wymaganiom ww. rozporządzenia (UE) nr 609/2013 oraz nadal tym przepisom ustawy o bezpieczeństwie żywności i żywienia oraz rozporządzenia Ministra Zdrowia </w:t>
      </w:r>
      <w:r w:rsidRPr="00A210B0">
        <w:rPr>
          <w:rFonts w:ascii="Arial" w:eastAsia="Times New Roman" w:hAnsi="Arial" w:cs="Arial"/>
          <w:color w:val="000000" w:themeColor="text1"/>
          <w:sz w:val="24"/>
          <w:szCs w:val="24"/>
          <w:u w:val="single"/>
          <w:lang w:eastAsia="pl-PL"/>
        </w:rPr>
        <w:lastRenderedPageBreak/>
        <w:t>w sprawie środków spożywczych specjalnego przeznaczenia, które są przeniesieniem lub wynikają z przepisów odpowiednich dyrektyw szczegółowych</w:t>
      </w:r>
      <w:r w:rsidRPr="00A210B0">
        <w:rPr>
          <w:rFonts w:ascii="Arial" w:eastAsia="Times New Roman" w:hAnsi="Arial" w:cs="Arial"/>
          <w:color w:val="000000" w:themeColor="text1"/>
          <w:sz w:val="24"/>
          <w:szCs w:val="24"/>
          <w:lang w:eastAsia="pl-PL"/>
        </w:rPr>
        <w:t>, tj.:</w:t>
      </w:r>
    </w:p>
    <w:p w14:paraId="14F9F39B"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dyrektywy Komisji 2006/141/WE z dnia 22 grudnia 2006 r. w sprawie preparatów do początkowego żywienia niemowląt i preparatów do dalszego żywienia niemowląt oraz zmieniającej dyrektywę 1999/21/WE,</w:t>
      </w:r>
    </w:p>
    <w:p w14:paraId="54034245"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dyrektywy Komisji 2006/125/WE z dnia 5 grudnia 2006 r. w sprawie przetworzonej żywności na bazie zbóż oraz żywności dla niemowląt i małych dzieci,</w:t>
      </w:r>
    </w:p>
    <w:p w14:paraId="1C123D6A"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dyrektywy Komisji 1999/21/WE z dnia 25 marca 1999 r. w sprawie dietetycznych środków spożywczych specjalnego przeznaczenia medycznego,</w:t>
      </w:r>
    </w:p>
    <w:p w14:paraId="02CAD803"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dyrektywy Komisji 96/8/WE z dnia 26 lutego 1996 r. w sprawie żywności przeznaczonej do użycia w dietach o obniżonej energetyczności.</w:t>
      </w:r>
    </w:p>
    <w:p w14:paraId="3ACDB006"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W chwili obecnej opublikowane zostały dwa rozporządzenia delegowane:</w:t>
      </w:r>
    </w:p>
    <w:p w14:paraId="7FE6B437"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rozporządzenie delegowane Komisji (UE) 2016/127 z dnia 25 września 2015 r. uzupełniające rozporządzenie Parlamentu Europejskiego i Rady (UE) nr 609/2013 w odniesieniu do szczegółowych wymogów dotyczących składu preparatów do początkowego żywienia niemowląt i preparatów do dalszego żywienia niemowląt oraz informacji na ich temat, a także w odniesieniu do informacji dotyczących żywienia niemowląt i małych dzieci – zacznie obowiązywać od dnia 22 lutego 2020 r.;</w:t>
      </w:r>
    </w:p>
    <w:p w14:paraId="509C9140"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rozporządzenie delegowane Komisji (UE) 2016/128 z dnia 25 września 2015 r. uzupełniające rozporządzenie Parlamentu Europejskiego i Rady (UE) nr 609/2013 w odniesieniu do szczegółowych wymogów dotyczących składu żywności specjalnego przeznaczenia medycznego oraz informacji na jej temat – zacznie obowiązywać od dnia 22 lutego 2019 r.</w:t>
      </w:r>
    </w:p>
    <w:p w14:paraId="217D140D"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Jednakże od dnia 20 lipca 2016 r. lecz przed datą zastosowania ww. rozporządzeń delegowanych producenci mają możliwość wprowadzania do obrotu na terytorium Rzeczypospolitej Polskiej preparatów do początkowego żywienia niemowląt, preparatów do dalszego żywienia niemowląt i żywności specjalnego przeznaczenia medycznego zgodnie z:</w:t>
      </w:r>
    </w:p>
    <w:p w14:paraId="5676FB5B"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(1) zasadami określonymi w ww. rozporządzeniach delegowanych (odpowiednio 2016/127 lub 2016/128), lub</w:t>
      </w:r>
    </w:p>
    <w:p w14:paraId="2D95BA96"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lastRenderedPageBreak/>
        <w:t>(2) zgodnie z przepisami rozporządzenia Ministra Zdrowia z dnia 16 września 2010 r. w sprawie środków spożywczych specjalnego przeznaczenia żywieniowego, które wdrażają przepisy ww. dyrektyw: dyrektywy Komisji 2006/141/WE, dyrektywy Komisji 2006/125/WE, dyrektywy Komisji 1999/21/WE i dyrektywy Komisji 96/8/WE.</w:t>
      </w:r>
    </w:p>
    <w:p w14:paraId="6423CEE0"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Zwracam jednak uwagę, że produkty wprowadzane do obrotu od 20 lipca 2016 r. lecz przed datą zastosowania ww. rozporządzeń delegowanych muszą być zgodne z tylko jednym zestawem wymagań. Nie jest możliwe stosowan</w:t>
      </w:r>
      <w:r w:rsidR="00A27442" w:rsidRPr="00A210B0">
        <w:rPr>
          <w:rFonts w:ascii="Arial" w:eastAsia="Times New Roman" w:hAnsi="Arial" w:cs="Arial"/>
          <w:color w:val="000000" w:themeColor="text1"/>
          <w:sz w:val="24"/>
          <w:szCs w:val="24"/>
          <w:lang w:eastAsia="pl-PL"/>
        </w:rPr>
        <w:t xml:space="preserve">ie częściowo przepisów dyrektyw, </w:t>
      </w:r>
      <w:r w:rsidRPr="00A210B0">
        <w:rPr>
          <w:rFonts w:ascii="Arial" w:eastAsia="Times New Roman" w:hAnsi="Arial" w:cs="Arial"/>
          <w:color w:val="000000" w:themeColor="text1"/>
          <w:sz w:val="24"/>
          <w:szCs w:val="24"/>
          <w:lang w:eastAsia="pl-PL"/>
        </w:rPr>
        <w:t>a częściowo przepisów rozporządzeń delegowanych.</w:t>
      </w:r>
    </w:p>
    <w:p w14:paraId="4CC46507"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Trwają jeszcze prace nad rozporządzeniami delegowanymi w sprawie produktów zbożowych przetworzonych i żywności dla dzieci oraz środków spożywczych zastępujących całodzienną dietę, do kontroli masy ciała.</w:t>
      </w:r>
    </w:p>
    <w:p w14:paraId="2564AED6"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u w:val="single"/>
          <w:lang w:eastAsia="pl-PL"/>
        </w:rPr>
        <w:t>Od daty zastosowania rozporządzenia (UE) nr 609/2013 żywność uznawana dotychczas za specjalnego przeznaczenia żywieniowego, która nie została objęta jego zakresem musi spełniać wymagania, w zależności od przypadku, wyłącznie przepisów horyzontalnych:</w:t>
      </w:r>
    </w:p>
    <w:p w14:paraId="229413CC"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rozporządzenia (WE) nr 1924/2006 w sprawie oświadczeń żywieniowych i zdrowotnych dotyczących żywności,</w:t>
      </w:r>
    </w:p>
    <w:p w14:paraId="25C83A99"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rozporządzenia (WE) nr 1925/2006 w sprawie dodawania do żywności witamin i składników mineralnych oraz niektórych innych substancji,</w:t>
      </w:r>
    </w:p>
    <w:p w14:paraId="0D7CCFFC"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dyrektywy 2002/46/WE w sprawie suplementów diety, rozporządzenia (UE) nr 1169/2011 w sprawie przekazywania konsumentom informacji na temat żywności,</w:t>
      </w:r>
    </w:p>
    <w:p w14:paraId="0843A634"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rozporządzenia (WE) nr 258/97 w sprawie nowej żywności i nowych składników żywności.</w:t>
      </w:r>
    </w:p>
    <w:p w14:paraId="264BE073"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Komisja sceptycznie podchodzi do pomysłu tworzenia przepisów krajowych dla tych grup żywności, które aktualnie funkcjonują jako żywność specjalnego przeznaczenia żywieniowego lecz nie zostały objęte zakresem rozporządzenia (UE) nr 609/2013. W szczególności jeśli chodzi o żywność dla diabetyków od dawna wiadomo, że brakuje naukowych podstaw do ustalenia wymogów szczegółowych dotyczących składu, więc zwłaszcza ta kategoria żywności nie powinna funkcjonować jako szczególna.</w:t>
      </w:r>
    </w:p>
    <w:p w14:paraId="47EE6129" w14:textId="77777777" w:rsidR="00A210B0" w:rsidRPr="00A210B0" w:rsidRDefault="00A210B0" w:rsidP="00820087">
      <w:pPr>
        <w:shd w:val="clear" w:color="auto" w:fill="FFFFFF"/>
        <w:spacing w:after="105" w:line="360" w:lineRule="auto"/>
        <w:jc w:val="both"/>
        <w:rPr>
          <w:rFonts w:ascii="Arial" w:eastAsia="Times New Roman" w:hAnsi="Arial" w:cs="Arial"/>
          <w:b/>
          <w:bCs/>
          <w:color w:val="000000" w:themeColor="text1"/>
          <w:sz w:val="24"/>
          <w:szCs w:val="24"/>
          <w:u w:val="single"/>
          <w:lang w:eastAsia="pl-PL"/>
        </w:rPr>
      </w:pPr>
    </w:p>
    <w:p w14:paraId="1F124361"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u w:val="single"/>
          <w:lang w:eastAsia="pl-PL"/>
        </w:rPr>
        <w:lastRenderedPageBreak/>
        <w:t>Napoje na bazie mleka i podobne produkty przeznaczone dla małych dzieci</w:t>
      </w:r>
    </w:p>
    <w:p w14:paraId="1AAF9FC8"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Przygotowane przez Komisję Europejską sprawozdanie pt.: „Report from the </w:t>
      </w:r>
      <w:proofErr w:type="spellStart"/>
      <w:r w:rsidRPr="00A210B0">
        <w:rPr>
          <w:rFonts w:ascii="Arial" w:eastAsia="Times New Roman" w:hAnsi="Arial" w:cs="Arial"/>
          <w:color w:val="000000" w:themeColor="text1"/>
          <w:sz w:val="24"/>
          <w:szCs w:val="24"/>
          <w:lang w:eastAsia="pl-PL"/>
        </w:rPr>
        <w:t>Commission</w:t>
      </w:r>
      <w:proofErr w:type="spellEnd"/>
      <w:r w:rsidRPr="00A210B0">
        <w:rPr>
          <w:rFonts w:ascii="Arial" w:eastAsia="Times New Roman" w:hAnsi="Arial" w:cs="Arial"/>
          <w:color w:val="000000" w:themeColor="text1"/>
          <w:sz w:val="24"/>
          <w:szCs w:val="24"/>
          <w:lang w:eastAsia="pl-PL"/>
        </w:rPr>
        <w:t xml:space="preserve"> to the </w:t>
      </w:r>
      <w:proofErr w:type="spellStart"/>
      <w:r w:rsidRPr="00A210B0">
        <w:rPr>
          <w:rFonts w:ascii="Arial" w:eastAsia="Times New Roman" w:hAnsi="Arial" w:cs="Arial"/>
          <w:color w:val="000000" w:themeColor="text1"/>
          <w:sz w:val="24"/>
          <w:szCs w:val="24"/>
          <w:lang w:eastAsia="pl-PL"/>
        </w:rPr>
        <w:t>European</w:t>
      </w:r>
      <w:proofErr w:type="spellEnd"/>
      <w:r w:rsidRPr="00A210B0">
        <w:rPr>
          <w:rFonts w:ascii="Arial" w:eastAsia="Times New Roman" w:hAnsi="Arial" w:cs="Arial"/>
          <w:color w:val="000000" w:themeColor="text1"/>
          <w:sz w:val="24"/>
          <w:szCs w:val="24"/>
          <w:lang w:eastAsia="pl-PL"/>
        </w:rPr>
        <w:t xml:space="preserve"> </w:t>
      </w:r>
      <w:proofErr w:type="spellStart"/>
      <w:r w:rsidRPr="00A210B0">
        <w:rPr>
          <w:rFonts w:ascii="Arial" w:eastAsia="Times New Roman" w:hAnsi="Arial" w:cs="Arial"/>
          <w:color w:val="000000" w:themeColor="text1"/>
          <w:sz w:val="24"/>
          <w:szCs w:val="24"/>
          <w:lang w:eastAsia="pl-PL"/>
        </w:rPr>
        <w:t>Parliament</w:t>
      </w:r>
      <w:proofErr w:type="spellEnd"/>
      <w:r w:rsidRPr="00A210B0">
        <w:rPr>
          <w:rFonts w:ascii="Arial" w:eastAsia="Times New Roman" w:hAnsi="Arial" w:cs="Arial"/>
          <w:color w:val="000000" w:themeColor="text1"/>
          <w:sz w:val="24"/>
          <w:szCs w:val="24"/>
          <w:lang w:eastAsia="pl-PL"/>
        </w:rPr>
        <w:t xml:space="preserve"> and the </w:t>
      </w:r>
      <w:proofErr w:type="spellStart"/>
      <w:r w:rsidRPr="00A210B0">
        <w:rPr>
          <w:rFonts w:ascii="Arial" w:eastAsia="Times New Roman" w:hAnsi="Arial" w:cs="Arial"/>
          <w:color w:val="000000" w:themeColor="text1"/>
          <w:sz w:val="24"/>
          <w:szCs w:val="24"/>
          <w:lang w:eastAsia="pl-PL"/>
        </w:rPr>
        <w:t>Council</w:t>
      </w:r>
      <w:proofErr w:type="spellEnd"/>
      <w:r w:rsidRPr="00A210B0">
        <w:rPr>
          <w:rFonts w:ascii="Arial" w:eastAsia="Times New Roman" w:hAnsi="Arial" w:cs="Arial"/>
          <w:color w:val="000000" w:themeColor="text1"/>
          <w:sz w:val="24"/>
          <w:szCs w:val="24"/>
          <w:lang w:eastAsia="pl-PL"/>
        </w:rPr>
        <w:t xml:space="preserve"> on </w:t>
      </w:r>
      <w:proofErr w:type="spellStart"/>
      <w:r w:rsidRPr="00A210B0">
        <w:rPr>
          <w:rFonts w:ascii="Arial" w:eastAsia="Times New Roman" w:hAnsi="Arial" w:cs="Arial"/>
          <w:color w:val="000000" w:themeColor="text1"/>
          <w:sz w:val="24"/>
          <w:szCs w:val="24"/>
          <w:lang w:eastAsia="pl-PL"/>
        </w:rPr>
        <w:t>young</w:t>
      </w:r>
      <w:proofErr w:type="spellEnd"/>
      <w:r w:rsidRPr="00A210B0">
        <w:rPr>
          <w:rFonts w:ascii="Arial" w:eastAsia="Times New Roman" w:hAnsi="Arial" w:cs="Arial"/>
          <w:color w:val="000000" w:themeColor="text1"/>
          <w:sz w:val="24"/>
          <w:szCs w:val="24"/>
          <w:lang w:eastAsia="pl-PL"/>
        </w:rPr>
        <w:t xml:space="preserve"> </w:t>
      </w:r>
      <w:proofErr w:type="spellStart"/>
      <w:r w:rsidRPr="00A210B0">
        <w:rPr>
          <w:rFonts w:ascii="Arial" w:eastAsia="Times New Roman" w:hAnsi="Arial" w:cs="Arial"/>
          <w:color w:val="000000" w:themeColor="text1"/>
          <w:sz w:val="24"/>
          <w:szCs w:val="24"/>
          <w:lang w:eastAsia="pl-PL"/>
        </w:rPr>
        <w:t>child</w:t>
      </w:r>
      <w:proofErr w:type="spellEnd"/>
      <w:r w:rsidRPr="00A210B0">
        <w:rPr>
          <w:rFonts w:ascii="Arial" w:eastAsia="Times New Roman" w:hAnsi="Arial" w:cs="Arial"/>
          <w:color w:val="000000" w:themeColor="text1"/>
          <w:sz w:val="24"/>
          <w:szCs w:val="24"/>
          <w:lang w:eastAsia="pl-PL"/>
        </w:rPr>
        <w:t xml:space="preserve"> formule” (COM(2016) 169 </w:t>
      </w:r>
      <w:proofErr w:type="spellStart"/>
      <w:r w:rsidRPr="00A210B0">
        <w:rPr>
          <w:rFonts w:ascii="Arial" w:eastAsia="Times New Roman" w:hAnsi="Arial" w:cs="Arial"/>
          <w:color w:val="000000" w:themeColor="text1"/>
          <w:sz w:val="24"/>
          <w:szCs w:val="24"/>
          <w:lang w:eastAsia="pl-PL"/>
        </w:rPr>
        <w:t>final</w:t>
      </w:r>
      <w:proofErr w:type="spellEnd"/>
      <w:r w:rsidRPr="00A210B0">
        <w:rPr>
          <w:rFonts w:ascii="Arial" w:eastAsia="Times New Roman" w:hAnsi="Arial" w:cs="Arial"/>
          <w:color w:val="000000" w:themeColor="text1"/>
          <w:sz w:val="24"/>
          <w:szCs w:val="24"/>
          <w:lang w:eastAsia="pl-PL"/>
        </w:rPr>
        <w:t xml:space="preserve"> z dnia 31.3.2016 r.) wskazuje, że od dnia 20 lipca 2016 r. produkty tego rodzaju nie będą traktowane jako żywność przeznaczona dla specjalnej grupy lecz podlegają przepisom horyzontalnym mającym zastosowanie do wszystkich kategorii żywności.</w:t>
      </w:r>
    </w:p>
    <w:p w14:paraId="5E917054"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u w:val="single"/>
          <w:lang w:eastAsia="pl-PL"/>
        </w:rPr>
        <w:t>Żywność dla sportowców</w:t>
      </w:r>
    </w:p>
    <w:p w14:paraId="0C8F3AF5"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Przygotowane przez Komisję Europejską sprawozdanie pt.: „Report from the </w:t>
      </w:r>
      <w:proofErr w:type="spellStart"/>
      <w:r w:rsidRPr="00A210B0">
        <w:rPr>
          <w:rFonts w:ascii="Arial" w:eastAsia="Times New Roman" w:hAnsi="Arial" w:cs="Arial"/>
          <w:color w:val="000000" w:themeColor="text1"/>
          <w:sz w:val="24"/>
          <w:szCs w:val="24"/>
          <w:lang w:eastAsia="pl-PL"/>
        </w:rPr>
        <w:t>Commission</w:t>
      </w:r>
      <w:proofErr w:type="spellEnd"/>
      <w:r w:rsidRPr="00A210B0">
        <w:rPr>
          <w:rFonts w:ascii="Arial" w:eastAsia="Times New Roman" w:hAnsi="Arial" w:cs="Arial"/>
          <w:color w:val="000000" w:themeColor="text1"/>
          <w:sz w:val="24"/>
          <w:szCs w:val="24"/>
          <w:lang w:eastAsia="pl-PL"/>
        </w:rPr>
        <w:t xml:space="preserve"> to the </w:t>
      </w:r>
      <w:proofErr w:type="spellStart"/>
      <w:r w:rsidRPr="00A210B0">
        <w:rPr>
          <w:rFonts w:ascii="Arial" w:eastAsia="Times New Roman" w:hAnsi="Arial" w:cs="Arial"/>
          <w:color w:val="000000" w:themeColor="text1"/>
          <w:sz w:val="24"/>
          <w:szCs w:val="24"/>
          <w:lang w:eastAsia="pl-PL"/>
        </w:rPr>
        <w:t>European</w:t>
      </w:r>
      <w:proofErr w:type="spellEnd"/>
      <w:r w:rsidRPr="00A210B0">
        <w:rPr>
          <w:rFonts w:ascii="Arial" w:eastAsia="Times New Roman" w:hAnsi="Arial" w:cs="Arial"/>
          <w:color w:val="000000" w:themeColor="text1"/>
          <w:sz w:val="24"/>
          <w:szCs w:val="24"/>
          <w:lang w:eastAsia="pl-PL"/>
        </w:rPr>
        <w:t xml:space="preserve"> </w:t>
      </w:r>
      <w:proofErr w:type="spellStart"/>
      <w:r w:rsidRPr="00A210B0">
        <w:rPr>
          <w:rFonts w:ascii="Arial" w:eastAsia="Times New Roman" w:hAnsi="Arial" w:cs="Arial"/>
          <w:color w:val="000000" w:themeColor="text1"/>
          <w:sz w:val="24"/>
          <w:szCs w:val="24"/>
          <w:lang w:eastAsia="pl-PL"/>
        </w:rPr>
        <w:t>Parliament</w:t>
      </w:r>
      <w:proofErr w:type="spellEnd"/>
      <w:r w:rsidRPr="00A210B0">
        <w:rPr>
          <w:rFonts w:ascii="Arial" w:eastAsia="Times New Roman" w:hAnsi="Arial" w:cs="Arial"/>
          <w:color w:val="000000" w:themeColor="text1"/>
          <w:sz w:val="24"/>
          <w:szCs w:val="24"/>
          <w:lang w:eastAsia="pl-PL"/>
        </w:rPr>
        <w:t xml:space="preserve"> and the </w:t>
      </w:r>
      <w:proofErr w:type="spellStart"/>
      <w:r w:rsidRPr="00A210B0">
        <w:rPr>
          <w:rFonts w:ascii="Arial" w:eastAsia="Times New Roman" w:hAnsi="Arial" w:cs="Arial"/>
          <w:color w:val="000000" w:themeColor="text1"/>
          <w:sz w:val="24"/>
          <w:szCs w:val="24"/>
          <w:lang w:eastAsia="pl-PL"/>
        </w:rPr>
        <w:t>Council</w:t>
      </w:r>
      <w:proofErr w:type="spellEnd"/>
      <w:r w:rsidRPr="00A210B0">
        <w:rPr>
          <w:rFonts w:ascii="Arial" w:eastAsia="Times New Roman" w:hAnsi="Arial" w:cs="Arial"/>
          <w:color w:val="000000" w:themeColor="text1"/>
          <w:sz w:val="24"/>
          <w:szCs w:val="24"/>
          <w:lang w:eastAsia="pl-PL"/>
        </w:rPr>
        <w:t xml:space="preserve"> on food </w:t>
      </w:r>
      <w:proofErr w:type="spellStart"/>
      <w:r w:rsidRPr="00A210B0">
        <w:rPr>
          <w:rFonts w:ascii="Arial" w:eastAsia="Times New Roman" w:hAnsi="Arial" w:cs="Arial"/>
          <w:color w:val="000000" w:themeColor="text1"/>
          <w:sz w:val="24"/>
          <w:szCs w:val="24"/>
          <w:lang w:eastAsia="pl-PL"/>
        </w:rPr>
        <w:t>intended</w:t>
      </w:r>
      <w:proofErr w:type="spellEnd"/>
      <w:r w:rsidRPr="00A210B0">
        <w:rPr>
          <w:rFonts w:ascii="Arial" w:eastAsia="Times New Roman" w:hAnsi="Arial" w:cs="Arial"/>
          <w:color w:val="000000" w:themeColor="text1"/>
          <w:sz w:val="24"/>
          <w:szCs w:val="24"/>
          <w:lang w:eastAsia="pl-PL"/>
        </w:rPr>
        <w:t xml:space="preserve"> for </w:t>
      </w:r>
      <w:proofErr w:type="spellStart"/>
      <w:r w:rsidRPr="00A210B0">
        <w:rPr>
          <w:rFonts w:ascii="Arial" w:eastAsia="Times New Roman" w:hAnsi="Arial" w:cs="Arial"/>
          <w:color w:val="000000" w:themeColor="text1"/>
          <w:sz w:val="24"/>
          <w:szCs w:val="24"/>
          <w:lang w:eastAsia="pl-PL"/>
        </w:rPr>
        <w:t>sportspeople</w:t>
      </w:r>
      <w:proofErr w:type="spellEnd"/>
      <w:r w:rsidRPr="00A210B0">
        <w:rPr>
          <w:rFonts w:ascii="Arial" w:eastAsia="Times New Roman" w:hAnsi="Arial" w:cs="Arial"/>
          <w:color w:val="000000" w:themeColor="text1"/>
          <w:sz w:val="24"/>
          <w:szCs w:val="24"/>
          <w:lang w:eastAsia="pl-PL"/>
        </w:rPr>
        <w:t xml:space="preserve">” (COM(2016) 404 </w:t>
      </w:r>
      <w:proofErr w:type="spellStart"/>
      <w:r w:rsidRPr="00A210B0">
        <w:rPr>
          <w:rFonts w:ascii="Arial" w:eastAsia="Times New Roman" w:hAnsi="Arial" w:cs="Arial"/>
          <w:color w:val="000000" w:themeColor="text1"/>
          <w:sz w:val="24"/>
          <w:szCs w:val="24"/>
          <w:lang w:eastAsia="pl-PL"/>
        </w:rPr>
        <w:t>final</w:t>
      </w:r>
      <w:proofErr w:type="spellEnd"/>
      <w:r w:rsidRPr="00A210B0">
        <w:rPr>
          <w:rFonts w:ascii="Arial" w:eastAsia="Times New Roman" w:hAnsi="Arial" w:cs="Arial"/>
          <w:color w:val="000000" w:themeColor="text1"/>
          <w:sz w:val="24"/>
          <w:szCs w:val="24"/>
          <w:lang w:eastAsia="pl-PL"/>
        </w:rPr>
        <w:t xml:space="preserve"> z dnia 15.06.2016 r.) wskazuje, że produkty tego rodzaju nie będą traktowane jako żywność przeznaczona dla specjalnej grupy lecz podlegają przepisom horyzontalnym mającym zastosowanie do wszystkich kategorii żywności.</w:t>
      </w:r>
    </w:p>
    <w:p w14:paraId="6DD586D1"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Ważne informacje dodatkowe:</w:t>
      </w:r>
    </w:p>
    <w:p w14:paraId="33A1FA82"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 wynikająca z zastosowania rozporządzenia (UE) nr 609/2013 zmiana kwalifikacji środka spożywczego ze środka spożywczego specjalnego przeznaczenia żywieniowego na środek spożywczy wzbogacony lub suplement diety wymaga złożenia oświadczenia o rezygnacji z wprowadzania do obrotu danego produktu jako środka spożywczego specjalnego przeznaczenia żywieniowego oraz złożenia nowego powiadomienia o wprowadzeniu po raz pierwszy do obrotu na terytorium Rzeczypospolitej Polskiej z nową kwalifikacją;</w:t>
      </w:r>
    </w:p>
    <w:p w14:paraId="68142D5C" w14:textId="77777777" w:rsidR="00F77F4A" w:rsidRPr="00A210B0" w:rsidRDefault="00F77F4A"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 produkty przeznaczone dla niemowląt i małych dzieci przyjmowane przed 20 lipca 2016 r. zgodnie z przyjętą praktyką jako dietetyczne środki spożywcze specjalnego przeznaczenia medycznego spełniające definicję suplementu diety zamieszczoną w art. 3 ust. 3 pkt 39 ustawy z dnia 25 sierpnia 2006 r. o bezpieczeństwie żywności i żywienia powinny być z dniem 20 lipca 2016 r. kwalifikowane jako suplementy diety. Dodatkowo należy mieć na uwadze, że ilość składników w produktach dla niemowląt musi być uzasadniona aktualnymi zaleceniami żywieniowymi oraz ogólnie przyjętymi danymi naukowymi.</w:t>
      </w:r>
    </w:p>
    <w:p w14:paraId="691CFDFB" w14:textId="77777777" w:rsidR="00741C54" w:rsidRPr="00A210B0" w:rsidRDefault="00741C54" w:rsidP="00820087">
      <w:pPr>
        <w:spacing w:line="360" w:lineRule="auto"/>
        <w:jc w:val="both"/>
        <w:rPr>
          <w:rFonts w:ascii="Arial" w:hAnsi="Arial" w:cs="Arial"/>
          <w:color w:val="000000" w:themeColor="text1"/>
          <w:sz w:val="24"/>
          <w:szCs w:val="24"/>
        </w:rPr>
      </w:pPr>
    </w:p>
    <w:p w14:paraId="1848850A" w14:textId="77777777" w:rsidR="00B6500B" w:rsidRPr="00A210B0" w:rsidRDefault="00B6500B" w:rsidP="00820087">
      <w:pPr>
        <w:shd w:val="clear" w:color="auto" w:fill="FFFFFF"/>
        <w:spacing w:line="360" w:lineRule="auto"/>
        <w:jc w:val="both"/>
        <w:outlineLvl w:val="1"/>
        <w:rPr>
          <w:rFonts w:ascii="Arial" w:eastAsia="Times New Roman" w:hAnsi="Arial" w:cs="Arial"/>
          <w:b/>
          <w:color w:val="000000" w:themeColor="text1"/>
          <w:sz w:val="24"/>
          <w:szCs w:val="24"/>
          <w:lang w:eastAsia="pl-PL"/>
        </w:rPr>
      </w:pPr>
      <w:r w:rsidRPr="00A210B0">
        <w:rPr>
          <w:rFonts w:ascii="Arial" w:eastAsia="Times New Roman" w:hAnsi="Arial" w:cs="Arial"/>
          <w:b/>
          <w:color w:val="000000" w:themeColor="text1"/>
          <w:sz w:val="24"/>
          <w:szCs w:val="24"/>
          <w:lang w:eastAsia="pl-PL"/>
        </w:rPr>
        <w:t xml:space="preserve">Suplementy diety </w:t>
      </w:r>
    </w:p>
    <w:p w14:paraId="312497F7" w14:textId="77777777" w:rsidR="00B6500B" w:rsidRPr="00A210B0" w:rsidRDefault="00CF3190" w:rsidP="00820087">
      <w:pPr>
        <w:numPr>
          <w:ilvl w:val="0"/>
          <w:numId w:val="5"/>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60" w:lineRule="auto"/>
        <w:ind w:left="-225"/>
        <w:jc w:val="both"/>
        <w:textAlignment w:val="center"/>
        <w:rPr>
          <w:rFonts w:ascii="Arial" w:eastAsia="Times New Roman" w:hAnsi="Arial" w:cs="Arial"/>
          <w:vanish/>
          <w:color w:val="000000" w:themeColor="text1"/>
          <w:sz w:val="24"/>
          <w:szCs w:val="24"/>
          <w:lang w:eastAsia="pl-PL"/>
        </w:rPr>
      </w:pPr>
      <w:hyperlink r:id="rId8" w:tooltip="Wydrukuj artykuł &lt; Suplementy diety &gt;" w:history="1">
        <w:r w:rsidR="00B6500B" w:rsidRPr="00A210B0">
          <w:rPr>
            <w:rFonts w:ascii="Arial" w:eastAsia="Times New Roman" w:hAnsi="Arial" w:cs="Arial"/>
            <w:vanish/>
            <w:color w:val="000000" w:themeColor="text1"/>
            <w:sz w:val="24"/>
            <w:szCs w:val="24"/>
            <w:lang w:eastAsia="pl-PL"/>
          </w:rPr>
          <w:t xml:space="preserve">Drukuj </w:t>
        </w:r>
      </w:hyperlink>
    </w:p>
    <w:p w14:paraId="63E6B592"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 diety oraz środek spożywczy specjalnego przeznaczenia żywieniowego zostały zdefiniowane w art. 3 ust. 3 ustawy o bezpieczeństwie żywności i żywienia.</w:t>
      </w:r>
    </w:p>
    <w:p w14:paraId="24D08FE3"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Suplementy diety, żywność wzbogacana i niektóre grupy żywności specjalnego przeznaczenia podlegają obowiązkowi powiadomienia Głównego Inspektora Sanitarnego o wprowadzeniu po raz pierwszy do obrotu na terytorium Rzeczypospolitej Polskiej.</w:t>
      </w:r>
    </w:p>
    <w:p w14:paraId="702CB5E1" w14:textId="77777777" w:rsidR="00A210B0" w:rsidRPr="00A210B0" w:rsidRDefault="00A210B0" w:rsidP="00820087">
      <w:pPr>
        <w:shd w:val="clear" w:color="auto" w:fill="FFFFFF"/>
        <w:spacing w:after="105" w:line="360" w:lineRule="auto"/>
        <w:jc w:val="both"/>
        <w:rPr>
          <w:rFonts w:ascii="Arial" w:eastAsia="Times New Roman" w:hAnsi="Arial" w:cs="Arial"/>
          <w:b/>
          <w:bCs/>
          <w:color w:val="000000" w:themeColor="text1"/>
          <w:sz w:val="24"/>
          <w:szCs w:val="24"/>
          <w:lang w:eastAsia="pl-PL"/>
        </w:rPr>
      </w:pPr>
    </w:p>
    <w:p w14:paraId="7E4A5E56"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 diety jest środkiem spożywczym, którego celem jest uzupełnienie normalnej diety, będący skoncentrowanym źródłem witamin lub składników mineralnych lub innych substancji wykazujących efekt odżywczy lub inny fizjologiczny, pojedynczych lub złożonych, wprowadzany do obrotu w formie umożliwiającej dawkowanie, w postaci: kapsułek, tabletek, drażetek i w innych podobnych postaciach, saszetek z proszkiem, ampułek z płynem, butelek z kroplomierzem i w innych podobnych postaciach płynów i proszków przeznaczonych do spożywania w małych, odmierzonych ilościach jednostkowych, z wyłączeniem produktów posiadających właściwości produktu leczniczego w rozumieniu przepisów prawa farmaceutycznego.</w:t>
      </w:r>
    </w:p>
    <w:p w14:paraId="06121523"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Suplementy diety mogą zawierać w swoim składzie witaminy i składniki mineralne, które naturalnie występują w żywności i spożywane są jako jej część oraz inne substancje wykazujące efekt odżywczy lub inny efekt fizjologiczny.</w:t>
      </w:r>
    </w:p>
    <w:p w14:paraId="7EC197FC"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Poziom witamin i składników mineralnych obecnych w suplementach diety w zalecanej przez producenta dziennej porcji spożywanego suplementu diety powinien uwzględniać:</w:t>
      </w:r>
    </w:p>
    <w:p w14:paraId="63F08832"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górne bezpieczne poziomy witamin i składników mineralnych ustalone na podstawie naukowej oceny ryzyka, w oparciu o ogólnie akceptowane dane naukowe, uwzględniając zmienne stopnie wrażliwości różnych grup konsumentów;</w:t>
      </w:r>
      <w:r w:rsidR="00A210B0" w:rsidRPr="00A210B0">
        <w:rPr>
          <w:rFonts w:ascii="Arial" w:eastAsia="Times New Roman" w:hAnsi="Arial" w:cs="Arial"/>
          <w:color w:val="000000" w:themeColor="text1"/>
          <w:sz w:val="24"/>
          <w:szCs w:val="24"/>
          <w:lang w:eastAsia="pl-PL"/>
        </w:rPr>
        <w:t xml:space="preserve"> </w:t>
      </w:r>
      <w:r w:rsidRPr="00A210B0">
        <w:rPr>
          <w:rFonts w:ascii="Arial" w:eastAsia="Times New Roman" w:hAnsi="Arial" w:cs="Arial"/>
          <w:color w:val="000000" w:themeColor="text1"/>
          <w:sz w:val="24"/>
          <w:szCs w:val="24"/>
          <w:lang w:eastAsia="pl-PL"/>
        </w:rPr>
        <w:t>spożycie witamin i składników mineralnych wynikające z innych źródeł diety;</w:t>
      </w:r>
      <w:r w:rsidR="00A210B0" w:rsidRPr="00A210B0">
        <w:rPr>
          <w:rFonts w:ascii="Arial" w:eastAsia="Times New Roman" w:hAnsi="Arial" w:cs="Arial"/>
          <w:color w:val="000000" w:themeColor="text1"/>
          <w:sz w:val="24"/>
          <w:szCs w:val="24"/>
          <w:lang w:eastAsia="pl-PL"/>
        </w:rPr>
        <w:t xml:space="preserve"> </w:t>
      </w:r>
      <w:r w:rsidRPr="00A210B0">
        <w:rPr>
          <w:rFonts w:ascii="Arial" w:eastAsia="Times New Roman" w:hAnsi="Arial" w:cs="Arial"/>
          <w:color w:val="000000" w:themeColor="text1"/>
          <w:sz w:val="24"/>
          <w:szCs w:val="24"/>
          <w:lang w:eastAsia="pl-PL"/>
        </w:rPr>
        <w:t>zalecane spożycie witamin i składników mineralnych dla danej populacji.</w:t>
      </w:r>
    </w:p>
    <w:p w14:paraId="1DA5C480"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lastRenderedPageBreak/>
        <w:t>Maksymalny dopuszczalny poziom zawartości witamin i składników mineralnych oraz innych substancji wykazujących efekt odżywczy lub inny efekt fizjologiczny zapewnia, że zwykłe stosowanie suplementu diety zgodnie z informacją zamieszczoną w oznakowaniu będzie bezpieczne dla zdrowia i życia człowieka.</w:t>
      </w:r>
    </w:p>
    <w:p w14:paraId="7B703046"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b/>
          <w:bCs/>
          <w:color w:val="000000" w:themeColor="text1"/>
          <w:sz w:val="24"/>
          <w:szCs w:val="24"/>
          <w:lang w:eastAsia="pl-PL"/>
        </w:rPr>
        <w:t>Znakowanie suplementów diety</w:t>
      </w:r>
    </w:p>
    <w:p w14:paraId="19F8DC1A"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Oznakowanie środków spożywczych, w tym suplementów diety obejmuje wszelkie informacje w postaci napisów i innych oznaczeń, w tym znaki towarowe, nazwy handlowe, elementy graficzne i symbole, dotyczące środka spożywczego i umieszczone na opakowaniu, etykiecie, obwolucie, ulotce, zawieszce oraz w dokumentach, które są dołączone do tego środka spożywczego lub odnoszą się do niego.</w:t>
      </w:r>
    </w:p>
    <w:p w14:paraId="7B208FDB"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Środki spożywcze wprowadzane do obrotu na terytorium Rzeczypospolitej Polskiej muszą być oznakowane w języku polskim. Sposób oznakowania musi być zrozumiały dla przeciętnego konsumenta. Napisy muszą być wyraźne, czytelne i nieusuwalne, umieszczone w widocznym miejscu, a także nie mogą być w żaden sposób ukryte, zasłonięte lub przesłonięte innymi nadrukami lub obrazkami.</w:t>
      </w:r>
    </w:p>
    <w:p w14:paraId="2B3BD087"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Elementy oznakowania suplementów diety można podzielić na dwie grupy, tj. obowiązkowe i dobrowolne obejmujące m.in. oświadczenia żywieniowe i zdrowotne.</w:t>
      </w:r>
    </w:p>
    <w:p w14:paraId="30BB8A35"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Zgodnie z rozporządzeniem unijnym nr 1169/2011 opakowany środek spożywczy znakuje się podając, co najmniej następujące informacje:</w:t>
      </w:r>
    </w:p>
    <w:p w14:paraId="25B1F1D1"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nazwa żywności;</w:t>
      </w:r>
    </w:p>
    <w:p w14:paraId="36969B3E"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wykaz składników;</w:t>
      </w:r>
    </w:p>
    <w:p w14:paraId="4ACE7BD4"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wszelkie składniki lub substancje pomocnicze w przetwórstwie wymienione w załączniku II lub uzyskane z substancji lub produktów wymienionych w załączniku II, powodujące alergie lub reakcje nietolerancji, użyte przy wytworzeniu lub przygotowywaniu żywności i nadal obecne w produkcie gotowym, nawet jeżeli ich forma uległa zmianie;</w:t>
      </w:r>
    </w:p>
    <w:p w14:paraId="6E7159D7"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ilość określonych składników lub kategorii składników;</w:t>
      </w:r>
    </w:p>
    <w:p w14:paraId="0D90878B"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ilość netto żywności;</w:t>
      </w:r>
    </w:p>
    <w:p w14:paraId="7CAC8B7A"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data minimalnej trwałości lub termin przydatności do spożycia;</w:t>
      </w:r>
    </w:p>
    <w:p w14:paraId="026FB911"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wszelkie specjalne warunki przechowywania lub warunki użycia;</w:t>
      </w:r>
    </w:p>
    <w:p w14:paraId="131B6A77"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lastRenderedPageBreak/>
        <w:t>nazwa lub firma i adres podmiotu działającego na rynku spożywczym, o którym mowa w art. 8 ust. 1;</w:t>
      </w:r>
    </w:p>
    <w:p w14:paraId="1DD00DEF"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kraj lub miejsce pochodzenia w przypadku przewidzianym w art. 26;</w:t>
      </w:r>
    </w:p>
    <w:p w14:paraId="51B344DE"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instrukcja użycia, w przypadku gdy w razie braku takiej instrukcji odpowiednie użycie danego środka spożywczego byłoby utrudnione;</w:t>
      </w:r>
    </w:p>
    <w:p w14:paraId="6565D795"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w odniesieniu do napojów o zawartości alkoholu większej niż 1,2% objętościowo, rzeczywista zawartość objętościowa alkoholu;</w:t>
      </w:r>
    </w:p>
    <w:p w14:paraId="0F0C4E4B" w14:textId="77777777" w:rsidR="00B6500B" w:rsidRPr="00A210B0" w:rsidRDefault="00B6500B" w:rsidP="00820087">
      <w:pPr>
        <w:numPr>
          <w:ilvl w:val="0"/>
          <w:numId w:val="6"/>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informacja o wartości odżywczej.</w:t>
      </w:r>
    </w:p>
    <w:p w14:paraId="66243A95"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Należy zwrócić uwagę, że znakowanie suplementów diety wartością odżywczą nie jest obowiązkowe. Jednak w przypadku dobrowolnego podawania wartości odżywczej w oznakowaniu suplementów diety informacja ta powinna być dostosowana od 13 grudnia 2014 r. do wymagań rozporządzenia Parlamentu Europejskiego i Rady (UE) nr 1169/2011 z dnia 25 października 2011 r. w sprawie przekazywania konsumentom informacji na temat żywności (...) (Dz. Urz. UE L. 304 z 22.11.2011, s. 18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16E84DD5" w14:textId="77777777" w:rsidR="00B6500B" w:rsidRPr="00A210B0" w:rsidRDefault="00B6500B" w:rsidP="00A210B0">
      <w:pPr>
        <w:shd w:val="clear" w:color="auto" w:fill="FFFFFF"/>
        <w:spacing w:after="105" w:line="360" w:lineRule="auto"/>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Suplementy diety wprowadzane do obrotu znakuje się umieszczając na opakowaniu następujące informacje:</w:t>
      </w:r>
      <w:r w:rsidRPr="00A210B0">
        <w:rPr>
          <w:rFonts w:ascii="Arial" w:eastAsia="Times New Roman" w:hAnsi="Arial" w:cs="Arial"/>
          <w:color w:val="000000" w:themeColor="text1"/>
          <w:sz w:val="24"/>
          <w:szCs w:val="24"/>
          <w:lang w:eastAsia="pl-PL"/>
        </w:rPr>
        <w:br/>
        <w:t>1. określenie "suplement diety";</w:t>
      </w:r>
      <w:r w:rsidRPr="00A210B0">
        <w:rPr>
          <w:rFonts w:ascii="Arial" w:eastAsia="Times New Roman" w:hAnsi="Arial" w:cs="Arial"/>
          <w:color w:val="000000" w:themeColor="text1"/>
          <w:sz w:val="24"/>
          <w:szCs w:val="24"/>
          <w:lang w:eastAsia="pl-PL"/>
        </w:rPr>
        <w:br/>
        <w:t>2. nazwy kategorii składników odżywczych lub substancji charakteryzujących produkt lub wskazanie ich właściwości;</w:t>
      </w:r>
      <w:r w:rsidRPr="00A210B0">
        <w:rPr>
          <w:rFonts w:ascii="Arial" w:eastAsia="Times New Roman" w:hAnsi="Arial" w:cs="Arial"/>
          <w:color w:val="000000" w:themeColor="text1"/>
          <w:sz w:val="24"/>
          <w:szCs w:val="24"/>
          <w:lang w:eastAsia="pl-PL"/>
        </w:rPr>
        <w:br/>
        <w:t>3. porcję produktu zalecaną do spożycia w ciągu dnia;</w:t>
      </w:r>
      <w:r w:rsidRPr="00A210B0">
        <w:rPr>
          <w:rFonts w:ascii="Arial" w:eastAsia="Times New Roman" w:hAnsi="Arial" w:cs="Arial"/>
          <w:color w:val="000000" w:themeColor="text1"/>
          <w:sz w:val="24"/>
          <w:szCs w:val="24"/>
          <w:lang w:eastAsia="pl-PL"/>
        </w:rPr>
        <w:br/>
        <w:t>4. ostrzeżenie dotyczące nieprzekraczania zalecanej porcji do spożycia w ciągu dnia;</w:t>
      </w:r>
      <w:r w:rsidRPr="00A210B0">
        <w:rPr>
          <w:rFonts w:ascii="Arial" w:eastAsia="Times New Roman" w:hAnsi="Arial" w:cs="Arial"/>
          <w:color w:val="000000" w:themeColor="text1"/>
          <w:sz w:val="24"/>
          <w:szCs w:val="24"/>
          <w:lang w:eastAsia="pl-PL"/>
        </w:rPr>
        <w:br/>
        <w:t>5. stwierdzenie, że suplementy diety nie mogą być stosowane jako substytut (zamiennik) zróżnicowanej diety;</w:t>
      </w:r>
      <w:r w:rsidRPr="00A210B0">
        <w:rPr>
          <w:rFonts w:ascii="Arial" w:eastAsia="Times New Roman" w:hAnsi="Arial" w:cs="Arial"/>
          <w:color w:val="000000" w:themeColor="text1"/>
          <w:sz w:val="24"/>
          <w:szCs w:val="24"/>
          <w:lang w:eastAsia="pl-PL"/>
        </w:rPr>
        <w:br/>
        <w:t>6. stwierdzenie, że suplementy diety powinny być przechowywane w sposób niedostępny dla małych dzieci.</w:t>
      </w:r>
    </w:p>
    <w:p w14:paraId="68FEA6D7"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Zawartość witamin i składników mineralnych oraz innych substancji wykazujących efekt odżywczy lub inny efekt fizjologiczny obecnych w suplemencie diety deklaruje się w oznakowaniu w postaci liczbowej. Jednostki używane do określania zawartości witamin i składników mineralnych muszą by</w:t>
      </w:r>
      <w:r w:rsidR="00A210B0" w:rsidRPr="00A210B0">
        <w:rPr>
          <w:rFonts w:ascii="Arial" w:eastAsia="Times New Roman" w:hAnsi="Arial" w:cs="Arial"/>
          <w:color w:val="000000" w:themeColor="text1"/>
          <w:sz w:val="24"/>
          <w:szCs w:val="24"/>
          <w:lang w:eastAsia="pl-PL"/>
        </w:rPr>
        <w:t>ć zgodne z załącznikiem nr 1 do </w:t>
      </w:r>
      <w:r w:rsidRPr="00A210B0">
        <w:rPr>
          <w:rFonts w:ascii="Arial" w:eastAsia="Times New Roman" w:hAnsi="Arial" w:cs="Arial"/>
          <w:color w:val="000000" w:themeColor="text1"/>
          <w:sz w:val="24"/>
          <w:szCs w:val="24"/>
          <w:lang w:eastAsia="pl-PL"/>
        </w:rPr>
        <w:t>rozporządzenia Ministra Zdrowia z dnia 9 października 2007 r. w sprawie składu oraz oznakowania suplementów diety (Dz. U. z 2015 r. poz. 2032).</w:t>
      </w:r>
    </w:p>
    <w:p w14:paraId="0C53645E"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lastRenderedPageBreak/>
        <w:t>Deklarowane w oznakowaniu zawartości witamin i składników mineralnych oraz innych substancji wykazujących efekt odżywczy lub inny efekt fizjologiczny podaje się w przeliczeniu na zalecaną przez producenta do spożycia dzienną porcję produktu.</w:t>
      </w:r>
    </w:p>
    <w:p w14:paraId="763E30F4"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Informacje o zawartości witamin i składników mineralnych podaje się również w procentach w stosunku do zalecanego dziennego spożycia, zgodnie z wartościami odniesienia ustalonymi w załączniku nr 3 do ww. rozporządzenia określającym wartości odniesienia do znakowania suplementów diety.</w:t>
      </w:r>
    </w:p>
    <w:p w14:paraId="4AE8F36E"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Oznakowanie, prezentacja i reklama suplementów diety nie mogą zawierać informacji stwierdzających lub sugerujących, że zbilansowana i zróżnicowana dieta nie może dostarczyć wystarczających dla organizmu ilości składników odżywczych.</w:t>
      </w:r>
    </w:p>
    <w:p w14:paraId="65CFA74A"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Oznakowanie, prezentacja i reklama suplementów diety nie może wprowadzać konsumentów w błąd, w szczególności:</w:t>
      </w:r>
    </w:p>
    <w:p w14:paraId="6A51A409" w14:textId="77777777" w:rsidR="00B6500B" w:rsidRPr="00A210B0" w:rsidRDefault="00B6500B" w:rsidP="00820087">
      <w:pPr>
        <w:numPr>
          <w:ilvl w:val="0"/>
          <w:numId w:val="7"/>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co do właściwości środka spożywczego, a w szczególności co do jego charakteru, tożsamości, właściwości, składu, ilości, trwałości, kraju lub miejsca pochodzenia, metod wytwarzania lub produkcji;</w:t>
      </w:r>
    </w:p>
    <w:p w14:paraId="590EEB86" w14:textId="77777777" w:rsidR="00B6500B" w:rsidRPr="00A210B0" w:rsidRDefault="00B6500B" w:rsidP="00820087">
      <w:pPr>
        <w:numPr>
          <w:ilvl w:val="0"/>
          <w:numId w:val="7"/>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przez przypisywanie środkowi spożywczemu działania lub właściwości, których on nie </w:t>
      </w:r>
      <w:proofErr w:type="spellStart"/>
      <w:r w:rsidRPr="00A210B0">
        <w:rPr>
          <w:rFonts w:ascii="Arial" w:eastAsia="Times New Roman" w:hAnsi="Arial" w:cs="Arial"/>
          <w:color w:val="000000" w:themeColor="text1"/>
          <w:sz w:val="24"/>
          <w:szCs w:val="24"/>
          <w:lang w:eastAsia="pl-PL"/>
        </w:rPr>
        <w:t>posiada;przez</w:t>
      </w:r>
      <w:proofErr w:type="spellEnd"/>
      <w:r w:rsidRPr="00A210B0">
        <w:rPr>
          <w:rFonts w:ascii="Arial" w:eastAsia="Times New Roman" w:hAnsi="Arial" w:cs="Arial"/>
          <w:color w:val="000000" w:themeColor="text1"/>
          <w:sz w:val="24"/>
          <w:szCs w:val="24"/>
          <w:lang w:eastAsia="pl-PL"/>
        </w:rPr>
        <w:t xml:space="preserve"> sugerowanie, że środek spożywczy ma szczególne właściwości, gdy w rzeczywistości wszystkie podobne środki spożywcze mają takie właściwości, zwłaszcza przez szczególne podkreślanie obecności lub braku określonych składników lub składników odżywczych;</w:t>
      </w:r>
    </w:p>
    <w:p w14:paraId="2C6E4FFE" w14:textId="77777777" w:rsidR="00B6500B" w:rsidRPr="00A210B0" w:rsidRDefault="00B6500B" w:rsidP="00820087">
      <w:pPr>
        <w:numPr>
          <w:ilvl w:val="0"/>
          <w:numId w:val="7"/>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przez sugerowanie poprzez wygląd, opis lub prezentacje graficzne, że chodzi o określony środek spożywczy lub składnik, mimo że w rzeczywistości komponent lub składnik naturalnie obecny lub zwykle stosowany w danym środku spożywczym został zastąpiony innym komponentem lub innym składnikiem.</w:t>
      </w:r>
    </w:p>
    <w:p w14:paraId="1EFF94B9"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Ponadto oznakowanie, prezentacja i reklama suplementów diety nie może przypisywać tym produktom właściwości zapobiegania chorobom lub leczenia chorób ludzi bądź też odwoływać się do takich właściwości.</w:t>
      </w:r>
    </w:p>
    <w:p w14:paraId="4DF941B1"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 xml:space="preserve">Znakowanie suplementów diety z wykorzystaniem oświadczeń żywieniowych i zdrowotnych reguluje rozporządzenie (WE) Nr 1924/2006 Parlamentu Europejskiego i Rady w sprawie oświadczeń żywieniowych i zdrowotnych </w:t>
      </w:r>
      <w:r w:rsidRPr="00A210B0">
        <w:rPr>
          <w:rFonts w:ascii="Arial" w:eastAsia="Times New Roman" w:hAnsi="Arial" w:cs="Arial"/>
          <w:color w:val="000000" w:themeColor="text1"/>
          <w:sz w:val="24"/>
          <w:szCs w:val="24"/>
          <w:lang w:eastAsia="pl-PL"/>
        </w:rPr>
        <w:lastRenderedPageBreak/>
        <w:t>dotyczących żywności (sprostowanie Dz. U. UE. L 12 z 18.01.07, s. 3) oraz rozporządzenie Komisji (UE) nr 432/2012 z dnia 16 maja 2012 r. ustanawiające wykaz dopuszczonych oświadczeń zdrowotnych dotyczących żywności, innych niż oświadczenia odnoszące się do zmniejszenia ryzyka choroby oraz rozwoju i zdrowia dzieci (Dz. U. UE L 136 z 25.05.2012 r. str. 1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6E59FDE3"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Informacje nt. wykazów dozwolonych do stosowania w oznakowaniu oświadczeń żywieniowych i zdrowotnych znajdują się na stronie internetowej Komisji Europejskiej.</w:t>
      </w:r>
    </w:p>
    <w:p w14:paraId="0D6DDE76"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Przepisy wspólnotowe oraz przydatne informacje dotyczące suplementów diety są również dostępne na stronie internetowej Komisji Europejskiej.</w:t>
      </w:r>
    </w:p>
    <w:p w14:paraId="4AFC050C" w14:textId="77777777" w:rsidR="00B6500B" w:rsidRPr="00A210B0" w:rsidRDefault="00B6500B" w:rsidP="00820087">
      <w:pPr>
        <w:shd w:val="clear" w:color="auto" w:fill="FFFFFF"/>
        <w:spacing w:after="105" w:line="360" w:lineRule="auto"/>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Suplementy diety wprowadzane do obrotu na terytorium Rzeczypospolitej Polskiej muszą spełniać wymagania dotyczące składu oraz oznakowania produktów określone m.in. w następujących przepisach prawnych:</w:t>
      </w:r>
    </w:p>
    <w:p w14:paraId="415A6F55" w14:textId="37D3979C"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ustawa z dnia 25 sierpnia 2006 r. o bezpieczeństwie żywności i żywienia (Dz. U. z 20</w:t>
      </w:r>
      <w:r w:rsidR="007824FD">
        <w:rPr>
          <w:rFonts w:ascii="Arial" w:eastAsia="Times New Roman" w:hAnsi="Arial" w:cs="Arial"/>
          <w:color w:val="000000" w:themeColor="text1"/>
          <w:sz w:val="24"/>
          <w:szCs w:val="24"/>
          <w:lang w:eastAsia="pl-PL"/>
        </w:rPr>
        <w:t>20</w:t>
      </w:r>
      <w:r w:rsidRPr="00A210B0">
        <w:rPr>
          <w:rFonts w:ascii="Arial" w:eastAsia="Times New Roman" w:hAnsi="Arial" w:cs="Arial"/>
          <w:color w:val="000000" w:themeColor="text1"/>
          <w:sz w:val="24"/>
          <w:szCs w:val="24"/>
          <w:lang w:eastAsia="pl-PL"/>
        </w:rPr>
        <w:t xml:space="preserve"> r. poz. </w:t>
      </w:r>
      <w:r w:rsidR="007824FD">
        <w:rPr>
          <w:rFonts w:ascii="Arial" w:eastAsia="Times New Roman" w:hAnsi="Arial" w:cs="Arial"/>
          <w:color w:val="000000" w:themeColor="text1"/>
          <w:sz w:val="24"/>
          <w:szCs w:val="24"/>
          <w:lang w:eastAsia="pl-PL"/>
        </w:rPr>
        <w:t>2021</w:t>
      </w:r>
      <w:r w:rsidRPr="00A210B0">
        <w:rPr>
          <w:rFonts w:ascii="Arial" w:eastAsia="Times New Roman" w:hAnsi="Arial" w:cs="Arial"/>
          <w:color w:val="000000" w:themeColor="text1"/>
          <w:sz w:val="24"/>
          <w:szCs w:val="24"/>
          <w:lang w:eastAsia="pl-PL"/>
        </w:rPr>
        <w:t>);</w:t>
      </w:r>
    </w:p>
    <w:p w14:paraId="456DDEC7"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Ministra Zdrowia z dnia 9 października 2007 r. w sprawie składu oraz oznakowania suplementów diety (Dz. U. z 2015 r. poz. 2032);</w:t>
      </w:r>
    </w:p>
    <w:p w14:paraId="23085C66"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r., s. 18,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12CD824F"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(WE) Nr 1924/2006 Parlamentu Europejskiego i Rady w sprawie oświadczeń żywieniowych i zdrowotnych dotyczących żywności (sprostowanie Dz. U. UE. L. 12 z 18.01.07. s. 3);</w:t>
      </w:r>
    </w:p>
    <w:p w14:paraId="710CCE96"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Komisji (UE) nr 432/2012 z dnia 16 maja 2012 r. ustanawiające wykaz dopuszczonych oświadczeń zdrowotnych dotyczących żywności, innych niż oświadczenia odnoszące się do zmniejszenia ryzyka choroby oraz rozwoju i zdrowia dzieci (Dz. Urz. UE L 136 z 25.05.2012 r. str. 1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135E520C"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lastRenderedPageBreak/>
        <w:t>rozporządzenie Parlamentu Europejskiego i Rady (WE) Nr 1333/2008 z dnia 16 grudnia 2008 r. w sprawie dodatków do żywności (Dz. U. L 354 z 31.12.2008, s. 16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247E4C16"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Parlamentu Europejskiego i Rady (WE) nr 1334/2008 z dnia 16 grudnia 2008 r. w sprawie środków aromatyzujących i niektórych składników żywności o właściwościach aromatyzujących do użycia w oraz na środkach spożywczych oraz zmieniające rozporządzenie Rady (EWG) nr 1601/91, rozporządzenia (WE) nr 2232/96 oraz (WE) nr 110/2008 oraz dyrektywę 2000/13/WE (Dz. U. L 354 z 31.12.2008, s. 34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1C39A489"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 UE L. 31 z 01.02.2002 r. str. 1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6A69EC9D" w14:textId="77777777" w:rsidR="00B6500B" w:rsidRPr="00A210B0" w:rsidRDefault="00B6500B" w:rsidP="00820087">
      <w:pPr>
        <w:numPr>
          <w:ilvl w:val="0"/>
          <w:numId w:val="8"/>
        </w:numPr>
        <w:shd w:val="clear" w:color="auto" w:fill="FFFFFF"/>
        <w:spacing w:before="100" w:beforeAutospacing="1" w:after="100" w:afterAutospacing="1" w:line="360" w:lineRule="auto"/>
        <w:ind w:left="495"/>
        <w:jc w:val="both"/>
        <w:rPr>
          <w:rFonts w:ascii="Arial" w:eastAsia="Times New Roman" w:hAnsi="Arial" w:cs="Arial"/>
          <w:color w:val="000000" w:themeColor="text1"/>
          <w:sz w:val="24"/>
          <w:szCs w:val="24"/>
          <w:lang w:eastAsia="pl-PL"/>
        </w:rPr>
      </w:pPr>
      <w:r w:rsidRPr="00A210B0">
        <w:rPr>
          <w:rFonts w:ascii="Arial" w:eastAsia="Times New Roman" w:hAnsi="Arial" w:cs="Arial"/>
          <w:color w:val="000000" w:themeColor="text1"/>
          <w:sz w:val="24"/>
          <w:szCs w:val="24"/>
          <w:lang w:eastAsia="pl-PL"/>
        </w:rPr>
        <w:t>rozporządzenie Komisji (WE) nr 1881/2006 z dnia 19 grudnia 2006 r. ustalające najwyższe dopuszczalne poziomy niektórych zanieczyszczeń w środkach spożywczych (Dz. U. z 2006 r., L. 364 z </w:t>
      </w:r>
      <w:proofErr w:type="spellStart"/>
      <w:r w:rsidRPr="00A210B0">
        <w:rPr>
          <w:rFonts w:ascii="Arial" w:eastAsia="Times New Roman" w:hAnsi="Arial" w:cs="Arial"/>
          <w:color w:val="000000" w:themeColor="text1"/>
          <w:sz w:val="24"/>
          <w:szCs w:val="24"/>
          <w:lang w:eastAsia="pl-PL"/>
        </w:rPr>
        <w:t>późn</w:t>
      </w:r>
      <w:proofErr w:type="spellEnd"/>
      <w:r w:rsidRPr="00A210B0">
        <w:rPr>
          <w:rFonts w:ascii="Arial" w:eastAsia="Times New Roman" w:hAnsi="Arial" w:cs="Arial"/>
          <w:color w:val="000000" w:themeColor="text1"/>
          <w:sz w:val="24"/>
          <w:szCs w:val="24"/>
          <w:lang w:eastAsia="pl-PL"/>
        </w:rPr>
        <w:t>. zm.).</w:t>
      </w:r>
    </w:p>
    <w:p w14:paraId="7CA742DC" w14:textId="77777777" w:rsidR="00B6500B" w:rsidRPr="00A210B0" w:rsidRDefault="00B6500B" w:rsidP="00820087">
      <w:pPr>
        <w:spacing w:line="360" w:lineRule="auto"/>
        <w:jc w:val="both"/>
        <w:rPr>
          <w:rFonts w:ascii="Arial" w:hAnsi="Arial" w:cs="Arial"/>
          <w:color w:val="000000" w:themeColor="text1"/>
          <w:sz w:val="24"/>
          <w:szCs w:val="24"/>
        </w:rPr>
      </w:pPr>
    </w:p>
    <w:p w14:paraId="37BCED7B" w14:textId="77777777" w:rsidR="00F77F4A" w:rsidRPr="00A210B0" w:rsidRDefault="00F77F4A" w:rsidP="00820087">
      <w:pPr>
        <w:spacing w:line="360" w:lineRule="auto"/>
        <w:jc w:val="both"/>
        <w:rPr>
          <w:rFonts w:ascii="Arial" w:hAnsi="Arial" w:cs="Arial"/>
          <w:color w:val="000000" w:themeColor="text1"/>
          <w:sz w:val="24"/>
          <w:szCs w:val="24"/>
        </w:rPr>
      </w:pPr>
    </w:p>
    <w:sectPr w:rsidR="00F77F4A" w:rsidRPr="00A21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006D"/>
    <w:multiLevelType w:val="multilevel"/>
    <w:tmpl w:val="164C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B2C1A"/>
    <w:multiLevelType w:val="multilevel"/>
    <w:tmpl w:val="5A3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068AC"/>
    <w:multiLevelType w:val="multilevel"/>
    <w:tmpl w:val="CC4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6612A"/>
    <w:multiLevelType w:val="multilevel"/>
    <w:tmpl w:val="9FFC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044C3"/>
    <w:multiLevelType w:val="multilevel"/>
    <w:tmpl w:val="491C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6B4B71"/>
    <w:multiLevelType w:val="multilevel"/>
    <w:tmpl w:val="DC8A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80403"/>
    <w:multiLevelType w:val="multilevel"/>
    <w:tmpl w:val="23F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569A8"/>
    <w:multiLevelType w:val="multilevel"/>
    <w:tmpl w:val="3792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89892">
    <w:abstractNumId w:val="5"/>
  </w:num>
  <w:num w:numId="2" w16cid:durableId="5522116">
    <w:abstractNumId w:val="7"/>
  </w:num>
  <w:num w:numId="3" w16cid:durableId="1577088600">
    <w:abstractNumId w:val="0"/>
  </w:num>
  <w:num w:numId="4" w16cid:durableId="1672366240">
    <w:abstractNumId w:val="3"/>
  </w:num>
  <w:num w:numId="5" w16cid:durableId="708796056">
    <w:abstractNumId w:val="6"/>
  </w:num>
  <w:num w:numId="6" w16cid:durableId="1108770297">
    <w:abstractNumId w:val="2"/>
  </w:num>
  <w:num w:numId="7" w16cid:durableId="1738892946">
    <w:abstractNumId w:val="1"/>
  </w:num>
  <w:num w:numId="8" w16cid:durableId="1117406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3F2"/>
    <w:rsid w:val="000A0EB9"/>
    <w:rsid w:val="0029637C"/>
    <w:rsid w:val="00386F67"/>
    <w:rsid w:val="00431EC6"/>
    <w:rsid w:val="005D7C35"/>
    <w:rsid w:val="00741C54"/>
    <w:rsid w:val="007824FD"/>
    <w:rsid w:val="00820087"/>
    <w:rsid w:val="00826B8E"/>
    <w:rsid w:val="009903F2"/>
    <w:rsid w:val="00A210B0"/>
    <w:rsid w:val="00A27442"/>
    <w:rsid w:val="00B6500B"/>
    <w:rsid w:val="00B71404"/>
    <w:rsid w:val="00CD7338"/>
    <w:rsid w:val="00CF3190"/>
    <w:rsid w:val="00D44942"/>
    <w:rsid w:val="00F77F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82A6"/>
  <w15:docId w15:val="{D3F9ADFD-9DCB-441D-8C4D-B7BE9C27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8665">
      <w:bodyDiv w:val="1"/>
      <w:marLeft w:val="0"/>
      <w:marRight w:val="0"/>
      <w:marTop w:val="0"/>
      <w:marBottom w:val="0"/>
      <w:divBdr>
        <w:top w:val="none" w:sz="0" w:space="0" w:color="auto"/>
        <w:left w:val="none" w:sz="0" w:space="0" w:color="auto"/>
        <w:bottom w:val="none" w:sz="0" w:space="0" w:color="auto"/>
        <w:right w:val="none" w:sz="0" w:space="0" w:color="auto"/>
      </w:divBdr>
      <w:divsChild>
        <w:div w:id="712458182">
          <w:marLeft w:val="0"/>
          <w:marRight w:val="0"/>
          <w:marTop w:val="0"/>
          <w:marBottom w:val="0"/>
          <w:divBdr>
            <w:top w:val="none" w:sz="0" w:space="0" w:color="auto"/>
            <w:left w:val="none" w:sz="0" w:space="0" w:color="auto"/>
            <w:bottom w:val="none" w:sz="0" w:space="0" w:color="auto"/>
            <w:right w:val="none" w:sz="0" w:space="0" w:color="auto"/>
          </w:divBdr>
          <w:divsChild>
            <w:div w:id="13581647">
              <w:marLeft w:val="0"/>
              <w:marRight w:val="0"/>
              <w:marTop w:val="0"/>
              <w:marBottom w:val="0"/>
              <w:divBdr>
                <w:top w:val="none" w:sz="0" w:space="0" w:color="auto"/>
                <w:left w:val="none" w:sz="0" w:space="0" w:color="auto"/>
                <w:bottom w:val="none" w:sz="0" w:space="0" w:color="auto"/>
                <w:right w:val="none" w:sz="0" w:space="0" w:color="auto"/>
              </w:divBdr>
              <w:divsChild>
                <w:div w:id="1815028121">
                  <w:marLeft w:val="0"/>
                  <w:marRight w:val="0"/>
                  <w:marTop w:val="225"/>
                  <w:marBottom w:val="0"/>
                  <w:divBdr>
                    <w:top w:val="none" w:sz="0" w:space="0" w:color="auto"/>
                    <w:left w:val="none" w:sz="0" w:space="0" w:color="auto"/>
                    <w:bottom w:val="none" w:sz="0" w:space="0" w:color="auto"/>
                    <w:right w:val="none" w:sz="0" w:space="0" w:color="auto"/>
                  </w:divBdr>
                  <w:divsChild>
                    <w:div w:id="1657487100">
                      <w:marLeft w:val="0"/>
                      <w:marRight w:val="0"/>
                      <w:marTop w:val="0"/>
                      <w:marBottom w:val="0"/>
                      <w:divBdr>
                        <w:top w:val="none" w:sz="0" w:space="0" w:color="auto"/>
                        <w:left w:val="none" w:sz="0" w:space="0" w:color="auto"/>
                        <w:bottom w:val="none" w:sz="0" w:space="0" w:color="auto"/>
                        <w:right w:val="none" w:sz="0" w:space="0" w:color="auto"/>
                      </w:divBdr>
                      <w:divsChild>
                        <w:div w:id="138890425">
                          <w:marLeft w:val="-225"/>
                          <w:marRight w:val="-225"/>
                          <w:marTop w:val="0"/>
                          <w:marBottom w:val="0"/>
                          <w:divBdr>
                            <w:top w:val="none" w:sz="0" w:space="0" w:color="auto"/>
                            <w:left w:val="none" w:sz="0" w:space="0" w:color="auto"/>
                            <w:bottom w:val="none" w:sz="0" w:space="0" w:color="auto"/>
                            <w:right w:val="none" w:sz="0" w:space="0" w:color="auto"/>
                          </w:divBdr>
                          <w:divsChild>
                            <w:div w:id="1626079592">
                              <w:marLeft w:val="0"/>
                              <w:marRight w:val="0"/>
                              <w:marTop w:val="0"/>
                              <w:marBottom w:val="0"/>
                              <w:divBdr>
                                <w:top w:val="none" w:sz="0" w:space="0" w:color="auto"/>
                                <w:left w:val="none" w:sz="0" w:space="0" w:color="auto"/>
                                <w:bottom w:val="none" w:sz="0" w:space="0" w:color="auto"/>
                                <w:right w:val="none" w:sz="0" w:space="0" w:color="auto"/>
                              </w:divBdr>
                              <w:divsChild>
                                <w:div w:id="1194461454">
                                  <w:marLeft w:val="0"/>
                                  <w:marRight w:val="0"/>
                                  <w:marTop w:val="420"/>
                                  <w:marBottom w:val="210"/>
                                  <w:divBdr>
                                    <w:top w:val="none" w:sz="0" w:space="0" w:color="auto"/>
                                    <w:left w:val="none" w:sz="0" w:space="0" w:color="auto"/>
                                    <w:bottom w:val="single" w:sz="6" w:space="5" w:color="EEEEEE"/>
                                    <w:right w:val="none" w:sz="0" w:space="0" w:color="auto"/>
                                  </w:divBdr>
                                </w:div>
                                <w:div w:id="240676214">
                                  <w:marLeft w:val="0"/>
                                  <w:marRight w:val="0"/>
                                  <w:marTop w:val="0"/>
                                  <w:marBottom w:val="0"/>
                                  <w:divBdr>
                                    <w:top w:val="none" w:sz="0" w:space="0" w:color="auto"/>
                                    <w:left w:val="none" w:sz="0" w:space="0" w:color="auto"/>
                                    <w:bottom w:val="none" w:sz="0" w:space="0" w:color="auto"/>
                                    <w:right w:val="none" w:sz="0" w:space="0" w:color="auto"/>
                                  </w:divBdr>
                                  <w:divsChild>
                                    <w:div w:id="1203640205">
                                      <w:marLeft w:val="0"/>
                                      <w:marRight w:val="0"/>
                                      <w:marTop w:val="0"/>
                                      <w:marBottom w:val="0"/>
                                      <w:divBdr>
                                        <w:top w:val="none" w:sz="0" w:space="0" w:color="auto"/>
                                        <w:left w:val="none" w:sz="0" w:space="0" w:color="auto"/>
                                        <w:bottom w:val="none" w:sz="0" w:space="0" w:color="auto"/>
                                        <w:right w:val="none" w:sz="0" w:space="0" w:color="auto"/>
                                      </w:divBdr>
                                    </w:div>
                                  </w:divsChild>
                                </w:div>
                                <w:div w:id="16938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895206">
      <w:bodyDiv w:val="1"/>
      <w:marLeft w:val="0"/>
      <w:marRight w:val="0"/>
      <w:marTop w:val="0"/>
      <w:marBottom w:val="0"/>
      <w:divBdr>
        <w:top w:val="none" w:sz="0" w:space="0" w:color="auto"/>
        <w:left w:val="none" w:sz="0" w:space="0" w:color="auto"/>
        <w:bottom w:val="none" w:sz="0" w:space="0" w:color="auto"/>
        <w:right w:val="none" w:sz="0" w:space="0" w:color="auto"/>
      </w:divBdr>
      <w:divsChild>
        <w:div w:id="292444427">
          <w:marLeft w:val="0"/>
          <w:marRight w:val="0"/>
          <w:marTop w:val="0"/>
          <w:marBottom w:val="0"/>
          <w:divBdr>
            <w:top w:val="none" w:sz="0" w:space="0" w:color="auto"/>
            <w:left w:val="none" w:sz="0" w:space="0" w:color="auto"/>
            <w:bottom w:val="none" w:sz="0" w:space="0" w:color="auto"/>
            <w:right w:val="none" w:sz="0" w:space="0" w:color="auto"/>
          </w:divBdr>
          <w:divsChild>
            <w:div w:id="1940915291">
              <w:marLeft w:val="0"/>
              <w:marRight w:val="0"/>
              <w:marTop w:val="0"/>
              <w:marBottom w:val="0"/>
              <w:divBdr>
                <w:top w:val="none" w:sz="0" w:space="0" w:color="auto"/>
                <w:left w:val="none" w:sz="0" w:space="0" w:color="auto"/>
                <w:bottom w:val="none" w:sz="0" w:space="0" w:color="auto"/>
                <w:right w:val="none" w:sz="0" w:space="0" w:color="auto"/>
              </w:divBdr>
              <w:divsChild>
                <w:div w:id="2024093476">
                  <w:marLeft w:val="0"/>
                  <w:marRight w:val="0"/>
                  <w:marTop w:val="225"/>
                  <w:marBottom w:val="0"/>
                  <w:divBdr>
                    <w:top w:val="none" w:sz="0" w:space="0" w:color="auto"/>
                    <w:left w:val="none" w:sz="0" w:space="0" w:color="auto"/>
                    <w:bottom w:val="none" w:sz="0" w:space="0" w:color="auto"/>
                    <w:right w:val="none" w:sz="0" w:space="0" w:color="auto"/>
                  </w:divBdr>
                  <w:divsChild>
                    <w:div w:id="1847595516">
                      <w:marLeft w:val="0"/>
                      <w:marRight w:val="0"/>
                      <w:marTop w:val="0"/>
                      <w:marBottom w:val="0"/>
                      <w:divBdr>
                        <w:top w:val="none" w:sz="0" w:space="0" w:color="auto"/>
                        <w:left w:val="none" w:sz="0" w:space="0" w:color="auto"/>
                        <w:bottom w:val="none" w:sz="0" w:space="0" w:color="auto"/>
                        <w:right w:val="none" w:sz="0" w:space="0" w:color="auto"/>
                      </w:divBdr>
                      <w:divsChild>
                        <w:div w:id="1405101738">
                          <w:marLeft w:val="-225"/>
                          <w:marRight w:val="-225"/>
                          <w:marTop w:val="0"/>
                          <w:marBottom w:val="0"/>
                          <w:divBdr>
                            <w:top w:val="none" w:sz="0" w:space="0" w:color="auto"/>
                            <w:left w:val="none" w:sz="0" w:space="0" w:color="auto"/>
                            <w:bottom w:val="none" w:sz="0" w:space="0" w:color="auto"/>
                            <w:right w:val="none" w:sz="0" w:space="0" w:color="auto"/>
                          </w:divBdr>
                          <w:divsChild>
                            <w:div w:id="1844663774">
                              <w:marLeft w:val="0"/>
                              <w:marRight w:val="0"/>
                              <w:marTop w:val="0"/>
                              <w:marBottom w:val="0"/>
                              <w:divBdr>
                                <w:top w:val="none" w:sz="0" w:space="0" w:color="auto"/>
                                <w:left w:val="none" w:sz="0" w:space="0" w:color="auto"/>
                                <w:bottom w:val="none" w:sz="0" w:space="0" w:color="auto"/>
                                <w:right w:val="none" w:sz="0" w:space="0" w:color="auto"/>
                              </w:divBdr>
                              <w:divsChild>
                                <w:div w:id="671448763">
                                  <w:marLeft w:val="0"/>
                                  <w:marRight w:val="0"/>
                                  <w:marTop w:val="420"/>
                                  <w:marBottom w:val="210"/>
                                  <w:divBdr>
                                    <w:top w:val="none" w:sz="0" w:space="0" w:color="auto"/>
                                    <w:left w:val="none" w:sz="0" w:space="0" w:color="auto"/>
                                    <w:bottom w:val="single" w:sz="6" w:space="5" w:color="EEEEEE"/>
                                    <w:right w:val="none" w:sz="0" w:space="0" w:color="auto"/>
                                  </w:divBdr>
                                </w:div>
                                <w:div w:id="280187954">
                                  <w:marLeft w:val="0"/>
                                  <w:marRight w:val="0"/>
                                  <w:marTop w:val="0"/>
                                  <w:marBottom w:val="0"/>
                                  <w:divBdr>
                                    <w:top w:val="none" w:sz="0" w:space="0" w:color="auto"/>
                                    <w:left w:val="none" w:sz="0" w:space="0" w:color="auto"/>
                                    <w:bottom w:val="none" w:sz="0" w:space="0" w:color="auto"/>
                                    <w:right w:val="none" w:sz="0" w:space="0" w:color="auto"/>
                                  </w:divBdr>
                                  <w:divsChild>
                                    <w:div w:id="1492065092">
                                      <w:marLeft w:val="0"/>
                                      <w:marRight w:val="0"/>
                                      <w:marTop w:val="0"/>
                                      <w:marBottom w:val="0"/>
                                      <w:divBdr>
                                        <w:top w:val="none" w:sz="0" w:space="0" w:color="auto"/>
                                        <w:left w:val="none" w:sz="0" w:space="0" w:color="auto"/>
                                        <w:bottom w:val="none" w:sz="0" w:space="0" w:color="auto"/>
                                        <w:right w:val="none" w:sz="0" w:space="0" w:color="auto"/>
                                      </w:divBdr>
                                    </w:div>
                                  </w:divsChild>
                                </w:div>
                                <w:div w:id="184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99755">
      <w:bodyDiv w:val="1"/>
      <w:marLeft w:val="0"/>
      <w:marRight w:val="0"/>
      <w:marTop w:val="0"/>
      <w:marBottom w:val="0"/>
      <w:divBdr>
        <w:top w:val="none" w:sz="0" w:space="0" w:color="auto"/>
        <w:left w:val="none" w:sz="0" w:space="0" w:color="auto"/>
        <w:bottom w:val="none" w:sz="0" w:space="0" w:color="auto"/>
        <w:right w:val="none" w:sz="0" w:space="0" w:color="auto"/>
      </w:divBdr>
      <w:divsChild>
        <w:div w:id="990867709">
          <w:marLeft w:val="0"/>
          <w:marRight w:val="0"/>
          <w:marTop w:val="0"/>
          <w:marBottom w:val="0"/>
          <w:divBdr>
            <w:top w:val="none" w:sz="0" w:space="0" w:color="auto"/>
            <w:left w:val="none" w:sz="0" w:space="0" w:color="auto"/>
            <w:bottom w:val="none" w:sz="0" w:space="0" w:color="auto"/>
            <w:right w:val="none" w:sz="0" w:space="0" w:color="auto"/>
          </w:divBdr>
          <w:divsChild>
            <w:div w:id="1780954421">
              <w:marLeft w:val="0"/>
              <w:marRight w:val="0"/>
              <w:marTop w:val="0"/>
              <w:marBottom w:val="0"/>
              <w:divBdr>
                <w:top w:val="none" w:sz="0" w:space="0" w:color="auto"/>
                <w:left w:val="none" w:sz="0" w:space="0" w:color="auto"/>
                <w:bottom w:val="none" w:sz="0" w:space="0" w:color="auto"/>
                <w:right w:val="none" w:sz="0" w:space="0" w:color="auto"/>
              </w:divBdr>
              <w:divsChild>
                <w:div w:id="813059220">
                  <w:marLeft w:val="0"/>
                  <w:marRight w:val="0"/>
                  <w:marTop w:val="225"/>
                  <w:marBottom w:val="0"/>
                  <w:divBdr>
                    <w:top w:val="none" w:sz="0" w:space="0" w:color="auto"/>
                    <w:left w:val="none" w:sz="0" w:space="0" w:color="auto"/>
                    <w:bottom w:val="none" w:sz="0" w:space="0" w:color="auto"/>
                    <w:right w:val="none" w:sz="0" w:space="0" w:color="auto"/>
                  </w:divBdr>
                  <w:divsChild>
                    <w:div w:id="303581734">
                      <w:marLeft w:val="0"/>
                      <w:marRight w:val="0"/>
                      <w:marTop w:val="0"/>
                      <w:marBottom w:val="0"/>
                      <w:divBdr>
                        <w:top w:val="none" w:sz="0" w:space="0" w:color="auto"/>
                        <w:left w:val="none" w:sz="0" w:space="0" w:color="auto"/>
                        <w:bottom w:val="none" w:sz="0" w:space="0" w:color="auto"/>
                        <w:right w:val="none" w:sz="0" w:space="0" w:color="auto"/>
                      </w:divBdr>
                      <w:divsChild>
                        <w:div w:id="1542863062">
                          <w:marLeft w:val="-225"/>
                          <w:marRight w:val="-225"/>
                          <w:marTop w:val="0"/>
                          <w:marBottom w:val="0"/>
                          <w:divBdr>
                            <w:top w:val="none" w:sz="0" w:space="0" w:color="auto"/>
                            <w:left w:val="none" w:sz="0" w:space="0" w:color="auto"/>
                            <w:bottom w:val="none" w:sz="0" w:space="0" w:color="auto"/>
                            <w:right w:val="none" w:sz="0" w:space="0" w:color="auto"/>
                          </w:divBdr>
                          <w:divsChild>
                            <w:div w:id="1459836790">
                              <w:marLeft w:val="0"/>
                              <w:marRight w:val="0"/>
                              <w:marTop w:val="0"/>
                              <w:marBottom w:val="0"/>
                              <w:divBdr>
                                <w:top w:val="none" w:sz="0" w:space="0" w:color="auto"/>
                                <w:left w:val="none" w:sz="0" w:space="0" w:color="auto"/>
                                <w:bottom w:val="none" w:sz="0" w:space="0" w:color="auto"/>
                                <w:right w:val="none" w:sz="0" w:space="0" w:color="auto"/>
                              </w:divBdr>
                              <w:divsChild>
                                <w:div w:id="150173911">
                                  <w:marLeft w:val="0"/>
                                  <w:marRight w:val="0"/>
                                  <w:marTop w:val="420"/>
                                  <w:marBottom w:val="210"/>
                                  <w:divBdr>
                                    <w:top w:val="none" w:sz="0" w:space="0" w:color="auto"/>
                                    <w:left w:val="none" w:sz="0" w:space="0" w:color="auto"/>
                                    <w:bottom w:val="single" w:sz="6" w:space="5" w:color="EEEEEE"/>
                                    <w:right w:val="none" w:sz="0" w:space="0" w:color="auto"/>
                                  </w:divBdr>
                                </w:div>
                                <w:div w:id="86968115">
                                  <w:marLeft w:val="0"/>
                                  <w:marRight w:val="0"/>
                                  <w:marTop w:val="0"/>
                                  <w:marBottom w:val="0"/>
                                  <w:divBdr>
                                    <w:top w:val="none" w:sz="0" w:space="0" w:color="auto"/>
                                    <w:left w:val="none" w:sz="0" w:space="0" w:color="auto"/>
                                    <w:bottom w:val="none" w:sz="0" w:space="0" w:color="auto"/>
                                    <w:right w:val="none" w:sz="0" w:space="0" w:color="auto"/>
                                  </w:divBdr>
                                  <w:divsChild>
                                    <w:div w:id="2050644391">
                                      <w:marLeft w:val="0"/>
                                      <w:marRight w:val="0"/>
                                      <w:marTop w:val="0"/>
                                      <w:marBottom w:val="0"/>
                                      <w:divBdr>
                                        <w:top w:val="none" w:sz="0" w:space="0" w:color="auto"/>
                                        <w:left w:val="none" w:sz="0" w:space="0" w:color="auto"/>
                                        <w:bottom w:val="none" w:sz="0" w:space="0" w:color="auto"/>
                                        <w:right w:val="none" w:sz="0" w:space="0" w:color="auto"/>
                                      </w:divBdr>
                                    </w:div>
                                  </w:divsChild>
                                </w:div>
                                <w:div w:id="5248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353337">
      <w:bodyDiv w:val="1"/>
      <w:marLeft w:val="0"/>
      <w:marRight w:val="0"/>
      <w:marTop w:val="0"/>
      <w:marBottom w:val="0"/>
      <w:divBdr>
        <w:top w:val="none" w:sz="0" w:space="0" w:color="auto"/>
        <w:left w:val="none" w:sz="0" w:space="0" w:color="auto"/>
        <w:bottom w:val="none" w:sz="0" w:space="0" w:color="auto"/>
        <w:right w:val="none" w:sz="0" w:space="0" w:color="auto"/>
      </w:divBdr>
      <w:divsChild>
        <w:div w:id="1578635274">
          <w:marLeft w:val="0"/>
          <w:marRight w:val="0"/>
          <w:marTop w:val="0"/>
          <w:marBottom w:val="0"/>
          <w:divBdr>
            <w:top w:val="none" w:sz="0" w:space="0" w:color="auto"/>
            <w:left w:val="none" w:sz="0" w:space="0" w:color="auto"/>
            <w:bottom w:val="none" w:sz="0" w:space="0" w:color="auto"/>
            <w:right w:val="none" w:sz="0" w:space="0" w:color="auto"/>
          </w:divBdr>
          <w:divsChild>
            <w:div w:id="2068868259">
              <w:marLeft w:val="0"/>
              <w:marRight w:val="0"/>
              <w:marTop w:val="0"/>
              <w:marBottom w:val="0"/>
              <w:divBdr>
                <w:top w:val="none" w:sz="0" w:space="0" w:color="auto"/>
                <w:left w:val="none" w:sz="0" w:space="0" w:color="auto"/>
                <w:bottom w:val="none" w:sz="0" w:space="0" w:color="auto"/>
                <w:right w:val="none" w:sz="0" w:space="0" w:color="auto"/>
              </w:divBdr>
              <w:divsChild>
                <w:div w:id="6056350">
                  <w:marLeft w:val="0"/>
                  <w:marRight w:val="0"/>
                  <w:marTop w:val="225"/>
                  <w:marBottom w:val="0"/>
                  <w:divBdr>
                    <w:top w:val="none" w:sz="0" w:space="0" w:color="auto"/>
                    <w:left w:val="none" w:sz="0" w:space="0" w:color="auto"/>
                    <w:bottom w:val="none" w:sz="0" w:space="0" w:color="auto"/>
                    <w:right w:val="none" w:sz="0" w:space="0" w:color="auto"/>
                  </w:divBdr>
                  <w:divsChild>
                    <w:div w:id="345905360">
                      <w:marLeft w:val="0"/>
                      <w:marRight w:val="0"/>
                      <w:marTop w:val="0"/>
                      <w:marBottom w:val="0"/>
                      <w:divBdr>
                        <w:top w:val="none" w:sz="0" w:space="0" w:color="auto"/>
                        <w:left w:val="none" w:sz="0" w:space="0" w:color="auto"/>
                        <w:bottom w:val="none" w:sz="0" w:space="0" w:color="auto"/>
                        <w:right w:val="none" w:sz="0" w:space="0" w:color="auto"/>
                      </w:divBdr>
                      <w:divsChild>
                        <w:div w:id="2031833628">
                          <w:marLeft w:val="-225"/>
                          <w:marRight w:val="-225"/>
                          <w:marTop w:val="0"/>
                          <w:marBottom w:val="0"/>
                          <w:divBdr>
                            <w:top w:val="none" w:sz="0" w:space="0" w:color="auto"/>
                            <w:left w:val="none" w:sz="0" w:space="0" w:color="auto"/>
                            <w:bottom w:val="none" w:sz="0" w:space="0" w:color="auto"/>
                            <w:right w:val="none" w:sz="0" w:space="0" w:color="auto"/>
                          </w:divBdr>
                          <w:divsChild>
                            <w:div w:id="673579568">
                              <w:marLeft w:val="0"/>
                              <w:marRight w:val="0"/>
                              <w:marTop w:val="0"/>
                              <w:marBottom w:val="0"/>
                              <w:divBdr>
                                <w:top w:val="none" w:sz="0" w:space="0" w:color="auto"/>
                                <w:left w:val="none" w:sz="0" w:space="0" w:color="auto"/>
                                <w:bottom w:val="none" w:sz="0" w:space="0" w:color="auto"/>
                                <w:right w:val="none" w:sz="0" w:space="0" w:color="auto"/>
                              </w:divBdr>
                              <w:divsChild>
                                <w:div w:id="2060666237">
                                  <w:marLeft w:val="0"/>
                                  <w:marRight w:val="0"/>
                                  <w:marTop w:val="420"/>
                                  <w:marBottom w:val="210"/>
                                  <w:divBdr>
                                    <w:top w:val="none" w:sz="0" w:space="0" w:color="auto"/>
                                    <w:left w:val="none" w:sz="0" w:space="0" w:color="auto"/>
                                    <w:bottom w:val="single" w:sz="6" w:space="5" w:color="EEEEEE"/>
                                    <w:right w:val="none" w:sz="0" w:space="0" w:color="auto"/>
                                  </w:divBdr>
                                </w:div>
                                <w:div w:id="189881955">
                                  <w:marLeft w:val="0"/>
                                  <w:marRight w:val="0"/>
                                  <w:marTop w:val="0"/>
                                  <w:marBottom w:val="0"/>
                                  <w:divBdr>
                                    <w:top w:val="none" w:sz="0" w:space="0" w:color="auto"/>
                                    <w:left w:val="none" w:sz="0" w:space="0" w:color="auto"/>
                                    <w:bottom w:val="none" w:sz="0" w:space="0" w:color="auto"/>
                                    <w:right w:val="none" w:sz="0" w:space="0" w:color="auto"/>
                                  </w:divBdr>
                                  <w:divsChild>
                                    <w:div w:id="1716663864">
                                      <w:marLeft w:val="0"/>
                                      <w:marRight w:val="0"/>
                                      <w:marTop w:val="0"/>
                                      <w:marBottom w:val="0"/>
                                      <w:divBdr>
                                        <w:top w:val="none" w:sz="0" w:space="0" w:color="auto"/>
                                        <w:left w:val="none" w:sz="0" w:space="0" w:color="auto"/>
                                        <w:bottom w:val="none" w:sz="0" w:space="0" w:color="auto"/>
                                        <w:right w:val="none" w:sz="0" w:space="0" w:color="auto"/>
                                      </w:divBdr>
                                    </w:div>
                                  </w:divsChild>
                                </w:div>
                                <w:div w:id="5718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zywnosc/suplementy-diety-zywnosc-wzbogacana-i-specjalnego-przeznaczenia/wymagania-szczegolowe/71-suplementow-diety?tmpl=component&amp;print=1" TargetMode="External"/><Relationship Id="rId3" Type="http://schemas.openxmlformats.org/officeDocument/2006/relationships/settings" Target="settings.xml"/><Relationship Id="rId7" Type="http://schemas.openxmlformats.org/officeDocument/2006/relationships/hyperlink" Target="https://gis.gov.pl/zywnosc/suplementy-diety-zywnosc-wzbogacana-i-specjalnego-przeznaczenia/wymagania-szczegolowe/72-zywnosci-specjalnego-przeznaczenia?tmpl=component&amp;pri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gov.pl/zywnosc/suplementy-diety-zywnosc-wzbogacana-i-specjalnego-przeznaczenia/wymagania-szczegolowe/73-zywnosci-wzbogacanej?tmpl=component&amp;print=1" TargetMode="External"/><Relationship Id="rId5" Type="http://schemas.openxmlformats.org/officeDocument/2006/relationships/hyperlink" Target="https://gis.gov.pl/zywnosc/suplementy-diety-zywnosc-wzbogacana-i-specjalnego-przeznaczenia/wymagania-ogolne?tmpl=component&amp;print=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4032</Words>
  <Characters>24192</Characters>
  <Application>Microsoft Office Word</Application>
  <DocSecurity>0</DocSecurity>
  <Lines>201</Lines>
  <Paragraphs>56</Paragraphs>
  <ScaleCrop>false</ScaleCrop>
  <HeadingPairs>
    <vt:vector size="4" baseType="variant">
      <vt:variant>
        <vt:lpstr>Tytuł</vt:lpstr>
      </vt:variant>
      <vt:variant>
        <vt:i4>1</vt:i4>
      </vt:variant>
      <vt:variant>
        <vt:lpstr>Nagłówki</vt:lpstr>
      </vt:variant>
      <vt:variant>
        <vt:i4>4</vt:i4>
      </vt:variant>
    </vt:vector>
  </HeadingPairs>
  <TitlesOfParts>
    <vt:vector size="5" baseType="lpstr">
      <vt:lpstr/>
      <vt:lpstr>    Wymagania ogólne</vt:lpstr>
      <vt:lpstr>    Żywność wzbogacana </vt:lpstr>
      <vt:lpstr>    Żywność specjalnego przeznaczenia </vt:lpstr>
      <vt:lpstr>    Suplementy diety </vt:lpstr>
    </vt:vector>
  </TitlesOfParts>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HŻ</dc:creator>
  <cp:keywords/>
  <dc:description/>
  <cp:lastModifiedBy>PSSE Zawiercie - Dorota Pala</cp:lastModifiedBy>
  <cp:revision>19</cp:revision>
  <dcterms:created xsi:type="dcterms:W3CDTF">2018-03-12T12:13:00Z</dcterms:created>
  <dcterms:modified xsi:type="dcterms:W3CDTF">2023-05-29T10:26:00Z</dcterms:modified>
</cp:coreProperties>
</file>