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46924276"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60909F57"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4E4F5D">
        <w:rPr>
          <w:rFonts w:eastAsia="Lucida Sans Unicode" w:cstheme="minorHAnsi"/>
          <w:bCs/>
          <w:kern w:val="28"/>
          <w:sz w:val="24"/>
          <w:szCs w:val="24"/>
        </w:rPr>
        <w:t>16.2024.MK.51</w:t>
      </w:r>
    </w:p>
    <w:p w14:paraId="633219AB" w14:textId="14F5378F"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155A5C">
        <w:rPr>
          <w:rFonts w:eastAsia="Lucida Sans Unicode" w:cstheme="minorHAnsi"/>
          <w:bCs/>
          <w:kern w:val="28"/>
          <w:sz w:val="24"/>
          <w:szCs w:val="24"/>
        </w:rPr>
        <w:t>30 lipca</w:t>
      </w:r>
      <w:r w:rsidR="00E25E5A">
        <w:rPr>
          <w:rFonts w:eastAsia="Lucida Sans Unicode" w:cstheme="minorHAnsi"/>
          <w:bCs/>
          <w:kern w:val="28"/>
          <w:sz w:val="24"/>
          <w:szCs w:val="24"/>
        </w:rPr>
        <w:t xml:space="preserve"> 2026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63A1771A" w14:textId="77777777" w:rsidR="004E4F5D" w:rsidRPr="004E4F5D" w:rsidRDefault="00E25E5A" w:rsidP="004E4F5D">
      <w:pPr>
        <w:spacing w:after="0" w:line="360" w:lineRule="auto"/>
        <w:rPr>
          <w:sz w:val="24"/>
          <w:szCs w:val="24"/>
          <w:lang w:eastAsia="zh-CN" w:bidi="hi-IN"/>
        </w:rPr>
      </w:pPr>
      <w:r w:rsidRPr="00E25E5A">
        <w:rPr>
          <w:sz w:val="24"/>
          <w:szCs w:val="24"/>
          <w:lang w:eastAsia="zh-CN" w:bidi="hi-IN"/>
        </w:rPr>
        <w:t xml:space="preserve">Na </w:t>
      </w:r>
      <w:r w:rsidR="004E4F5D" w:rsidRPr="004E4F5D">
        <w:rPr>
          <w:sz w:val="24"/>
          <w:szCs w:val="24"/>
          <w:lang w:eastAsia="zh-CN" w:bidi="hi-IN"/>
        </w:rPr>
        <w:t>podstawie art. 71 ust. 2 pkt 2, art. 75 ust. 1 pkt 1, art. 84 i art. 85 ust. 1 ustawy z dnia</w:t>
      </w:r>
    </w:p>
    <w:p w14:paraId="7E6F134C" w14:textId="7E0A9839" w:rsidR="00FA6BFF" w:rsidRDefault="004E4F5D" w:rsidP="004E4F5D">
      <w:pPr>
        <w:spacing w:after="100" w:afterAutospacing="1" w:line="360" w:lineRule="auto"/>
        <w:rPr>
          <w:sz w:val="24"/>
          <w:szCs w:val="24"/>
          <w:lang w:eastAsia="zh-CN" w:bidi="hi-IN"/>
        </w:rPr>
      </w:pPr>
      <w:r w:rsidRPr="004E4F5D">
        <w:rPr>
          <w:sz w:val="24"/>
          <w:szCs w:val="24"/>
          <w:lang w:eastAsia="zh-CN" w:bidi="hi-IN"/>
        </w:rPr>
        <w:t xml:space="preserve">3 października 2008 r. o udostępnianiu informacji o środowisku i jego ochronie, udziale społeczeństwa w ochronie środowiska oraz o ocenach oddziaływania na środowisko (Dz. U. z 2026 r. poz. 670) oraz § 3 ust. 1 pkt 7 rozporządzenia Rady Ministrów z dnia 10 września 2019 r. w sprawie przedsięwzięć mogących znacząco oddziaływać na środowisko (Dz. U. z 2019 r. poz. 1839, z </w:t>
      </w:r>
      <w:proofErr w:type="spellStart"/>
      <w:r w:rsidRPr="004E4F5D">
        <w:rPr>
          <w:sz w:val="24"/>
          <w:szCs w:val="24"/>
          <w:lang w:eastAsia="zh-CN" w:bidi="hi-IN"/>
        </w:rPr>
        <w:t>późn</w:t>
      </w:r>
      <w:proofErr w:type="spellEnd"/>
      <w:r w:rsidRPr="004E4F5D">
        <w:rPr>
          <w:sz w:val="24"/>
          <w:szCs w:val="24"/>
          <w:lang w:eastAsia="zh-CN" w:bidi="hi-IN"/>
        </w:rPr>
        <w:t xml:space="preserve">. zm.), w związku z art. 104 ustawy z dnia 14 czerwca 1960 r. Kodeks postępowania administracyjnego (Dz. U. z 2025 r. poz. 1691), po rozpatrzeniu wniosku złożonego przez Inwestora ENERGA – OPERATOR S.A., ul. Marynarki Polskiej 130, 80-557 Gdańsk działającego przez pełnomocników, Panią Weronikę Lewicką oraz Panią Magdalenę </w:t>
      </w:r>
      <w:proofErr w:type="spellStart"/>
      <w:r w:rsidRPr="004E4F5D">
        <w:rPr>
          <w:sz w:val="24"/>
          <w:szCs w:val="24"/>
          <w:lang w:eastAsia="zh-CN" w:bidi="hi-IN"/>
        </w:rPr>
        <w:t>Niśkiewicz</w:t>
      </w:r>
      <w:proofErr w:type="spellEnd"/>
      <w:r w:rsidRPr="004E4F5D">
        <w:rPr>
          <w:sz w:val="24"/>
          <w:szCs w:val="24"/>
          <w:lang w:eastAsia="zh-CN" w:bidi="hi-IN"/>
        </w:rPr>
        <w:t xml:space="preserve"> z firmy Orlen Projekt S.A., a także po zasięgnięciu opinii Dyrektora Państwowego Gospodarstwa Wodnego Wody Polskie, Zarządu Zlewni w Elblągu (opinia z 29 października 2024 r., znak: GE.ZZŚ.4901.134.2024) oraz Państwowego Powiatowego Inspektora Sanitarnego w Olsztynie (opinia sanitarna z 20 września 2024 r., znak: ZNS.9022.2.63.2024.EK)</w:t>
      </w:r>
    </w:p>
    <w:p w14:paraId="7FA60CD8" w14:textId="33B5E0A9" w:rsidR="00AA7C36" w:rsidRDefault="00FA6BFF"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w:t>
      </w:r>
      <w:r w:rsidR="00E25E5A">
        <w:rPr>
          <w:rFonts w:asciiTheme="minorHAnsi" w:hAnsiTheme="minorHAnsi" w:cstheme="minorHAnsi"/>
          <w:color w:val="auto"/>
          <w:sz w:val="28"/>
          <w:szCs w:val="28"/>
        </w:rPr>
        <w:t>am</w:t>
      </w:r>
    </w:p>
    <w:p w14:paraId="6A6A2394" w14:textId="77777777" w:rsidR="004E4F5D" w:rsidRDefault="004E4F5D" w:rsidP="004E4F5D">
      <w:pPr>
        <w:pStyle w:val="Akapitzlist"/>
        <w:numPr>
          <w:ilvl w:val="0"/>
          <w:numId w:val="7"/>
        </w:numPr>
        <w:spacing w:after="0" w:line="360" w:lineRule="auto"/>
        <w:rPr>
          <w:rFonts w:ascii="Calibri" w:hAnsi="Calibri" w:cs="Calibri"/>
          <w:sz w:val="24"/>
          <w:szCs w:val="24"/>
        </w:rPr>
      </w:pPr>
      <w:r w:rsidRPr="004E4F5D">
        <w:rPr>
          <w:rFonts w:ascii="Calibri" w:hAnsi="Calibri" w:cs="Calibri"/>
          <w:sz w:val="24"/>
          <w:szCs w:val="24"/>
        </w:rPr>
        <w:t xml:space="preserve">Brak potrzeby przeprowadzenia oceny oddziaływania na środowisko dla przedsięwzięcia pn. Przebudowa napowietrznej linii WN 110 </w:t>
      </w:r>
      <w:proofErr w:type="spellStart"/>
      <w:r w:rsidRPr="004E4F5D">
        <w:rPr>
          <w:rFonts w:ascii="Calibri" w:hAnsi="Calibri" w:cs="Calibri"/>
          <w:sz w:val="24"/>
          <w:szCs w:val="24"/>
        </w:rPr>
        <w:t>kV</w:t>
      </w:r>
      <w:proofErr w:type="spellEnd"/>
      <w:r w:rsidRPr="004E4F5D">
        <w:rPr>
          <w:rFonts w:ascii="Calibri" w:hAnsi="Calibri" w:cs="Calibri"/>
          <w:sz w:val="24"/>
          <w:szCs w:val="24"/>
        </w:rPr>
        <w:t xml:space="preserve"> relacji Olsztyn Mątki – Olsztynek.</w:t>
      </w:r>
    </w:p>
    <w:p w14:paraId="4E4E0C4D" w14:textId="77777777" w:rsidR="004E4F5D" w:rsidRDefault="004E4F5D" w:rsidP="004E4F5D">
      <w:pPr>
        <w:pStyle w:val="Akapitzlist"/>
        <w:numPr>
          <w:ilvl w:val="0"/>
          <w:numId w:val="7"/>
        </w:numPr>
        <w:spacing w:after="0" w:line="360" w:lineRule="auto"/>
        <w:rPr>
          <w:rFonts w:ascii="Calibri" w:hAnsi="Calibri" w:cs="Calibri"/>
          <w:sz w:val="24"/>
          <w:szCs w:val="24"/>
        </w:rPr>
      </w:pPr>
      <w:r w:rsidRPr="004E4F5D">
        <w:rPr>
          <w:rFonts w:ascii="Calibri" w:hAnsi="Calibri" w:cs="Calibri"/>
          <w:sz w:val="24"/>
          <w:szCs w:val="24"/>
        </w:rPr>
        <w:t>Na etapie realizacji i eksploatacji przedsięwzięcia wskazuję na konieczność podjęcia następujących działań:</w:t>
      </w:r>
    </w:p>
    <w:p w14:paraId="7B40E7AD" w14:textId="77777777" w:rsidR="004E4F5D" w:rsidRDefault="004E4F5D" w:rsidP="004E4F5D">
      <w:pPr>
        <w:pStyle w:val="Akapitzlist"/>
        <w:numPr>
          <w:ilvl w:val="0"/>
          <w:numId w:val="14"/>
        </w:numPr>
        <w:spacing w:after="0" w:line="360" w:lineRule="auto"/>
        <w:rPr>
          <w:rFonts w:ascii="Calibri" w:hAnsi="Calibri" w:cs="Calibri"/>
          <w:sz w:val="24"/>
          <w:szCs w:val="24"/>
        </w:rPr>
      </w:pPr>
      <w:r w:rsidRPr="004E4F5D">
        <w:rPr>
          <w:rFonts w:ascii="Calibri" w:hAnsi="Calibri" w:cs="Calibri"/>
          <w:sz w:val="24"/>
          <w:szCs w:val="24"/>
        </w:rPr>
        <w:t>Organizacja placu budowy oraz ochrona środowiska gruntowo-wodnego</w:t>
      </w:r>
    </w:p>
    <w:p w14:paraId="1D445E15" w14:textId="77777777" w:rsidR="004E4F5D" w:rsidRDefault="004E4F5D" w:rsidP="004E4F5D">
      <w:pPr>
        <w:pStyle w:val="Akapitzlist"/>
        <w:numPr>
          <w:ilvl w:val="1"/>
          <w:numId w:val="14"/>
        </w:numPr>
        <w:spacing w:after="0" w:line="360" w:lineRule="auto"/>
        <w:rPr>
          <w:rFonts w:ascii="Calibri" w:hAnsi="Calibri" w:cs="Calibri"/>
          <w:sz w:val="24"/>
          <w:szCs w:val="24"/>
        </w:rPr>
      </w:pPr>
      <w:r w:rsidRPr="004E4F5D">
        <w:rPr>
          <w:rFonts w:ascii="Calibri" w:hAnsi="Calibri" w:cs="Calibri"/>
          <w:sz w:val="24"/>
          <w:szCs w:val="24"/>
        </w:rPr>
        <w:t>Zaplecza budowy, bazę materiałowo-sprzętową, miejsce tankowania sprzętu</w:t>
      </w:r>
      <w:r w:rsidRPr="004E4F5D">
        <w:rPr>
          <w:rFonts w:ascii="Calibri" w:hAnsi="Calibri" w:cs="Calibri"/>
          <w:sz w:val="24"/>
          <w:szCs w:val="24"/>
        </w:rPr>
        <w:t xml:space="preserve"> </w:t>
      </w:r>
      <w:r w:rsidRPr="004E4F5D">
        <w:rPr>
          <w:rFonts w:ascii="Calibri" w:hAnsi="Calibri" w:cs="Calibri"/>
          <w:sz w:val="24"/>
          <w:szCs w:val="24"/>
        </w:rPr>
        <w:t>budowlanego i miejsce gromadzenia odpadów zlokalizować:</w:t>
      </w:r>
    </w:p>
    <w:p w14:paraId="20A8E724" w14:textId="77777777" w:rsidR="004E4F5D" w:rsidRDefault="004E4F5D" w:rsidP="004E4F5D">
      <w:pPr>
        <w:pStyle w:val="Akapitzlist"/>
        <w:numPr>
          <w:ilvl w:val="0"/>
          <w:numId w:val="15"/>
        </w:numPr>
        <w:spacing w:after="0" w:line="360" w:lineRule="auto"/>
        <w:rPr>
          <w:rFonts w:ascii="Calibri" w:hAnsi="Calibri" w:cs="Calibri"/>
          <w:sz w:val="24"/>
          <w:szCs w:val="24"/>
        </w:rPr>
      </w:pPr>
      <w:r w:rsidRPr="004E4F5D">
        <w:rPr>
          <w:rFonts w:ascii="Calibri" w:hAnsi="Calibri" w:cs="Calibri"/>
          <w:sz w:val="24"/>
          <w:szCs w:val="24"/>
        </w:rPr>
        <w:t>poza terenami rolnymi, na terenach już przekształconych;</w:t>
      </w:r>
    </w:p>
    <w:p w14:paraId="6EA6D035" w14:textId="77777777" w:rsidR="004E4F5D" w:rsidRDefault="004E4F5D" w:rsidP="004E4F5D">
      <w:pPr>
        <w:pStyle w:val="Akapitzlist"/>
        <w:numPr>
          <w:ilvl w:val="0"/>
          <w:numId w:val="15"/>
        </w:numPr>
        <w:spacing w:after="0" w:line="360" w:lineRule="auto"/>
        <w:rPr>
          <w:rFonts w:ascii="Calibri" w:hAnsi="Calibri" w:cs="Calibri"/>
          <w:sz w:val="24"/>
          <w:szCs w:val="24"/>
        </w:rPr>
      </w:pPr>
      <w:r w:rsidRPr="004E4F5D">
        <w:rPr>
          <w:rFonts w:ascii="Calibri" w:hAnsi="Calibri" w:cs="Calibri"/>
          <w:sz w:val="24"/>
          <w:szCs w:val="24"/>
        </w:rPr>
        <w:lastRenderedPageBreak/>
        <w:t xml:space="preserve">poza terenami </w:t>
      </w:r>
      <w:proofErr w:type="spellStart"/>
      <w:r w:rsidRPr="004E4F5D">
        <w:rPr>
          <w:rFonts w:ascii="Calibri" w:hAnsi="Calibri" w:cs="Calibri"/>
          <w:sz w:val="24"/>
          <w:szCs w:val="24"/>
        </w:rPr>
        <w:t>zadrzewień</w:t>
      </w:r>
      <w:proofErr w:type="spellEnd"/>
      <w:r w:rsidRPr="004E4F5D">
        <w:rPr>
          <w:rFonts w:ascii="Calibri" w:hAnsi="Calibri" w:cs="Calibri"/>
          <w:sz w:val="24"/>
          <w:szCs w:val="24"/>
        </w:rPr>
        <w:t xml:space="preserve">, </w:t>
      </w:r>
      <w:proofErr w:type="spellStart"/>
      <w:r w:rsidRPr="004E4F5D">
        <w:rPr>
          <w:rFonts w:ascii="Calibri" w:hAnsi="Calibri" w:cs="Calibri"/>
          <w:sz w:val="24"/>
          <w:szCs w:val="24"/>
        </w:rPr>
        <w:t>zakrzewień</w:t>
      </w:r>
      <w:proofErr w:type="spellEnd"/>
      <w:r w:rsidRPr="004E4F5D">
        <w:rPr>
          <w:rFonts w:ascii="Calibri" w:hAnsi="Calibri" w:cs="Calibri"/>
          <w:sz w:val="24"/>
          <w:szCs w:val="24"/>
        </w:rPr>
        <w:t xml:space="preserve"> oraz wodno-błotnymi (łąki, pastwiska, rowy melioracyjne, tereny podmokłe, sąsiedztwo otwartych wód powierzchniowych itp.);</w:t>
      </w:r>
    </w:p>
    <w:p w14:paraId="52A02EF0" w14:textId="77777777" w:rsidR="004E4F5D" w:rsidRDefault="004E4F5D" w:rsidP="004E4F5D">
      <w:pPr>
        <w:pStyle w:val="Akapitzlist"/>
        <w:numPr>
          <w:ilvl w:val="0"/>
          <w:numId w:val="15"/>
        </w:numPr>
        <w:spacing w:after="0" w:line="360" w:lineRule="auto"/>
        <w:rPr>
          <w:rFonts w:ascii="Calibri" w:hAnsi="Calibri" w:cs="Calibri"/>
          <w:sz w:val="24"/>
          <w:szCs w:val="24"/>
        </w:rPr>
      </w:pPr>
      <w:r w:rsidRPr="004E4F5D">
        <w:rPr>
          <w:rFonts w:ascii="Calibri" w:hAnsi="Calibri" w:cs="Calibri"/>
          <w:sz w:val="24"/>
          <w:szCs w:val="24"/>
        </w:rPr>
        <w:t>poza obszarami zatorfionych obniżeń terenu i systemów melioracyjnych;</w:t>
      </w:r>
    </w:p>
    <w:p w14:paraId="62F13B6C" w14:textId="77777777" w:rsidR="004E4F5D" w:rsidRDefault="004E4F5D" w:rsidP="004E4F5D">
      <w:pPr>
        <w:pStyle w:val="Akapitzlist"/>
        <w:numPr>
          <w:ilvl w:val="0"/>
          <w:numId w:val="15"/>
        </w:numPr>
        <w:spacing w:after="0" w:line="360" w:lineRule="auto"/>
        <w:rPr>
          <w:rFonts w:ascii="Calibri" w:hAnsi="Calibri" w:cs="Calibri"/>
          <w:sz w:val="24"/>
          <w:szCs w:val="24"/>
        </w:rPr>
      </w:pPr>
      <w:r w:rsidRPr="004E4F5D">
        <w:rPr>
          <w:rFonts w:ascii="Calibri" w:hAnsi="Calibri" w:cs="Calibri"/>
          <w:sz w:val="24"/>
          <w:szCs w:val="24"/>
        </w:rPr>
        <w:t>w odległości nie mniejszej niż 50 m od obszaru szczególnego zagrożenia powodzią</w:t>
      </w:r>
      <w:r>
        <w:rPr>
          <w:rFonts w:ascii="Calibri" w:hAnsi="Calibri" w:cs="Calibri"/>
          <w:sz w:val="24"/>
          <w:szCs w:val="24"/>
        </w:rPr>
        <w:t xml:space="preserve"> </w:t>
      </w:r>
      <w:r w:rsidRPr="004E4F5D">
        <w:rPr>
          <w:rFonts w:ascii="Calibri" w:hAnsi="Calibri" w:cs="Calibri"/>
          <w:sz w:val="24"/>
          <w:szCs w:val="24"/>
        </w:rPr>
        <w:t>i stref ochrony bezpośredniej ujęć wód podziemnych;</w:t>
      </w:r>
    </w:p>
    <w:p w14:paraId="6F18A183" w14:textId="77777777" w:rsidR="004E4F5D" w:rsidRDefault="004E4F5D" w:rsidP="004E4F5D">
      <w:pPr>
        <w:pStyle w:val="Akapitzlist"/>
        <w:numPr>
          <w:ilvl w:val="0"/>
          <w:numId w:val="15"/>
        </w:numPr>
        <w:spacing w:after="0" w:line="360" w:lineRule="auto"/>
        <w:rPr>
          <w:rFonts w:ascii="Calibri" w:hAnsi="Calibri" w:cs="Calibri"/>
          <w:sz w:val="24"/>
          <w:szCs w:val="24"/>
        </w:rPr>
      </w:pPr>
      <w:r w:rsidRPr="004E4F5D">
        <w:rPr>
          <w:rFonts w:ascii="Calibri" w:hAnsi="Calibri" w:cs="Calibri"/>
          <w:sz w:val="24"/>
          <w:szCs w:val="24"/>
        </w:rPr>
        <w:t>w odległości nie mniejszej niż 20 m od cieków, rowów, zbiorników wodnych, terenów podmokłych, starorzeczy, zastoisk wodnych, rowów melioracyjnych oraz mostów.</w:t>
      </w:r>
    </w:p>
    <w:p w14:paraId="40EA6909" w14:textId="77777777" w:rsidR="004E4F5D" w:rsidRDefault="004E4F5D" w:rsidP="004E4F5D">
      <w:pPr>
        <w:pStyle w:val="Akapitzlist"/>
        <w:numPr>
          <w:ilvl w:val="1"/>
          <w:numId w:val="16"/>
        </w:numPr>
        <w:spacing w:after="0" w:line="360" w:lineRule="auto"/>
        <w:ind w:left="567" w:hanging="567"/>
        <w:rPr>
          <w:rFonts w:ascii="Calibri" w:hAnsi="Calibri" w:cs="Calibri"/>
          <w:sz w:val="24"/>
          <w:szCs w:val="24"/>
        </w:rPr>
      </w:pPr>
      <w:r w:rsidRPr="004E4F5D">
        <w:rPr>
          <w:rFonts w:ascii="Calibri" w:hAnsi="Calibri" w:cs="Calibri"/>
          <w:sz w:val="24"/>
          <w:szCs w:val="24"/>
        </w:rPr>
        <w:t>Wszelkie materiały sypkie magazynować w miejscu uniemożliwiającym spływy z wodami</w:t>
      </w:r>
      <w:r>
        <w:rPr>
          <w:rFonts w:ascii="Calibri" w:hAnsi="Calibri" w:cs="Calibri"/>
          <w:sz w:val="24"/>
          <w:szCs w:val="24"/>
        </w:rPr>
        <w:t xml:space="preserve"> </w:t>
      </w:r>
      <w:r w:rsidRPr="004E4F5D">
        <w:rPr>
          <w:rFonts w:ascii="Calibri" w:hAnsi="Calibri" w:cs="Calibri"/>
          <w:sz w:val="24"/>
          <w:szCs w:val="24"/>
        </w:rPr>
        <w:t>opadowymi w kierunku cieków naturalnych i rowów melioracyjnych.</w:t>
      </w:r>
    </w:p>
    <w:p w14:paraId="605ED2C0" w14:textId="77777777" w:rsidR="004E4F5D" w:rsidRDefault="004E4F5D" w:rsidP="004E4F5D">
      <w:pPr>
        <w:pStyle w:val="Akapitzlist"/>
        <w:numPr>
          <w:ilvl w:val="1"/>
          <w:numId w:val="16"/>
        </w:numPr>
        <w:spacing w:after="0" w:line="360" w:lineRule="auto"/>
        <w:ind w:left="567" w:hanging="567"/>
        <w:rPr>
          <w:rFonts w:ascii="Calibri" w:hAnsi="Calibri" w:cs="Calibri"/>
          <w:sz w:val="24"/>
          <w:szCs w:val="24"/>
        </w:rPr>
      </w:pPr>
      <w:r w:rsidRPr="004E4F5D">
        <w:rPr>
          <w:rFonts w:ascii="Calibri" w:hAnsi="Calibri" w:cs="Calibri"/>
          <w:sz w:val="24"/>
          <w:szCs w:val="24"/>
        </w:rPr>
        <w:t>Wyposażyć teren przedsięwzięcia oraz place postojowe dla maszyn i środków transportu w środki zabezpieczające środowisko gruntowo-wodne w celu neutralizacji możliwych wycieków substancji niebezpiecznych, w tym ropopochodnych (m.in. materiały sorpcyjne). W przypadku wystąpienia awaryjnego wycieku paliw, oleju czy innych substancji chemicznych, zanieczyszczony grunt usunąć i tymczasowo zmagazynować w szczelnym i atestowanym pojemniku, a następnie przekazać do unieszkodliwienia.</w:t>
      </w:r>
    </w:p>
    <w:p w14:paraId="401D0E02" w14:textId="77777777" w:rsidR="004E4F5D" w:rsidRDefault="004E4F5D" w:rsidP="004E4F5D">
      <w:pPr>
        <w:pStyle w:val="Akapitzlist"/>
        <w:numPr>
          <w:ilvl w:val="1"/>
          <w:numId w:val="16"/>
        </w:numPr>
        <w:spacing w:after="0" w:line="360" w:lineRule="auto"/>
        <w:ind w:left="567" w:hanging="567"/>
        <w:rPr>
          <w:rFonts w:ascii="Calibri" w:hAnsi="Calibri" w:cs="Calibri"/>
          <w:sz w:val="24"/>
          <w:szCs w:val="24"/>
        </w:rPr>
      </w:pPr>
      <w:r w:rsidRPr="004E4F5D">
        <w:rPr>
          <w:rFonts w:ascii="Calibri" w:hAnsi="Calibri" w:cs="Calibri"/>
          <w:sz w:val="24"/>
          <w:szCs w:val="24"/>
        </w:rPr>
        <w:t xml:space="preserve">Zaplecze oraz bazę sprzętowo-maszynową należy zlokalizować na uszczelnionym podłożu (np. płycie betonowej, nawierzchni asfaltowej lub </w:t>
      </w:r>
      <w:proofErr w:type="spellStart"/>
      <w:r w:rsidRPr="004E4F5D">
        <w:rPr>
          <w:rFonts w:ascii="Calibri" w:hAnsi="Calibri" w:cs="Calibri"/>
          <w:sz w:val="24"/>
          <w:szCs w:val="24"/>
        </w:rPr>
        <w:t>geomembranie</w:t>
      </w:r>
      <w:proofErr w:type="spellEnd"/>
      <w:r w:rsidRPr="004E4F5D">
        <w:rPr>
          <w:rFonts w:ascii="Calibri" w:hAnsi="Calibri" w:cs="Calibri"/>
          <w:sz w:val="24"/>
          <w:szCs w:val="24"/>
        </w:rPr>
        <w:t>), a naprawy, tankowanie oraz wymianę oleju środków transportu i maszyn prowadzić wyłącznie w miejscach do tego odpowiednio przystosowanych, zlokalizowanych na szczelnym podłożu oraz zabezpieczonych przed przedostaniem się substancji zanieczyszczających do środowiska gruntowo-wodnego i wód powierzchniowych (np. wyposażonych w sorbenty do usuwania ewentualnych wycieków).</w:t>
      </w:r>
    </w:p>
    <w:p w14:paraId="5DC7FF4C" w14:textId="77777777" w:rsidR="004E4F5D" w:rsidRDefault="004E4F5D" w:rsidP="004E4F5D">
      <w:pPr>
        <w:pStyle w:val="Akapitzlist"/>
        <w:numPr>
          <w:ilvl w:val="1"/>
          <w:numId w:val="16"/>
        </w:numPr>
        <w:spacing w:after="0" w:line="360" w:lineRule="auto"/>
        <w:ind w:left="567" w:hanging="567"/>
        <w:rPr>
          <w:rFonts w:ascii="Calibri" w:hAnsi="Calibri" w:cs="Calibri"/>
          <w:sz w:val="24"/>
          <w:szCs w:val="24"/>
        </w:rPr>
      </w:pPr>
      <w:r w:rsidRPr="004E4F5D">
        <w:rPr>
          <w:rFonts w:ascii="Calibri" w:hAnsi="Calibri" w:cs="Calibri"/>
          <w:sz w:val="24"/>
          <w:szCs w:val="24"/>
        </w:rPr>
        <w:t>W granicach obszarów Natura 2000 nie prowadzić napraw sprzętu, tankowania maszyn i środków transportu, nie składować mas ziemnych ani nie lokalizować miejsc gromadzenia odpadów.</w:t>
      </w:r>
    </w:p>
    <w:p w14:paraId="3AFAB2C4" w14:textId="77777777" w:rsidR="004E4F5D" w:rsidRDefault="004E4F5D" w:rsidP="004E4F5D">
      <w:pPr>
        <w:pStyle w:val="Akapitzlist"/>
        <w:numPr>
          <w:ilvl w:val="1"/>
          <w:numId w:val="16"/>
        </w:numPr>
        <w:spacing w:after="0" w:line="360" w:lineRule="auto"/>
        <w:ind w:left="567" w:hanging="567"/>
        <w:rPr>
          <w:rFonts w:ascii="Calibri" w:hAnsi="Calibri" w:cs="Calibri"/>
          <w:sz w:val="24"/>
          <w:szCs w:val="24"/>
        </w:rPr>
      </w:pPr>
      <w:r w:rsidRPr="004E4F5D">
        <w:rPr>
          <w:rFonts w:ascii="Calibri" w:hAnsi="Calibri" w:cs="Calibri"/>
          <w:sz w:val="24"/>
          <w:szCs w:val="24"/>
        </w:rPr>
        <w:t xml:space="preserve">W przypadku stwierdzenia konieczności odwodnienia wykopów, prace odwodnieniowe prowadzić bez konieczności trwałego obniżenia poziomu wód gruntowych. Ograniczyć czas odwadniania wykopu do minimum oraz wpływ ww. prac do terenu działki </w:t>
      </w:r>
      <w:proofErr w:type="spellStart"/>
      <w:r w:rsidRPr="004E4F5D">
        <w:rPr>
          <w:rFonts w:ascii="Calibri" w:hAnsi="Calibri" w:cs="Calibri"/>
          <w:sz w:val="24"/>
          <w:szCs w:val="24"/>
        </w:rPr>
        <w:t>inwestycyjnej.</w:t>
      </w:r>
      <w:proofErr w:type="spellEnd"/>
    </w:p>
    <w:p w14:paraId="09F22CDC" w14:textId="77777777" w:rsidR="004E4F5D" w:rsidRDefault="004E4F5D" w:rsidP="004E4F5D">
      <w:pPr>
        <w:pStyle w:val="Akapitzlist"/>
        <w:numPr>
          <w:ilvl w:val="0"/>
          <w:numId w:val="16"/>
        </w:numPr>
        <w:spacing w:after="0" w:line="360" w:lineRule="auto"/>
        <w:rPr>
          <w:rFonts w:ascii="Calibri" w:hAnsi="Calibri" w:cs="Calibri"/>
          <w:sz w:val="24"/>
          <w:szCs w:val="24"/>
        </w:rPr>
      </w:pPr>
      <w:r w:rsidRPr="004E4F5D">
        <w:rPr>
          <w:rFonts w:ascii="Calibri" w:hAnsi="Calibri" w:cs="Calibri"/>
          <w:sz w:val="24"/>
          <w:szCs w:val="24"/>
        </w:rPr>
        <w:t>Ochrona gleb i urządzeń melioracyjnych</w:t>
      </w:r>
    </w:p>
    <w:p w14:paraId="71A06D24" w14:textId="77777777" w:rsidR="004E4F5D" w:rsidRDefault="004E4F5D" w:rsidP="004E4F5D">
      <w:pPr>
        <w:pStyle w:val="Akapitzlist"/>
        <w:numPr>
          <w:ilvl w:val="1"/>
          <w:numId w:val="7"/>
        </w:numPr>
        <w:spacing w:after="0" w:line="360" w:lineRule="auto"/>
        <w:rPr>
          <w:rFonts w:ascii="Calibri" w:hAnsi="Calibri" w:cs="Calibri"/>
          <w:sz w:val="24"/>
          <w:szCs w:val="24"/>
        </w:rPr>
      </w:pPr>
      <w:r w:rsidRPr="004E4F5D">
        <w:rPr>
          <w:rFonts w:ascii="Calibri" w:hAnsi="Calibri" w:cs="Calibri"/>
          <w:sz w:val="24"/>
          <w:szCs w:val="24"/>
        </w:rPr>
        <w:t xml:space="preserve">W przypadku kolizji elementów planowanej instalacji z urządzeniami melioracyjnymi (w tym drenarskimi) należy zrealizować stosowne prace inżynieryjne mające zapewnić </w:t>
      </w:r>
      <w:r w:rsidRPr="004E4F5D">
        <w:rPr>
          <w:rFonts w:ascii="Calibri" w:hAnsi="Calibri" w:cs="Calibri"/>
          <w:sz w:val="24"/>
          <w:szCs w:val="24"/>
        </w:rPr>
        <w:lastRenderedPageBreak/>
        <w:t xml:space="preserve">ciągłość urządzeń melioracji wodnych. W razie uszkodzenia infrastruktury melioracyjnej </w:t>
      </w:r>
      <w:r>
        <w:rPr>
          <w:rFonts w:ascii="Calibri" w:hAnsi="Calibri" w:cs="Calibri"/>
          <w:sz w:val="24"/>
          <w:szCs w:val="24"/>
        </w:rPr>
        <w:t xml:space="preserve"> </w:t>
      </w:r>
      <w:r w:rsidRPr="004E4F5D">
        <w:rPr>
          <w:rFonts w:ascii="Calibri" w:hAnsi="Calibri" w:cs="Calibri"/>
          <w:sz w:val="24"/>
          <w:szCs w:val="24"/>
        </w:rPr>
        <w:t>w trakcie trwania prac, Inwestor zobowiązany jest dokonać zgłoszenia tego faktu do stosownych organów, a następnie naprawy uszkodzonego odcinka.</w:t>
      </w:r>
    </w:p>
    <w:p w14:paraId="4A5B9475" w14:textId="77777777" w:rsidR="004E4F5D" w:rsidRDefault="004E4F5D" w:rsidP="004E4F5D">
      <w:pPr>
        <w:pStyle w:val="Akapitzlist"/>
        <w:numPr>
          <w:ilvl w:val="1"/>
          <w:numId w:val="7"/>
        </w:numPr>
        <w:spacing w:after="0" w:line="360" w:lineRule="auto"/>
        <w:rPr>
          <w:rFonts w:ascii="Calibri" w:hAnsi="Calibri" w:cs="Calibri"/>
          <w:sz w:val="24"/>
          <w:szCs w:val="24"/>
        </w:rPr>
      </w:pPr>
      <w:r w:rsidRPr="004E4F5D">
        <w:rPr>
          <w:rFonts w:ascii="Calibri" w:hAnsi="Calibri" w:cs="Calibri"/>
          <w:sz w:val="24"/>
          <w:szCs w:val="24"/>
        </w:rPr>
        <w:t>Dla zachowania wartości przyrodniczej pokrywy glebowej, zasypywanie wykopów urobkiem należy wykonywać z zachowaniem układu istniejących warstw gruntowych.</w:t>
      </w:r>
    </w:p>
    <w:p w14:paraId="7576326B" w14:textId="77777777" w:rsidR="004E4F5D" w:rsidRDefault="004E4F5D" w:rsidP="004E4F5D">
      <w:pPr>
        <w:pStyle w:val="Akapitzlist"/>
        <w:numPr>
          <w:ilvl w:val="1"/>
          <w:numId w:val="7"/>
        </w:numPr>
        <w:spacing w:after="0" w:line="360" w:lineRule="auto"/>
        <w:rPr>
          <w:rFonts w:ascii="Calibri" w:hAnsi="Calibri" w:cs="Calibri"/>
          <w:sz w:val="24"/>
          <w:szCs w:val="24"/>
        </w:rPr>
      </w:pPr>
      <w:r w:rsidRPr="004E4F5D">
        <w:rPr>
          <w:rFonts w:ascii="Calibri" w:hAnsi="Calibri" w:cs="Calibri"/>
          <w:sz w:val="24"/>
          <w:szCs w:val="24"/>
        </w:rPr>
        <w:t>Podczas robót ziemnych związanych z wykonaniem wykopów wierzchnią warstwę urodzajną oddzielić i później wykorzystać do zagospodarowania terenów zielonych.</w:t>
      </w:r>
    </w:p>
    <w:p w14:paraId="78A543C4" w14:textId="77777777" w:rsidR="004E4F5D" w:rsidRDefault="004E4F5D" w:rsidP="004E4F5D">
      <w:pPr>
        <w:pStyle w:val="Akapitzlist"/>
        <w:numPr>
          <w:ilvl w:val="0"/>
          <w:numId w:val="16"/>
        </w:numPr>
        <w:spacing w:after="0" w:line="360" w:lineRule="auto"/>
        <w:rPr>
          <w:rFonts w:ascii="Calibri" w:hAnsi="Calibri" w:cs="Calibri"/>
          <w:sz w:val="24"/>
          <w:szCs w:val="24"/>
        </w:rPr>
      </w:pPr>
      <w:r w:rsidRPr="004E4F5D">
        <w:rPr>
          <w:rFonts w:ascii="Calibri" w:hAnsi="Calibri" w:cs="Calibri"/>
          <w:sz w:val="24"/>
          <w:szCs w:val="24"/>
        </w:rPr>
        <w:t>Ochrona drzew, krzewów i siedlisk przyrodniczych</w:t>
      </w:r>
    </w:p>
    <w:p w14:paraId="4495EFBA" w14:textId="77777777" w:rsidR="004E4F5D" w:rsidRDefault="004E4F5D" w:rsidP="004E4F5D">
      <w:pPr>
        <w:pStyle w:val="Akapitzlist"/>
        <w:numPr>
          <w:ilvl w:val="1"/>
          <w:numId w:val="19"/>
        </w:numPr>
        <w:spacing w:after="0" w:line="360" w:lineRule="auto"/>
        <w:ind w:left="709" w:hanging="567"/>
        <w:rPr>
          <w:rFonts w:ascii="Calibri" w:hAnsi="Calibri" w:cs="Calibri"/>
          <w:sz w:val="24"/>
          <w:szCs w:val="24"/>
        </w:rPr>
      </w:pPr>
      <w:r w:rsidRPr="004E4F5D">
        <w:rPr>
          <w:rFonts w:ascii="Calibri" w:hAnsi="Calibri" w:cs="Calibri"/>
          <w:sz w:val="24"/>
          <w:szCs w:val="24"/>
        </w:rPr>
        <w:t>Drzewa znajdujące się w obszarze realizacji prac, nieprzeznaczone do wycinki, na czas realizacji prac budowlanych zabezpieczyć przed uszkodzeniami mechanicznymi, np. poprzez odeskowanie.</w:t>
      </w:r>
    </w:p>
    <w:p w14:paraId="4A335AF9" w14:textId="77777777" w:rsidR="004E4F5D" w:rsidRDefault="004E4F5D" w:rsidP="004E4F5D">
      <w:pPr>
        <w:pStyle w:val="Akapitzlist"/>
        <w:numPr>
          <w:ilvl w:val="1"/>
          <w:numId w:val="19"/>
        </w:numPr>
        <w:spacing w:after="0" w:line="360" w:lineRule="auto"/>
        <w:ind w:left="709" w:hanging="567"/>
        <w:rPr>
          <w:rFonts w:ascii="Calibri" w:hAnsi="Calibri" w:cs="Calibri"/>
          <w:sz w:val="24"/>
          <w:szCs w:val="24"/>
        </w:rPr>
      </w:pPr>
      <w:r w:rsidRPr="004E4F5D">
        <w:rPr>
          <w:rFonts w:ascii="Calibri" w:hAnsi="Calibri" w:cs="Calibri"/>
          <w:sz w:val="24"/>
          <w:szCs w:val="24"/>
        </w:rPr>
        <w:t xml:space="preserve">Planowaną wycinkę drzew i krzewów oraz zdejmowanie wierzchnich warstw gleby prowadzić poza okresem lęgowym większości gatunków ptaków, tj. poza okresem od 1 marca do 31 sierpnia. </w:t>
      </w:r>
    </w:p>
    <w:p w14:paraId="274F43BA" w14:textId="77777777" w:rsidR="004E4F5D" w:rsidRDefault="004E4F5D" w:rsidP="004E4F5D">
      <w:pPr>
        <w:pStyle w:val="Akapitzlist"/>
        <w:numPr>
          <w:ilvl w:val="1"/>
          <w:numId w:val="19"/>
        </w:numPr>
        <w:spacing w:after="0" w:line="360" w:lineRule="auto"/>
        <w:ind w:left="709" w:hanging="567"/>
        <w:rPr>
          <w:rFonts w:ascii="Calibri" w:hAnsi="Calibri" w:cs="Calibri"/>
          <w:sz w:val="24"/>
          <w:szCs w:val="24"/>
        </w:rPr>
      </w:pPr>
      <w:r w:rsidRPr="004E4F5D">
        <w:rPr>
          <w:rFonts w:ascii="Calibri" w:hAnsi="Calibri" w:cs="Calibri"/>
          <w:sz w:val="24"/>
          <w:szCs w:val="24"/>
        </w:rPr>
        <w:t>W granicach obszarów Natura 2000 oraz rezerwatu przyrody nie przeprowadzać wycinki drzew i krzewów: pod dojazd (trwałej) oraz technologicznej (tymczasowej, związanej z naciągami i montażem).</w:t>
      </w:r>
    </w:p>
    <w:p w14:paraId="66BA9F62" w14:textId="77777777" w:rsidR="004E4F5D" w:rsidRDefault="004E4F5D" w:rsidP="004E4F5D">
      <w:pPr>
        <w:pStyle w:val="Akapitzlist"/>
        <w:numPr>
          <w:ilvl w:val="1"/>
          <w:numId w:val="19"/>
        </w:numPr>
        <w:spacing w:after="0" w:line="360" w:lineRule="auto"/>
        <w:ind w:left="709" w:hanging="567"/>
        <w:rPr>
          <w:rFonts w:ascii="Calibri" w:hAnsi="Calibri" w:cs="Calibri"/>
          <w:sz w:val="24"/>
          <w:szCs w:val="24"/>
        </w:rPr>
      </w:pPr>
      <w:proofErr w:type="spellStart"/>
      <w:r w:rsidRPr="004E4F5D">
        <w:rPr>
          <w:rFonts w:ascii="Calibri" w:hAnsi="Calibri" w:cs="Calibri"/>
          <w:sz w:val="24"/>
          <w:szCs w:val="24"/>
        </w:rPr>
        <w:t>Odhumusowanie</w:t>
      </w:r>
      <w:proofErr w:type="spellEnd"/>
      <w:r w:rsidRPr="004E4F5D">
        <w:rPr>
          <w:rFonts w:ascii="Calibri" w:hAnsi="Calibri" w:cs="Calibri"/>
          <w:sz w:val="24"/>
          <w:szCs w:val="24"/>
        </w:rPr>
        <w:t xml:space="preserve"> powierzchni należy prowadzić w okresie od 1 września do 31 marca. W terminie od 1 kwietnia do 15 kwietnia można prowadzić </w:t>
      </w:r>
      <w:proofErr w:type="spellStart"/>
      <w:r w:rsidRPr="004E4F5D">
        <w:rPr>
          <w:rFonts w:ascii="Calibri" w:hAnsi="Calibri" w:cs="Calibri"/>
          <w:sz w:val="24"/>
          <w:szCs w:val="24"/>
        </w:rPr>
        <w:t>odhumusowanie</w:t>
      </w:r>
      <w:proofErr w:type="spellEnd"/>
      <w:r w:rsidRPr="004E4F5D">
        <w:rPr>
          <w:rFonts w:ascii="Calibri" w:hAnsi="Calibri" w:cs="Calibri"/>
          <w:sz w:val="24"/>
          <w:szCs w:val="24"/>
        </w:rPr>
        <w:t xml:space="preserve"> powierzchni jedynie po uprzedniej ocenie przyrodniczej stanu zasiedlenia planowanej do </w:t>
      </w:r>
      <w:proofErr w:type="spellStart"/>
      <w:r w:rsidRPr="004E4F5D">
        <w:rPr>
          <w:rFonts w:ascii="Calibri" w:hAnsi="Calibri" w:cs="Calibri"/>
          <w:sz w:val="24"/>
          <w:szCs w:val="24"/>
        </w:rPr>
        <w:t>odhumusowania</w:t>
      </w:r>
      <w:proofErr w:type="spellEnd"/>
      <w:r w:rsidRPr="004E4F5D">
        <w:rPr>
          <w:rFonts w:ascii="Calibri" w:hAnsi="Calibri" w:cs="Calibri"/>
          <w:sz w:val="24"/>
          <w:szCs w:val="24"/>
        </w:rPr>
        <w:t xml:space="preserve"> powierzchni. Prace można prowadzić w terminie 5 dni od daty ostatniej oceny.</w:t>
      </w:r>
    </w:p>
    <w:p w14:paraId="49401B9F" w14:textId="77777777" w:rsidR="004E4F5D" w:rsidRDefault="004E4F5D" w:rsidP="004E4F5D">
      <w:pPr>
        <w:pStyle w:val="Akapitzlist"/>
        <w:numPr>
          <w:ilvl w:val="1"/>
          <w:numId w:val="19"/>
        </w:numPr>
        <w:spacing w:after="0" w:line="360" w:lineRule="auto"/>
        <w:ind w:left="709" w:hanging="567"/>
        <w:rPr>
          <w:rFonts w:ascii="Calibri" w:hAnsi="Calibri" w:cs="Calibri"/>
          <w:sz w:val="24"/>
          <w:szCs w:val="24"/>
        </w:rPr>
      </w:pPr>
      <w:r w:rsidRPr="004E4F5D">
        <w:rPr>
          <w:rFonts w:ascii="Calibri" w:hAnsi="Calibri" w:cs="Calibri"/>
          <w:sz w:val="24"/>
          <w:szCs w:val="24"/>
        </w:rPr>
        <w:t xml:space="preserve">Okresowe usuwanie drzew i krzewów w celu utrzymania pasa technologicznego prowadzić poza okresem lęgowym większości gatunków ptaków, tj. poza okresem od </w:t>
      </w:r>
      <w:r>
        <w:rPr>
          <w:rFonts w:ascii="Calibri" w:hAnsi="Calibri" w:cs="Calibri"/>
          <w:sz w:val="24"/>
          <w:szCs w:val="24"/>
        </w:rPr>
        <w:t xml:space="preserve"> </w:t>
      </w:r>
      <w:r w:rsidRPr="004E4F5D">
        <w:rPr>
          <w:rFonts w:ascii="Calibri" w:hAnsi="Calibri" w:cs="Calibri"/>
          <w:sz w:val="24"/>
          <w:szCs w:val="24"/>
        </w:rPr>
        <w:t xml:space="preserve">1 marca do 31 sierpnia. </w:t>
      </w:r>
    </w:p>
    <w:p w14:paraId="65B463C4" w14:textId="77777777" w:rsidR="004E4F5D" w:rsidRDefault="004E4F5D" w:rsidP="004E4F5D">
      <w:pPr>
        <w:pStyle w:val="Akapitzlist"/>
        <w:numPr>
          <w:ilvl w:val="0"/>
          <w:numId w:val="19"/>
        </w:numPr>
        <w:spacing w:after="0" w:line="360" w:lineRule="auto"/>
        <w:rPr>
          <w:rFonts w:ascii="Calibri" w:hAnsi="Calibri" w:cs="Calibri"/>
          <w:sz w:val="24"/>
          <w:szCs w:val="24"/>
        </w:rPr>
      </w:pPr>
      <w:r w:rsidRPr="004E4F5D">
        <w:rPr>
          <w:rFonts w:ascii="Calibri" w:hAnsi="Calibri" w:cs="Calibri"/>
          <w:sz w:val="24"/>
          <w:szCs w:val="24"/>
        </w:rPr>
        <w:t>Ochrona płazów</w:t>
      </w:r>
    </w:p>
    <w:p w14:paraId="4B9EE042" w14:textId="77777777" w:rsidR="004E4F5D" w:rsidRDefault="004E4F5D" w:rsidP="004E4F5D">
      <w:pPr>
        <w:pStyle w:val="Akapitzlist"/>
        <w:numPr>
          <w:ilvl w:val="1"/>
          <w:numId w:val="21"/>
        </w:numPr>
        <w:spacing w:after="0" w:line="360" w:lineRule="auto"/>
        <w:rPr>
          <w:rFonts w:ascii="Calibri" w:hAnsi="Calibri" w:cs="Calibri"/>
          <w:sz w:val="24"/>
          <w:szCs w:val="24"/>
        </w:rPr>
      </w:pPr>
      <w:r w:rsidRPr="004E4F5D">
        <w:rPr>
          <w:rFonts w:ascii="Calibri" w:hAnsi="Calibri" w:cs="Calibri"/>
          <w:sz w:val="24"/>
          <w:szCs w:val="24"/>
        </w:rPr>
        <w:t>Prace ziemne prowadzić poza okresem rozrodu i migracji płazów, tj. poza okresem od 1 marca do 30 czerwca i od 1 września do 15 października; dopuszcza się prowadzenie prac w ww. okresie po wykluczeniu przez specjalistę herpetologa migracji i rozrodu.</w:t>
      </w:r>
    </w:p>
    <w:p w14:paraId="266497DE" w14:textId="77777777" w:rsidR="004E4F5D" w:rsidRDefault="004E4F5D" w:rsidP="004E4F5D">
      <w:pPr>
        <w:pStyle w:val="Akapitzlist"/>
        <w:numPr>
          <w:ilvl w:val="1"/>
          <w:numId w:val="21"/>
        </w:numPr>
        <w:spacing w:after="0" w:line="360" w:lineRule="auto"/>
        <w:rPr>
          <w:rFonts w:ascii="Calibri" w:hAnsi="Calibri" w:cs="Calibri"/>
          <w:sz w:val="24"/>
          <w:szCs w:val="24"/>
        </w:rPr>
      </w:pPr>
      <w:r w:rsidRPr="004E4F5D">
        <w:rPr>
          <w:rFonts w:ascii="Calibri" w:hAnsi="Calibri" w:cs="Calibri"/>
          <w:sz w:val="24"/>
          <w:szCs w:val="24"/>
        </w:rPr>
        <w:t xml:space="preserve">Przed rozpoczęciem realizacji przedsięwzięcia należy zabezpieczyć miejsca występowania płazów oraz ich szlaki migracji poprzez wykonanie szczelnych </w:t>
      </w:r>
      <w:proofErr w:type="spellStart"/>
      <w:r w:rsidRPr="004E4F5D">
        <w:rPr>
          <w:rFonts w:ascii="Calibri" w:hAnsi="Calibri" w:cs="Calibri"/>
          <w:sz w:val="24"/>
          <w:szCs w:val="24"/>
        </w:rPr>
        <w:t>wygrodzeń</w:t>
      </w:r>
      <w:proofErr w:type="spellEnd"/>
      <w:r w:rsidRPr="004E4F5D">
        <w:rPr>
          <w:rFonts w:ascii="Calibri" w:hAnsi="Calibri" w:cs="Calibri"/>
          <w:sz w:val="24"/>
          <w:szCs w:val="24"/>
        </w:rPr>
        <w:t xml:space="preserve"> herpetologicznych placu budowy, w miejscach wskazanych przez nadzór przyrodniczy. Wykopy, w szczególności zlokalizowane w rejonie cieków wodnych i jeziora Kluka Duża, należy zabezpieczyć przed </w:t>
      </w:r>
      <w:r w:rsidRPr="004E4F5D">
        <w:rPr>
          <w:rFonts w:ascii="Calibri" w:hAnsi="Calibri" w:cs="Calibri"/>
          <w:sz w:val="24"/>
          <w:szCs w:val="24"/>
        </w:rPr>
        <w:lastRenderedPageBreak/>
        <w:t xml:space="preserve">dostępem zwierząt. W okresie migracji płazów, tj. od 1 marca do 30 czerwca oraz od 1 września do 15 października, należy prowadzić kontrole wykopów oraz innych miejsc mogących stanowić pułapki dla zwierząt dwa razy dziennie – rano oraz przed wieczorem, natomiast poza okresem intensywnych migracji (z wyłączeniem okresu od 1 grudnia do końca lutego) – nie rzadziej niż co dwa dni. W przypadku stwierdzenia obecności płazów lub innych przedstawicieli </w:t>
      </w:r>
      <w:proofErr w:type="spellStart"/>
      <w:r w:rsidRPr="004E4F5D">
        <w:rPr>
          <w:rFonts w:ascii="Calibri" w:hAnsi="Calibri" w:cs="Calibri"/>
          <w:sz w:val="24"/>
          <w:szCs w:val="24"/>
        </w:rPr>
        <w:t>herpetofauny</w:t>
      </w:r>
      <w:proofErr w:type="spellEnd"/>
      <w:r w:rsidRPr="004E4F5D">
        <w:rPr>
          <w:rFonts w:ascii="Calibri" w:hAnsi="Calibri" w:cs="Calibri"/>
          <w:sz w:val="24"/>
          <w:szCs w:val="24"/>
        </w:rPr>
        <w:t xml:space="preserve"> należy niezwłocznie odłowić je pod nadzorem przyrodniczym, z zachowaniem zasad minimalizujących ryzyko przenoszenia patogenów (m.in. przy użyciu rękawic ochronnych oraz z dezynfekcją wykorzystywanego sprzętu), a następnie, w dniu odłowu, przenieść poza teren budowy do odpowiednich siedlisk zastępczych spełniających wymagania siedliskowe danego gatunku. Wyniki kontroli i podejmowanych działań należy dokumentować w dokumentacji z nadzoru </w:t>
      </w:r>
      <w:proofErr w:type="spellStart"/>
      <w:r w:rsidRPr="004E4F5D">
        <w:rPr>
          <w:rFonts w:ascii="Calibri" w:hAnsi="Calibri" w:cs="Calibri"/>
          <w:sz w:val="24"/>
          <w:szCs w:val="24"/>
        </w:rPr>
        <w:t>przyrodniczego.</w:t>
      </w:r>
      <w:proofErr w:type="spellEnd"/>
    </w:p>
    <w:p w14:paraId="180A593E" w14:textId="77777777" w:rsidR="004E4F5D" w:rsidRDefault="004E4F5D" w:rsidP="004E4F5D">
      <w:pPr>
        <w:pStyle w:val="Akapitzlist"/>
        <w:numPr>
          <w:ilvl w:val="0"/>
          <w:numId w:val="19"/>
        </w:numPr>
        <w:spacing w:after="0" w:line="360" w:lineRule="auto"/>
        <w:rPr>
          <w:rFonts w:ascii="Calibri" w:hAnsi="Calibri" w:cs="Calibri"/>
          <w:sz w:val="24"/>
          <w:szCs w:val="24"/>
        </w:rPr>
      </w:pPr>
      <w:r w:rsidRPr="004E4F5D">
        <w:rPr>
          <w:rFonts w:ascii="Calibri" w:hAnsi="Calibri" w:cs="Calibri"/>
          <w:sz w:val="24"/>
          <w:szCs w:val="24"/>
        </w:rPr>
        <w:t>Ochrona ptaków i nietoperzy</w:t>
      </w:r>
    </w:p>
    <w:p w14:paraId="294360F8" w14:textId="77777777" w:rsidR="004E4F5D" w:rsidRDefault="004E4F5D" w:rsidP="004E4F5D">
      <w:pPr>
        <w:pStyle w:val="Akapitzlist"/>
        <w:numPr>
          <w:ilvl w:val="1"/>
          <w:numId w:val="19"/>
        </w:numPr>
        <w:spacing w:after="0" w:line="360" w:lineRule="auto"/>
        <w:ind w:hanging="578"/>
        <w:rPr>
          <w:rFonts w:ascii="Calibri" w:hAnsi="Calibri" w:cs="Calibri"/>
          <w:sz w:val="24"/>
          <w:szCs w:val="24"/>
        </w:rPr>
      </w:pPr>
      <w:r w:rsidRPr="004E4F5D">
        <w:rPr>
          <w:rFonts w:ascii="Calibri" w:hAnsi="Calibri" w:cs="Calibri"/>
          <w:sz w:val="24"/>
          <w:szCs w:val="24"/>
        </w:rPr>
        <w:t>Na terenach otwartych w celu sprawdzenia, czy nie występują stanowiska lęgowe m.in. skowronka, czajki, świergotka łąkowego, derkacza itp. prace w sezonie lęgowym ptaków,</w:t>
      </w:r>
      <w:r>
        <w:rPr>
          <w:rFonts w:ascii="Calibri" w:hAnsi="Calibri" w:cs="Calibri"/>
          <w:sz w:val="24"/>
          <w:szCs w:val="24"/>
        </w:rPr>
        <w:t xml:space="preserve"> </w:t>
      </w:r>
      <w:r w:rsidRPr="004E4F5D">
        <w:rPr>
          <w:rFonts w:ascii="Calibri" w:hAnsi="Calibri" w:cs="Calibri"/>
          <w:sz w:val="24"/>
          <w:szCs w:val="24"/>
        </w:rPr>
        <w:t xml:space="preserve">w okresie od 1 marca do 31 sierpnia należy prowadzić pod nadzorem ornitologicznym. </w:t>
      </w:r>
    </w:p>
    <w:p w14:paraId="6198E036" w14:textId="77777777" w:rsidR="004E4F5D" w:rsidRDefault="004E4F5D" w:rsidP="004E4F5D">
      <w:pPr>
        <w:pStyle w:val="Akapitzlist"/>
        <w:numPr>
          <w:ilvl w:val="1"/>
          <w:numId w:val="19"/>
        </w:numPr>
        <w:spacing w:after="0" w:line="360" w:lineRule="auto"/>
        <w:ind w:hanging="578"/>
        <w:rPr>
          <w:rFonts w:ascii="Calibri" w:hAnsi="Calibri" w:cs="Calibri"/>
          <w:sz w:val="24"/>
          <w:szCs w:val="24"/>
        </w:rPr>
      </w:pPr>
      <w:r w:rsidRPr="004E4F5D">
        <w:rPr>
          <w:rFonts w:ascii="Calibri" w:hAnsi="Calibri" w:cs="Calibri"/>
          <w:sz w:val="24"/>
          <w:szCs w:val="24"/>
        </w:rPr>
        <w:t xml:space="preserve">W ramach nadzoru </w:t>
      </w:r>
      <w:proofErr w:type="spellStart"/>
      <w:r w:rsidRPr="004E4F5D">
        <w:rPr>
          <w:rFonts w:ascii="Calibri" w:hAnsi="Calibri" w:cs="Calibri"/>
          <w:sz w:val="24"/>
          <w:szCs w:val="24"/>
        </w:rPr>
        <w:t>chiropterologicznego</w:t>
      </w:r>
      <w:proofErr w:type="spellEnd"/>
      <w:r w:rsidRPr="004E4F5D">
        <w:rPr>
          <w:rFonts w:ascii="Calibri" w:hAnsi="Calibri" w:cs="Calibri"/>
          <w:sz w:val="24"/>
          <w:szCs w:val="24"/>
        </w:rPr>
        <w:t xml:space="preserve"> zweryfikować obecność gatunków przed ścięciem drzewa. Należy sprawdzić, czy nie ma w nim widocznych dziupli i szczelin. Jeżeli zostały one stwierdzone, to należy skontrolować ich zawartość, także przy użyciu endoskopu, pozwalającego na dokładne obejrzenie wnętrza małych i średniej wielkości szczelin i dziupli w drzewie.</w:t>
      </w:r>
    </w:p>
    <w:p w14:paraId="747ABF09" w14:textId="77777777" w:rsidR="004E4F5D" w:rsidRDefault="004E4F5D" w:rsidP="004E4F5D">
      <w:pPr>
        <w:pStyle w:val="Akapitzlist"/>
        <w:numPr>
          <w:ilvl w:val="1"/>
          <w:numId w:val="19"/>
        </w:numPr>
        <w:spacing w:after="0" w:line="360" w:lineRule="auto"/>
        <w:ind w:hanging="578"/>
        <w:rPr>
          <w:rFonts w:ascii="Calibri" w:hAnsi="Calibri" w:cs="Calibri"/>
          <w:sz w:val="24"/>
          <w:szCs w:val="24"/>
        </w:rPr>
      </w:pPr>
      <w:r w:rsidRPr="004E4F5D">
        <w:rPr>
          <w:rFonts w:ascii="Calibri" w:hAnsi="Calibri" w:cs="Calibri"/>
          <w:sz w:val="24"/>
          <w:szCs w:val="24"/>
        </w:rPr>
        <w:t>Na długości odcinków planowanej linii elektroenergetycznej OL122-OL114, OL109-OL106- OL-102, OL95-OL80 na przewodach odgromowych zamontować znaczniki w postaci tzw. spiral, o długości nieprzekraczającej 100 cm i średnicy dostosowanej do przewodu odgromowego, w kombinacji 2 wybranych z możliwych kolorów (biały – czerwony, żółty – niebieski), które montowane będą naprzemiennie na przewodzie. Spirale zamontować na obu przewodach odgromowych (zawieszonych najwyżej na linii), w zagęszczeniu co około 15 m (co około 30 m na równoległych przewodach odgromowych z przesunięciem o około 15 m).</w:t>
      </w:r>
    </w:p>
    <w:p w14:paraId="51BF3D3A" w14:textId="77777777" w:rsidR="004E4F5D" w:rsidRDefault="004E4F5D" w:rsidP="004E4F5D">
      <w:pPr>
        <w:pStyle w:val="Akapitzlist"/>
        <w:numPr>
          <w:ilvl w:val="0"/>
          <w:numId w:val="19"/>
        </w:numPr>
        <w:spacing w:after="0" w:line="360" w:lineRule="auto"/>
        <w:rPr>
          <w:rFonts w:ascii="Calibri" w:hAnsi="Calibri" w:cs="Calibri"/>
          <w:sz w:val="24"/>
          <w:szCs w:val="24"/>
        </w:rPr>
      </w:pPr>
      <w:r w:rsidRPr="004E4F5D">
        <w:rPr>
          <w:rFonts w:ascii="Calibri" w:hAnsi="Calibri" w:cs="Calibri"/>
          <w:sz w:val="24"/>
          <w:szCs w:val="24"/>
        </w:rPr>
        <w:t>Organizacja robót budowlanych</w:t>
      </w:r>
    </w:p>
    <w:p w14:paraId="355FD123" w14:textId="77777777" w:rsidR="004E4F5D" w:rsidRDefault="004E4F5D" w:rsidP="004E4F5D">
      <w:pPr>
        <w:pStyle w:val="Akapitzlist"/>
        <w:numPr>
          <w:ilvl w:val="1"/>
          <w:numId w:val="19"/>
        </w:numPr>
        <w:spacing w:after="0" w:line="360" w:lineRule="auto"/>
        <w:ind w:hanging="578"/>
        <w:rPr>
          <w:rFonts w:ascii="Calibri" w:hAnsi="Calibri" w:cs="Calibri"/>
          <w:sz w:val="24"/>
          <w:szCs w:val="24"/>
        </w:rPr>
      </w:pPr>
      <w:r w:rsidRPr="004E4F5D">
        <w:rPr>
          <w:rFonts w:ascii="Calibri" w:hAnsi="Calibri" w:cs="Calibri"/>
          <w:sz w:val="24"/>
          <w:szCs w:val="24"/>
        </w:rPr>
        <w:t>Do przejazdów w pierwszej kolejności korzystać z istniejących ciągów komunikacyjnych.</w:t>
      </w:r>
    </w:p>
    <w:p w14:paraId="08D9DDCC" w14:textId="77777777" w:rsidR="004E4F5D" w:rsidRDefault="004E4F5D" w:rsidP="004E4F5D">
      <w:pPr>
        <w:pStyle w:val="Akapitzlist"/>
        <w:numPr>
          <w:ilvl w:val="1"/>
          <w:numId w:val="19"/>
        </w:numPr>
        <w:spacing w:after="0" w:line="360" w:lineRule="auto"/>
        <w:ind w:hanging="578"/>
        <w:rPr>
          <w:rFonts w:ascii="Calibri" w:hAnsi="Calibri" w:cs="Calibri"/>
          <w:sz w:val="24"/>
          <w:szCs w:val="24"/>
        </w:rPr>
      </w:pPr>
      <w:r w:rsidRPr="004E4F5D">
        <w:rPr>
          <w:rFonts w:ascii="Calibri" w:hAnsi="Calibri" w:cs="Calibri"/>
          <w:sz w:val="24"/>
          <w:szCs w:val="24"/>
        </w:rPr>
        <w:t xml:space="preserve">Poza ciągami komunikacyjnymi oraz drogami dojazdowymi do słupów nadleśnych, wykorzystywać </w:t>
      </w:r>
      <w:proofErr w:type="spellStart"/>
      <w:r w:rsidRPr="004E4F5D">
        <w:rPr>
          <w:rFonts w:ascii="Calibri" w:hAnsi="Calibri" w:cs="Calibri"/>
          <w:sz w:val="24"/>
          <w:szCs w:val="24"/>
        </w:rPr>
        <w:t>demontowalne</w:t>
      </w:r>
      <w:proofErr w:type="spellEnd"/>
      <w:r w:rsidRPr="004E4F5D">
        <w:rPr>
          <w:rFonts w:ascii="Calibri" w:hAnsi="Calibri" w:cs="Calibri"/>
          <w:sz w:val="24"/>
          <w:szCs w:val="24"/>
        </w:rPr>
        <w:t xml:space="preserve"> tymczasowe drogi dojazdowe lokalizowane z zachowaniem ciągłości istniejących rowów melioracyjnych (np. poprzez zastosowanie </w:t>
      </w:r>
      <w:r w:rsidRPr="004E4F5D">
        <w:rPr>
          <w:rFonts w:ascii="Calibri" w:hAnsi="Calibri" w:cs="Calibri"/>
          <w:sz w:val="24"/>
          <w:szCs w:val="24"/>
        </w:rPr>
        <w:lastRenderedPageBreak/>
        <w:t>kładki w miejscu ich przekroczeń), w miarę możliwości terenowych od najbliższej utwardzonej drogi pozwalającej na dojazd do wyznaczonego stanowiska słupowego po jak najkrótszych trasach lub tak jak wyznaczył właściciel działki lub wykonawca budowy. Na ich przebiegu ułożyć tymczasowe nawierzchnie (</w:t>
      </w:r>
      <w:proofErr w:type="spellStart"/>
      <w:r w:rsidRPr="004E4F5D">
        <w:rPr>
          <w:rFonts w:ascii="Calibri" w:hAnsi="Calibri" w:cs="Calibri"/>
          <w:sz w:val="24"/>
          <w:szCs w:val="24"/>
        </w:rPr>
        <w:t>demontowalne</w:t>
      </w:r>
      <w:proofErr w:type="spellEnd"/>
      <w:r w:rsidRPr="004E4F5D">
        <w:rPr>
          <w:rFonts w:ascii="Calibri" w:hAnsi="Calibri" w:cs="Calibri"/>
          <w:sz w:val="24"/>
          <w:szCs w:val="24"/>
        </w:rPr>
        <w:t>), które po zakończeniu prac usunąć.</w:t>
      </w:r>
    </w:p>
    <w:p w14:paraId="0D100225" w14:textId="77777777" w:rsidR="004E4F5D" w:rsidRDefault="004E4F5D" w:rsidP="004E4F5D">
      <w:pPr>
        <w:pStyle w:val="Akapitzlist"/>
        <w:numPr>
          <w:ilvl w:val="1"/>
          <w:numId w:val="19"/>
        </w:numPr>
        <w:spacing w:after="0" w:line="360" w:lineRule="auto"/>
        <w:ind w:hanging="578"/>
        <w:rPr>
          <w:rFonts w:ascii="Calibri" w:hAnsi="Calibri" w:cs="Calibri"/>
          <w:sz w:val="24"/>
          <w:szCs w:val="24"/>
        </w:rPr>
      </w:pPr>
      <w:r w:rsidRPr="004E4F5D">
        <w:rPr>
          <w:rFonts w:ascii="Calibri" w:hAnsi="Calibri" w:cs="Calibri"/>
          <w:sz w:val="24"/>
          <w:szCs w:val="24"/>
        </w:rPr>
        <w:t>Teren w otoczeniu stanowisk słupowych uporządkować po zakończeniu prac ziemnych i doprowadzić w miarę możliwości do stanu najbardziej zbliżonego do stanu istniejącego przed rozpoczęciem prac. Tereny wykorzystane pod zaplecze budowy oraz drogi tymczasowe przywrócić do stanu wyjściowego po zakończeniu budowy.</w:t>
      </w:r>
    </w:p>
    <w:p w14:paraId="242F89B4" w14:textId="77777777" w:rsidR="004E4F5D" w:rsidRDefault="004E4F5D" w:rsidP="004E4F5D">
      <w:pPr>
        <w:pStyle w:val="Akapitzlist"/>
        <w:numPr>
          <w:ilvl w:val="1"/>
          <w:numId w:val="19"/>
        </w:numPr>
        <w:spacing w:after="0" w:line="360" w:lineRule="auto"/>
        <w:ind w:hanging="578"/>
        <w:rPr>
          <w:rFonts w:ascii="Calibri" w:hAnsi="Calibri" w:cs="Calibri"/>
          <w:sz w:val="24"/>
          <w:szCs w:val="24"/>
        </w:rPr>
      </w:pPr>
      <w:r w:rsidRPr="004E4F5D">
        <w:rPr>
          <w:rFonts w:ascii="Calibri" w:hAnsi="Calibri" w:cs="Calibri"/>
          <w:sz w:val="24"/>
          <w:szCs w:val="24"/>
        </w:rPr>
        <w:t>Powłoki malarskie nanosić podczas sprzyjających warunków atmosferycznych. Tereny w sąsiedztwie malowanych obiektów zabezpieczyć poprzez rozłożenie nieprzepuszczalnego oraz niewrażliwego na działanie powłok malarskich materiału. Stosować powłoki malarskie niezawierające bądź zawierające minimalną zawartość lotnych związków organicznych.</w:t>
      </w:r>
    </w:p>
    <w:p w14:paraId="5090510F" w14:textId="77777777" w:rsidR="004E4F5D" w:rsidRDefault="004E4F5D" w:rsidP="004E4F5D">
      <w:pPr>
        <w:pStyle w:val="Akapitzlist"/>
        <w:numPr>
          <w:ilvl w:val="0"/>
          <w:numId w:val="19"/>
        </w:numPr>
        <w:spacing w:after="0" w:line="360" w:lineRule="auto"/>
        <w:rPr>
          <w:rFonts w:ascii="Calibri" w:hAnsi="Calibri" w:cs="Calibri"/>
          <w:sz w:val="24"/>
          <w:szCs w:val="24"/>
        </w:rPr>
      </w:pPr>
      <w:r w:rsidRPr="004E4F5D">
        <w:rPr>
          <w:rFonts w:ascii="Calibri" w:hAnsi="Calibri" w:cs="Calibri"/>
          <w:sz w:val="24"/>
          <w:szCs w:val="24"/>
        </w:rPr>
        <w:t xml:space="preserve">Monitoring </w:t>
      </w:r>
      <w:proofErr w:type="spellStart"/>
      <w:r w:rsidRPr="004E4F5D">
        <w:rPr>
          <w:rFonts w:ascii="Calibri" w:hAnsi="Calibri" w:cs="Calibri"/>
          <w:sz w:val="24"/>
          <w:szCs w:val="24"/>
        </w:rPr>
        <w:t>porealizacyjny</w:t>
      </w:r>
      <w:proofErr w:type="spellEnd"/>
    </w:p>
    <w:p w14:paraId="23897038" w14:textId="77777777" w:rsidR="004E4F5D" w:rsidRDefault="004E4F5D" w:rsidP="004E4F5D">
      <w:pPr>
        <w:pStyle w:val="Akapitzlist"/>
        <w:numPr>
          <w:ilvl w:val="1"/>
          <w:numId w:val="19"/>
        </w:numPr>
        <w:spacing w:after="0" w:line="360" w:lineRule="auto"/>
        <w:ind w:hanging="578"/>
        <w:rPr>
          <w:rFonts w:ascii="Calibri" w:hAnsi="Calibri" w:cs="Calibri"/>
          <w:sz w:val="24"/>
          <w:szCs w:val="24"/>
        </w:rPr>
      </w:pPr>
      <w:r w:rsidRPr="004E4F5D">
        <w:rPr>
          <w:rFonts w:ascii="Calibri" w:hAnsi="Calibri" w:cs="Calibri"/>
          <w:sz w:val="24"/>
          <w:szCs w:val="24"/>
        </w:rPr>
        <w:t xml:space="preserve">Wykonać trzyletni monitoring </w:t>
      </w:r>
      <w:proofErr w:type="spellStart"/>
      <w:r w:rsidRPr="004E4F5D">
        <w:rPr>
          <w:rFonts w:ascii="Calibri" w:hAnsi="Calibri" w:cs="Calibri"/>
          <w:sz w:val="24"/>
          <w:szCs w:val="24"/>
        </w:rPr>
        <w:t>porealizacyjny</w:t>
      </w:r>
      <w:proofErr w:type="spellEnd"/>
      <w:r w:rsidRPr="004E4F5D">
        <w:rPr>
          <w:rFonts w:ascii="Calibri" w:hAnsi="Calibri" w:cs="Calibri"/>
          <w:sz w:val="24"/>
          <w:szCs w:val="24"/>
        </w:rPr>
        <w:t xml:space="preserve"> śmiertelności ptaków. Monitoring </w:t>
      </w:r>
      <w:proofErr w:type="spellStart"/>
      <w:r w:rsidRPr="004E4F5D">
        <w:rPr>
          <w:rFonts w:ascii="Calibri" w:hAnsi="Calibri" w:cs="Calibri"/>
          <w:sz w:val="24"/>
          <w:szCs w:val="24"/>
        </w:rPr>
        <w:t>porealizacyjny</w:t>
      </w:r>
      <w:proofErr w:type="spellEnd"/>
      <w:r w:rsidRPr="004E4F5D">
        <w:rPr>
          <w:rFonts w:ascii="Calibri" w:hAnsi="Calibri" w:cs="Calibri"/>
          <w:sz w:val="24"/>
          <w:szCs w:val="24"/>
        </w:rPr>
        <w:t xml:space="preserve"> wykonać w 1, 2 i 3 roku funkcjonowania linii. Wyniki monitoringu śmiertelności ptaków wraz z analizą wniosków w odniesieniu do raportu o oddziaływaniu na środowisko i skuteczności zaproponowanych działań ograniczających negatywne oddziaływanie na gatunki ptaków należy przedłożyć w formie papierowej oraz elektronicznej w terminie jednego roku od ukończenia prowadzonych badań. Ze względu na dużo większe ograniczenia skuteczności odnalezienia potencjalnych ofiar w środowisku leśnym, na terenach leśnych przejście pod przewodami linii przeprowadzić na danym odcinku dwukrotnie – tam i z powrotem (z obu stron pod przewodami linii). Kontrole należy przeprowadzić z udziałem ornitologa posiadającego doświadczenie w prowadzeniu monitoringu śmiertelności ptaków. W przypadku monitoringu śmiertelności prowadzonego z psem tropiącym wystarczy jednorazowe przejście pod przewodami linii.</w:t>
      </w:r>
    </w:p>
    <w:p w14:paraId="3DC20520" w14:textId="77777777" w:rsidR="004E4F5D" w:rsidRDefault="004E4F5D" w:rsidP="004E4F5D">
      <w:pPr>
        <w:pStyle w:val="Akapitzlist"/>
        <w:numPr>
          <w:ilvl w:val="1"/>
          <w:numId w:val="19"/>
        </w:numPr>
        <w:spacing w:after="0" w:line="360" w:lineRule="auto"/>
        <w:ind w:hanging="578"/>
        <w:rPr>
          <w:rFonts w:ascii="Calibri" w:hAnsi="Calibri" w:cs="Calibri"/>
          <w:sz w:val="24"/>
          <w:szCs w:val="24"/>
        </w:rPr>
      </w:pPr>
      <w:r w:rsidRPr="004E4F5D">
        <w:rPr>
          <w:rFonts w:ascii="Calibri" w:hAnsi="Calibri" w:cs="Calibri"/>
          <w:sz w:val="24"/>
          <w:szCs w:val="24"/>
        </w:rPr>
        <w:t xml:space="preserve">Wyniki monitoringu przekazywać w raportach okresowych oraz raporcie końcowym. Wyniki i wnioski monitoringu wraz z opisem zastosowanej metodyki, oceną wpływu, oceną skuteczności oraz ewentualnymi dodatkowymi działaniami minimalizującymi wpływ inwestycji i propozycją działań naprawczych należy przedstawić Regionalnemu Dyrektorowi Ochrony Środowiska w Olsztynie w terminie do 3 miesięcy od zakończenia </w:t>
      </w:r>
      <w:r w:rsidRPr="004E4F5D">
        <w:rPr>
          <w:rFonts w:ascii="Calibri" w:hAnsi="Calibri" w:cs="Calibri"/>
          <w:sz w:val="24"/>
          <w:szCs w:val="24"/>
        </w:rPr>
        <w:lastRenderedPageBreak/>
        <w:t>każdego roku obserwacji, w formie raportu okresowego i w ciągu 3 miesięcy od zakończenia całorocznego monitoringu jako raport końcowy.</w:t>
      </w:r>
      <w:r>
        <w:rPr>
          <w:rFonts w:ascii="Calibri" w:hAnsi="Calibri" w:cs="Calibri"/>
          <w:sz w:val="24"/>
          <w:szCs w:val="24"/>
        </w:rPr>
        <w:t xml:space="preserve"> </w:t>
      </w:r>
    </w:p>
    <w:p w14:paraId="0FDBF941" w14:textId="77777777" w:rsidR="004E4F5D" w:rsidRDefault="004E4F5D" w:rsidP="004E4F5D">
      <w:pPr>
        <w:pStyle w:val="Akapitzlist"/>
        <w:numPr>
          <w:ilvl w:val="1"/>
          <w:numId w:val="19"/>
        </w:numPr>
        <w:spacing w:after="0" w:line="360" w:lineRule="auto"/>
        <w:ind w:hanging="578"/>
        <w:rPr>
          <w:rFonts w:ascii="Calibri" w:hAnsi="Calibri" w:cs="Calibri"/>
          <w:sz w:val="24"/>
          <w:szCs w:val="24"/>
        </w:rPr>
      </w:pPr>
      <w:r w:rsidRPr="004E4F5D">
        <w:rPr>
          <w:rFonts w:ascii="Calibri" w:hAnsi="Calibri" w:cs="Calibri"/>
          <w:sz w:val="24"/>
          <w:szCs w:val="24"/>
        </w:rPr>
        <w:t>Nadzór nad wykonywaniem zapisów decyzji o środowiskowych uwarunkowaniach w zakresie przestrzegania ustalonych warunków realizacji inwestycji oraz nadzór nad realizacją prac w ramach innych zezwoleń wynikających z ustawy o ochronie przyrody prowadzić i dokumentować wpisami w dokumentacji nadzoru przyrodniczego.</w:t>
      </w:r>
    </w:p>
    <w:p w14:paraId="026CC583" w14:textId="7B62754A" w:rsidR="004E4F5D" w:rsidRPr="004E4F5D" w:rsidRDefault="004E4F5D" w:rsidP="004E4F5D">
      <w:pPr>
        <w:pStyle w:val="Akapitzlist"/>
        <w:numPr>
          <w:ilvl w:val="0"/>
          <w:numId w:val="7"/>
        </w:numPr>
        <w:spacing w:after="100" w:afterAutospacing="1" w:line="360" w:lineRule="auto"/>
        <w:ind w:left="714" w:hanging="357"/>
        <w:rPr>
          <w:rFonts w:ascii="Calibri" w:hAnsi="Calibri" w:cs="Calibri"/>
          <w:sz w:val="24"/>
          <w:szCs w:val="24"/>
        </w:rPr>
      </w:pPr>
      <w:r w:rsidRPr="004E4F5D">
        <w:rPr>
          <w:rFonts w:ascii="Calibri" w:hAnsi="Calibri" w:cs="Calibri"/>
          <w:sz w:val="24"/>
          <w:szCs w:val="24"/>
        </w:rPr>
        <w:t>Charakterystyka przedsięwzięcia stanowi załącznik do niniejszej decyzji.</w:t>
      </w:r>
    </w:p>
    <w:p w14:paraId="71BF6806" w14:textId="4279C24F" w:rsidR="003D1849" w:rsidRDefault="00D9304D" w:rsidP="003D1849">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 xml:space="preserve">Uzasadnienie </w:t>
      </w:r>
    </w:p>
    <w:p w14:paraId="38109D79" w14:textId="77777777" w:rsidR="00791BBF" w:rsidRPr="00791BBF" w:rsidRDefault="004E4F5D" w:rsidP="00791BBF">
      <w:pPr>
        <w:spacing w:after="0" w:line="360" w:lineRule="auto"/>
        <w:rPr>
          <w:rFonts w:cstheme="minorHAnsi"/>
          <w:color w:val="00000A"/>
          <w:sz w:val="24"/>
          <w:szCs w:val="24"/>
        </w:rPr>
      </w:pPr>
      <w:r w:rsidRPr="00791BBF">
        <w:rPr>
          <w:rFonts w:cstheme="minorHAnsi"/>
          <w:color w:val="00000A"/>
          <w:sz w:val="24"/>
          <w:szCs w:val="24"/>
        </w:rPr>
        <w:t>Przedmiotowa</w:t>
      </w:r>
      <w:r w:rsidR="00791BBF" w:rsidRPr="00791BBF">
        <w:rPr>
          <w:rFonts w:cstheme="minorHAnsi"/>
          <w:color w:val="00000A"/>
          <w:sz w:val="24"/>
          <w:szCs w:val="24"/>
        </w:rPr>
        <w:t xml:space="preserve"> </w:t>
      </w:r>
      <w:r w:rsidR="00791BBF" w:rsidRPr="00791BBF">
        <w:rPr>
          <w:rFonts w:ascii="Calibri" w:hAnsi="Calibri" w:cs="Calibri"/>
          <w:color w:val="000000"/>
          <w:sz w:val="24"/>
          <w:szCs w:val="24"/>
        </w:rPr>
        <w:t xml:space="preserve">inwestycja pn. Przebudowa napowietrznej linii WN 110 </w:t>
      </w:r>
      <w:proofErr w:type="spellStart"/>
      <w:r w:rsidR="00791BBF" w:rsidRPr="00791BBF">
        <w:rPr>
          <w:rFonts w:ascii="Calibri" w:hAnsi="Calibri" w:cs="Calibri"/>
          <w:color w:val="000000"/>
          <w:sz w:val="24"/>
          <w:szCs w:val="24"/>
        </w:rPr>
        <w:t>kV</w:t>
      </w:r>
      <w:proofErr w:type="spellEnd"/>
      <w:r w:rsidR="00791BBF" w:rsidRPr="00791BBF">
        <w:rPr>
          <w:rFonts w:ascii="Calibri" w:hAnsi="Calibri" w:cs="Calibri"/>
          <w:color w:val="000000"/>
          <w:sz w:val="24"/>
          <w:szCs w:val="24"/>
        </w:rPr>
        <w:t xml:space="preserve"> relacji Olsztyn Mątki - Olsztynek, zgodnie z Rozporządzeniem Rady Ministrów z dnia 10 września 2019 r. w sprawie przedsięwzięć mogących znacząco oddziaływać na środowisko (Dz. U. z 2019 r. poz. 1839, z </w:t>
      </w:r>
      <w:proofErr w:type="spellStart"/>
      <w:r w:rsidR="00791BBF" w:rsidRPr="00791BBF">
        <w:rPr>
          <w:rFonts w:ascii="Calibri" w:hAnsi="Calibri" w:cs="Calibri"/>
          <w:color w:val="000000"/>
          <w:sz w:val="24"/>
          <w:szCs w:val="24"/>
        </w:rPr>
        <w:t>późn</w:t>
      </w:r>
      <w:proofErr w:type="spellEnd"/>
      <w:r w:rsidR="00791BBF" w:rsidRPr="00791BBF">
        <w:rPr>
          <w:rFonts w:ascii="Calibri" w:hAnsi="Calibri" w:cs="Calibri"/>
          <w:color w:val="000000"/>
          <w:sz w:val="24"/>
          <w:szCs w:val="24"/>
        </w:rPr>
        <w:t>. zm.), kwalifikuje się do przedsięwzięć mogących potencjalnie znacząco oddziaływać na środowisko, tj.</w:t>
      </w:r>
      <w:bookmarkStart w:id="1" w:name="_Hlk180570984"/>
    </w:p>
    <w:p w14:paraId="3EEF1B6D" w14:textId="77777777" w:rsidR="00791BBF" w:rsidRPr="00791BBF" w:rsidRDefault="00791BBF" w:rsidP="00791BBF">
      <w:pPr>
        <w:pStyle w:val="Akapitzlist"/>
        <w:numPr>
          <w:ilvl w:val="0"/>
          <w:numId w:val="28"/>
        </w:numPr>
        <w:spacing w:after="0" w:line="360" w:lineRule="auto"/>
        <w:rPr>
          <w:rFonts w:cstheme="minorHAnsi"/>
          <w:color w:val="00000A"/>
          <w:sz w:val="24"/>
          <w:szCs w:val="24"/>
        </w:rPr>
      </w:pPr>
      <w:r w:rsidRPr="00791BBF">
        <w:rPr>
          <w:rFonts w:ascii="Calibri" w:hAnsi="Calibri" w:cs="Calibri"/>
          <w:color w:val="000000"/>
          <w:sz w:val="24"/>
          <w:szCs w:val="24"/>
        </w:rPr>
        <w:t xml:space="preserve">§ 3 ust. 1 pkt </w:t>
      </w:r>
      <w:bookmarkEnd w:id="1"/>
      <w:r w:rsidRPr="00791BBF">
        <w:rPr>
          <w:rFonts w:ascii="Calibri" w:hAnsi="Calibri" w:cs="Calibri"/>
          <w:color w:val="000000"/>
          <w:sz w:val="24"/>
          <w:szCs w:val="24"/>
        </w:rPr>
        <w:t xml:space="preserve">7 - napowietrzne linie elektroenergetyczne o napięciu znamionowym nie mniejszym niż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inne niż wymienione w § 2 ust. 1 pkt 6;</w:t>
      </w:r>
    </w:p>
    <w:p w14:paraId="70C800CE" w14:textId="77777777" w:rsidR="00791BBF" w:rsidRDefault="00791BBF" w:rsidP="00791BBF">
      <w:pPr>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Zgodnie z art. 71 ust. 2 pkt 2 ustawy z dnia 3 października 2008 r. o udostępnianiu informacji o środowisku i jego ochronie, udziale społeczeństwa w ochronie środowiska oraz o ocenach oddziaływania na środowisko (Dz. U. z 2026 r. poz. 670) - zwanej dalej ustawą </w:t>
      </w:r>
      <w:proofErr w:type="spellStart"/>
      <w:r w:rsidRPr="00791BBF">
        <w:rPr>
          <w:rFonts w:ascii="Calibri" w:hAnsi="Calibri" w:cs="Calibri"/>
          <w:color w:val="000000"/>
          <w:sz w:val="24"/>
          <w:szCs w:val="24"/>
        </w:rPr>
        <w:t>ooś</w:t>
      </w:r>
      <w:proofErr w:type="spellEnd"/>
      <w:r w:rsidRPr="00791BBF">
        <w:rPr>
          <w:rFonts w:ascii="Calibri" w:hAnsi="Calibri" w:cs="Calibri"/>
          <w:color w:val="000000"/>
          <w:sz w:val="24"/>
          <w:szCs w:val="24"/>
        </w:rPr>
        <w:t xml:space="preserve"> dla planowanych przedsięwzięć mogących potencjalnie znacząco oddziaływać na środowisko wymagane jest uzyskanie decyzji o środowiskowych uwarunkowaniach. </w:t>
      </w:r>
    </w:p>
    <w:p w14:paraId="364B62B9" w14:textId="77777777" w:rsidR="00791BBF" w:rsidRDefault="00791BBF" w:rsidP="00791BBF">
      <w:pPr>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W myśl art. 75 ust. 1 pkt 1 lit. k ustawy </w:t>
      </w:r>
      <w:proofErr w:type="spellStart"/>
      <w:r w:rsidRPr="00791BBF">
        <w:rPr>
          <w:rFonts w:ascii="Calibri" w:hAnsi="Calibri" w:cs="Calibri"/>
          <w:color w:val="000000"/>
          <w:sz w:val="24"/>
          <w:szCs w:val="24"/>
        </w:rPr>
        <w:t>ooś</w:t>
      </w:r>
      <w:proofErr w:type="spellEnd"/>
      <w:r w:rsidRPr="00791BBF">
        <w:rPr>
          <w:rFonts w:ascii="Calibri" w:hAnsi="Calibri" w:cs="Calibri"/>
          <w:color w:val="000000"/>
          <w:sz w:val="24"/>
          <w:szCs w:val="24"/>
        </w:rPr>
        <w:t>, organem właściwym do wydania decyzji o środowiskowych uwarunkowaniach w przypadku strategicznej inwestycji w zakresie sieci przesyłowej oraz inwestycji towarzyszącej realizowanych na podstawie przepisów ustawy z dnia 24 lipca 2015 r. o przygotowaniu i realizacji strategicznych inwestycji w zakresie sieci przesyłowych jest regionalny dyrektor ochrony środowiska. Przedmiotowa inwestycja realizowana będzie w ramach ustawy z dnia 24 lipca 2015 r. o przygotowaniu i realizacji strategicznych inwestycji w zakresie sieci przesyłowych (</w:t>
      </w:r>
      <w:bookmarkStart w:id="2" w:name="_Hlk180571420"/>
      <w:r w:rsidRPr="00791BBF">
        <w:rPr>
          <w:rFonts w:ascii="Calibri" w:hAnsi="Calibri" w:cs="Calibri"/>
          <w:color w:val="000000"/>
          <w:sz w:val="24"/>
          <w:szCs w:val="24"/>
        </w:rPr>
        <w:t xml:space="preserve">Dz. U. z 2024 r. poz. </w:t>
      </w:r>
      <w:bookmarkEnd w:id="2"/>
      <w:r w:rsidRPr="00791BBF">
        <w:rPr>
          <w:rFonts w:ascii="Calibri" w:hAnsi="Calibri" w:cs="Calibri"/>
          <w:color w:val="000000"/>
          <w:sz w:val="24"/>
          <w:szCs w:val="24"/>
        </w:rPr>
        <w:t xml:space="preserve">1199) oraz Rozporządzenia Rady Ministrów z dnia 21 listopada 2023 r. w sprawie wykazu inwestycji towarzyszących polegających na przebudowie istniejących linii elektroenergetycznych stanowiących elementy sieci dystrybucyjnej o napięciu równym lub wyższym niż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(Dz. U. z 2023 r. poz. 2570).</w:t>
      </w:r>
    </w:p>
    <w:p w14:paraId="1E2E0AD3" w14:textId="77777777" w:rsidR="00791BBF" w:rsidRDefault="00791BBF" w:rsidP="00791BBF">
      <w:pPr>
        <w:spacing w:after="0" w:line="360" w:lineRule="auto"/>
        <w:rPr>
          <w:rFonts w:cstheme="minorHAnsi"/>
          <w:color w:val="00000A"/>
          <w:sz w:val="24"/>
          <w:szCs w:val="24"/>
        </w:rPr>
      </w:pPr>
      <w:r w:rsidRPr="00791BBF">
        <w:rPr>
          <w:rFonts w:ascii="Calibri" w:hAnsi="Calibri" w:cs="Calibri"/>
          <w:color w:val="000000"/>
          <w:sz w:val="24"/>
          <w:szCs w:val="24"/>
        </w:rPr>
        <w:lastRenderedPageBreak/>
        <w:t xml:space="preserve">W związku z powyższym Inwestor, tj. ENERGA – OPERATOR S.A., działający przez pełnomocnika Panią Weronikę Lewicką, wystąpił do Regionalnego Dyrektora Ochrony </w:t>
      </w:r>
      <w:r w:rsidRPr="00791BBF">
        <w:rPr>
          <w:rFonts w:ascii="Calibri" w:hAnsi="Calibri" w:cs="Calibri"/>
          <w:color w:val="000000"/>
          <w:sz w:val="24"/>
          <w:szCs w:val="24"/>
        </w:rPr>
        <w:br/>
        <w:t xml:space="preserve">w Olsztynie wnioskiem z 12 sierpnia 2024 r. (data wpływu 16.08.2024 r.) o wydanie decyzji </w:t>
      </w:r>
      <w:r w:rsidRPr="00791BBF">
        <w:rPr>
          <w:rFonts w:ascii="Calibri" w:hAnsi="Calibri" w:cs="Calibri"/>
          <w:color w:val="000000"/>
          <w:sz w:val="24"/>
          <w:szCs w:val="24"/>
        </w:rPr>
        <w:br/>
        <w:t xml:space="preserve">o środowiskowych uwarunkowaniach dla przedsięwzięcia pn. Przebudowa napowietrznej linii WN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relacji Olsztyn Mątki - Olsztynek. Do wniosku dołączono m.in. kartę informacyjną przedsięwzięcia wraz z załącznikami (w formie papierowej i elektronicznej). </w:t>
      </w:r>
    </w:p>
    <w:p w14:paraId="3B0BA84F"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 xml:space="preserve">O wszczęciu postępowania administracyjnego w przedmiocie wydania decyzji o środowiskowych uwarunkowaniach dla ww. przedsięwzięcia, strony zostały poinformowane zawiadomieniem z 3 września 2024 r., znak: WOOŚ.420.16.2024.MK.2 oraz stosownie do art. 49 Kpa, w związku z art. 74 ust. 3 ustawy </w:t>
      </w:r>
      <w:proofErr w:type="spellStart"/>
      <w:r w:rsidRPr="00791BBF">
        <w:rPr>
          <w:rFonts w:ascii="Calibri" w:eastAsia="SimSun" w:hAnsi="Calibri" w:cs="Calibri"/>
          <w:color w:val="000000"/>
          <w:kern w:val="3"/>
          <w:sz w:val="24"/>
          <w:szCs w:val="24"/>
          <w:lang w:eastAsia="zh-CN" w:bidi="hi-IN"/>
        </w:rPr>
        <w:t>ooś</w:t>
      </w:r>
      <w:proofErr w:type="spellEnd"/>
      <w:r w:rsidRPr="00791BBF">
        <w:rPr>
          <w:rFonts w:ascii="Calibri" w:eastAsia="SimSun" w:hAnsi="Calibri" w:cs="Calibri"/>
          <w:color w:val="000000"/>
          <w:kern w:val="3"/>
          <w:sz w:val="24"/>
          <w:szCs w:val="24"/>
          <w:lang w:eastAsia="zh-CN" w:bidi="hi-IN"/>
        </w:rPr>
        <w:t xml:space="preserve"> w sposób zwyczajowo przyjęty - obwieszczeniem z 3 września 2024 r., znak: </w:t>
      </w:r>
      <w:bookmarkStart w:id="3" w:name="_Hlk103247727"/>
      <w:r w:rsidRPr="00791BBF">
        <w:rPr>
          <w:rFonts w:ascii="Calibri" w:eastAsia="SimSun" w:hAnsi="Calibri" w:cs="Calibri"/>
          <w:color w:val="000000"/>
          <w:kern w:val="3"/>
          <w:sz w:val="24"/>
          <w:szCs w:val="24"/>
          <w:lang w:eastAsia="zh-CN" w:bidi="hi-IN"/>
        </w:rPr>
        <w:t>WOOŚ.420.</w:t>
      </w:r>
      <w:bookmarkEnd w:id="3"/>
      <w:r w:rsidRPr="00791BBF">
        <w:rPr>
          <w:rFonts w:ascii="Calibri" w:eastAsia="SimSun" w:hAnsi="Calibri" w:cs="Calibri"/>
          <w:color w:val="000000"/>
          <w:kern w:val="3"/>
          <w:sz w:val="24"/>
          <w:szCs w:val="24"/>
          <w:lang w:eastAsia="zh-CN" w:bidi="hi-IN"/>
        </w:rPr>
        <w:t xml:space="preserve">16.2024.MK.4, umieszczonym: na tablicy ogłoszeń i stronie Biuletynu Informacji Publicznej Regionalnej Dyrekcji Ochrony Środowiska w Olsztynie. Ponadto, Regionalny Dyrektor Ochrony Środowiska w Olsztynie pismem z 3 września 2024 r., znak: WOOŚ.420.16.2024.MK.5 zgodnie z art. 74 ust. 3aa ustawy </w:t>
      </w:r>
      <w:proofErr w:type="spellStart"/>
      <w:r w:rsidRPr="00791BBF">
        <w:rPr>
          <w:rFonts w:ascii="Calibri" w:eastAsia="SimSun" w:hAnsi="Calibri" w:cs="Calibri"/>
          <w:color w:val="000000"/>
          <w:kern w:val="3"/>
          <w:sz w:val="24"/>
          <w:szCs w:val="24"/>
          <w:lang w:eastAsia="zh-CN" w:bidi="hi-IN"/>
        </w:rPr>
        <w:t>ooś</w:t>
      </w:r>
      <w:proofErr w:type="spellEnd"/>
      <w:r w:rsidRPr="00791BBF">
        <w:rPr>
          <w:rFonts w:ascii="Calibri" w:eastAsia="SimSun" w:hAnsi="Calibri" w:cs="Calibri"/>
          <w:color w:val="000000"/>
          <w:kern w:val="3"/>
          <w:sz w:val="24"/>
          <w:szCs w:val="24"/>
          <w:lang w:eastAsia="zh-CN" w:bidi="hi-IN"/>
        </w:rPr>
        <w:t xml:space="preserve"> powiadomił Organy Gminy właściwej ze względu na obszar realizacji inwestycji i jej oddziaływania, tj. Urząd Miejski w Olsztynku oraz Urząd Gminy Stawiguda o ww. czynnościach.  Zgodnie z ww. art. 74 ust. 3aa ustawy </w:t>
      </w:r>
      <w:proofErr w:type="spellStart"/>
      <w:r w:rsidRPr="00791BBF">
        <w:rPr>
          <w:rFonts w:ascii="Calibri" w:eastAsia="SimSun" w:hAnsi="Calibri" w:cs="Calibri"/>
          <w:color w:val="000000"/>
          <w:kern w:val="3"/>
          <w:sz w:val="24"/>
          <w:szCs w:val="24"/>
          <w:lang w:eastAsia="zh-CN" w:bidi="hi-IN"/>
        </w:rPr>
        <w:t>ooś</w:t>
      </w:r>
      <w:proofErr w:type="spellEnd"/>
      <w:r w:rsidRPr="00791BBF">
        <w:rPr>
          <w:rFonts w:ascii="Calibri" w:eastAsia="SimSun" w:hAnsi="Calibri" w:cs="Calibri"/>
          <w:color w:val="000000"/>
          <w:kern w:val="3"/>
          <w:sz w:val="24"/>
          <w:szCs w:val="24"/>
          <w:lang w:eastAsia="zh-CN" w:bidi="hi-IN"/>
        </w:rPr>
        <w:t xml:space="preserve"> „(…) Wójt, burmistrz lub prezydent miasta udostępnia powiadomienie w Biuletynie Informacji Publicznej lub dokonuje publicznego ogłoszenia w sposób zwyczajowo przyjęty w danej miejscowości."</w:t>
      </w:r>
    </w:p>
    <w:p w14:paraId="078BC9E4"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Regionalny Dyrektor Ochrony Środowiska w Olsztynie pismem z 3 września 2024 r., znak: WOOŚ.16.2024.MK.3</w:t>
      </w:r>
      <w:r w:rsidRPr="00791BBF">
        <w:rPr>
          <w:rFonts w:ascii="Calibri" w:hAnsi="Calibri" w:cs="Calibri"/>
          <w:color w:val="000000"/>
          <w:sz w:val="24"/>
          <w:szCs w:val="24"/>
        </w:rPr>
        <w:t xml:space="preserve"> wystąpił do </w:t>
      </w:r>
      <w:r w:rsidRPr="00791BBF">
        <w:rPr>
          <w:rFonts w:ascii="Calibri" w:eastAsia="SimSun" w:hAnsi="Calibri" w:cs="Calibri"/>
          <w:color w:val="000000"/>
          <w:kern w:val="3"/>
          <w:sz w:val="24"/>
          <w:szCs w:val="24"/>
          <w:lang w:eastAsia="zh-CN" w:bidi="hi-IN"/>
        </w:rPr>
        <w:t xml:space="preserve">Dyrektora Państwowego Gospodarstwa Wodnego Wody Polskie, Zarządu Zlewni w Olsztynie oraz Państwowego Powiatowego Inspektora Sanitarnego </w:t>
      </w:r>
      <w:r w:rsidRPr="00791BBF">
        <w:rPr>
          <w:rFonts w:ascii="Calibri" w:eastAsia="SimSun" w:hAnsi="Calibri" w:cs="Calibri"/>
          <w:color w:val="000000"/>
          <w:kern w:val="3"/>
          <w:sz w:val="24"/>
          <w:szCs w:val="24"/>
          <w:lang w:eastAsia="zh-CN" w:bidi="hi-IN"/>
        </w:rPr>
        <w:br/>
        <w:t>w Olsztynie o opinie w sprawie obowiązku przeprowadzenia dla przedmiotowego przedsięwzięcia oceny oddziaływania na środowisko.</w:t>
      </w:r>
    </w:p>
    <w:p w14:paraId="104E713E"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Państwowe Gospodarstwo Wodne Wody Polskie Zarząd Zlewni w Olsztynie zawiadomieniem z dnia 10.09.2024 r., znak: BO.ZZŚ.4901.136.2024.NB, poinformowało, że planowane przedsięwzięcie zlokalizowane jest na obszarze dwóch zlewni. Jednocześnie wskazało, że z uwagi na fakt, iż przedsięwzięcie w przeważającej części znajduje się na terenie właściwości Zarządu Zlewni w Elblągu, organem właściwym do wydania opinii w sprawie konieczności przeprowadzenia oceny oddziaływania na środowisko jest Zarząd Zlewni w Elblągu. W związku z powyższym przekazało temu organowi wystąpienie Regionalnego Dyrektora Ochrony Środowiska w Olsztynie o wydanie opinii.</w:t>
      </w:r>
    </w:p>
    <w:p w14:paraId="409D0975"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lastRenderedPageBreak/>
        <w:t>Państwowy Powiatowy Inspektor Sanitarny w Olsztynie w opinii sanitarnej z 20 września 2024 r., znak: ZNS.9022.3.63.2024.EK (data wpływu 20.09.2024 r.), wyraził opinię o braku potrzeby przeprowadzenia oceny oddziaływania na środowisko dla rozpatrywanego przedsięwzięcia.</w:t>
      </w:r>
    </w:p>
    <w:p w14:paraId="2984177D" w14:textId="77777777" w:rsidR="00791BBF" w:rsidRDefault="00791BBF" w:rsidP="00791BBF">
      <w:pPr>
        <w:spacing w:after="0" w:line="360" w:lineRule="auto"/>
        <w:rPr>
          <w:rFonts w:ascii="Calibri" w:eastAsia="SimSun" w:hAnsi="Calibri" w:cs="Calibri"/>
          <w:color w:val="000000"/>
          <w:kern w:val="3"/>
          <w:sz w:val="24"/>
          <w:szCs w:val="24"/>
          <w:lang w:eastAsia="zh-CN" w:bidi="hi-IN"/>
        </w:rPr>
      </w:pPr>
      <w:r w:rsidRPr="00791BBF">
        <w:rPr>
          <w:rFonts w:ascii="Calibri" w:eastAsia="SimSun" w:hAnsi="Calibri" w:cs="Calibri"/>
          <w:color w:val="000000"/>
          <w:kern w:val="3"/>
          <w:sz w:val="24"/>
          <w:szCs w:val="24"/>
          <w:lang w:eastAsia="zh-CN" w:bidi="hi-IN"/>
        </w:rPr>
        <w:t xml:space="preserve">Dyrektor Państwowego Gospodarstwa Wodnego Wody Polskie, Zarządu Zlewni </w:t>
      </w:r>
      <w:r w:rsidRPr="00791BBF">
        <w:rPr>
          <w:rFonts w:ascii="Calibri" w:eastAsia="SimSun" w:hAnsi="Calibri" w:cs="Calibri"/>
          <w:color w:val="000000"/>
          <w:kern w:val="3"/>
          <w:sz w:val="24"/>
          <w:szCs w:val="24"/>
          <w:lang w:eastAsia="zh-CN" w:bidi="hi-IN"/>
        </w:rPr>
        <w:br/>
        <w:t>w Elblągu przy piśmie z 16 października 2024 r., znak: GE.ZZŚ.4901.134.2024 (data wpływu 23.10.2024 r.) wezwał RDOŚ w Olsztynie o przekazanie dodatkowych informacji w celu określenia właściwego organu PGWWP w przedmiotowej sprawie</w:t>
      </w:r>
      <w:r>
        <w:rPr>
          <w:rFonts w:ascii="Calibri" w:eastAsia="SimSun" w:hAnsi="Calibri" w:cs="Calibri"/>
          <w:color w:val="000000"/>
          <w:kern w:val="3"/>
          <w:sz w:val="24"/>
          <w:szCs w:val="24"/>
          <w:lang w:eastAsia="zh-CN" w:bidi="hi-IN"/>
        </w:rPr>
        <w:t>.</w:t>
      </w:r>
    </w:p>
    <w:p w14:paraId="4BDD934F"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 xml:space="preserve">W związku z powyższym, tut. Organ pismem z 30 września 2024 r., znak: WOOŚ.420.16.2024.MK.6 poprosił Wnioskodawcę o ustosunkowanie się do ww. wezwania przekazując je w załączeniu. Jednocześnie pismem z 30 września 2024 r., znak: WOOŚ.420.16.2024.MK.8 RDOŚ w Olsztynie poinformował PGWWP Zarząd Zlewni w Elblągu </w:t>
      </w:r>
      <w:r w:rsidRPr="00791BBF">
        <w:rPr>
          <w:rFonts w:ascii="Calibri" w:eastAsia="SimSun" w:hAnsi="Calibri" w:cs="Calibri"/>
          <w:color w:val="000000"/>
          <w:kern w:val="3"/>
          <w:sz w:val="24"/>
          <w:szCs w:val="24"/>
          <w:lang w:eastAsia="zh-CN" w:bidi="hi-IN"/>
        </w:rPr>
        <w:br/>
        <w:t xml:space="preserve">o przekazaniu wezwania Inwestorowi oraz wyznaczył termin przekazania uzupełnienia na </w:t>
      </w:r>
      <w:r w:rsidRPr="00791BBF">
        <w:rPr>
          <w:rFonts w:ascii="Calibri" w:eastAsia="SimSun" w:hAnsi="Calibri" w:cs="Calibri"/>
          <w:color w:val="000000"/>
          <w:kern w:val="3"/>
          <w:sz w:val="24"/>
          <w:szCs w:val="24"/>
          <w:lang w:eastAsia="zh-CN" w:bidi="hi-IN"/>
        </w:rPr>
        <w:br/>
        <w:t xml:space="preserve">21 października 2024 r. O ww. czynnościach tut. Organ poinformował społeczeństwo obwieszczeniem z 30 września 2024 r., znak: WOOŚ.420.16.2024.MK.7 oraz Organy Gminy właściwe ze względu na obszar realizacji inwestycji i jej oddziaływania powiadomieniem </w:t>
      </w:r>
      <w:r w:rsidRPr="00791BBF">
        <w:rPr>
          <w:rFonts w:ascii="Calibri" w:eastAsia="SimSun" w:hAnsi="Calibri" w:cs="Calibri"/>
          <w:color w:val="000000"/>
          <w:kern w:val="3"/>
          <w:sz w:val="24"/>
          <w:szCs w:val="24"/>
          <w:lang w:eastAsia="zh-CN" w:bidi="hi-IN"/>
        </w:rPr>
        <w:br/>
        <w:t>z 30 września 2024 r., znak: WOOŚ.420.16.2024.MK.9.</w:t>
      </w:r>
    </w:p>
    <w:p w14:paraId="60F06A32"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Pełnomocnik Inwestora – Pani Weronika Lewicka przy piśmie z 10 października 2024 r. złożył do tut. organu stosowne wyjaśnienia (data wpływu: 14.10.2024 r.), które RDOŚ w Olsztynie przekazał PGWWP Zarządowi Zlewni w Elblągu przy piśmie z 16 października 2024 r., znak: WOOŚ.420.16.2024.MK.10.</w:t>
      </w:r>
    </w:p>
    <w:p w14:paraId="75F3415C"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 xml:space="preserve">Pismem z 24 października 2024 r., znak: WOOŚ.420.16.2024.MK.11 RDOŚ w Olsztynie wezwał Inwestora do złożenia wyjaśnień i uzupełnienia informacji zawartych w KIP w terminie </w:t>
      </w:r>
      <w:r w:rsidRPr="00791BBF">
        <w:rPr>
          <w:rFonts w:ascii="Calibri" w:eastAsia="SimSun" w:hAnsi="Calibri" w:cs="Calibri"/>
          <w:color w:val="000000"/>
          <w:kern w:val="3"/>
          <w:sz w:val="24"/>
          <w:szCs w:val="24"/>
          <w:lang w:eastAsia="zh-CN" w:bidi="hi-IN"/>
        </w:rPr>
        <w:br/>
        <w:t>30 dni od daty otrzymania wezwania, m.in. o wskazanie prac przewidzianych w granicach obszarów Natura 2000, doprecyzowania danych dotyczących planowanej wycinki drzew. O ww. czynnościach tut. Organ poinformował społeczeństwo obwieszczeniem z 25 października 2024 r., znak: WOOŚ.420.16.2024.MK.12 oraz Urząd Miejski w Olsztynku i Urząd Gminy Stawiguda powiadomieniem z 25 października 2024 r., znak: WOOŚ.420.16.2024.MK.13.</w:t>
      </w:r>
    </w:p>
    <w:p w14:paraId="4827F7A6" w14:textId="77777777" w:rsidR="00791BBF" w:rsidRDefault="00791BBF" w:rsidP="00791BBF">
      <w:pPr>
        <w:spacing w:after="0" w:line="360" w:lineRule="auto"/>
        <w:rPr>
          <w:rFonts w:ascii="Calibri" w:eastAsia="SimSun" w:hAnsi="Calibri" w:cs="Calibri"/>
          <w:color w:val="000000"/>
          <w:kern w:val="3"/>
          <w:sz w:val="24"/>
          <w:szCs w:val="24"/>
          <w:lang w:eastAsia="zh-CN" w:bidi="hi-IN"/>
        </w:rPr>
      </w:pPr>
      <w:r w:rsidRPr="00791BBF">
        <w:rPr>
          <w:rFonts w:ascii="Calibri" w:eastAsia="SimSun" w:hAnsi="Calibri" w:cs="Calibri"/>
          <w:color w:val="000000"/>
          <w:kern w:val="3"/>
          <w:sz w:val="24"/>
          <w:szCs w:val="24"/>
          <w:lang w:eastAsia="zh-CN" w:bidi="hi-IN"/>
        </w:rPr>
        <w:t>W dniu 6 listopada 2024 r. Państwowe Gospodarstwo Wodne Wody Polskie Zarząd Zlewni w Elblągu przekazało opinię z 29.10.2024 r., znak: GE.ZZŚ.4901.134.2024, w której nie stwierdzono potrzeby przeprowadzenia oceny oddziaływania przedmiotowego przedsięwzięcia na środowisko.</w:t>
      </w:r>
    </w:p>
    <w:p w14:paraId="3E9B5DC0"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 xml:space="preserve">Pismem z dnia 13 listopada 2024 r. (data wpływu 18.11.2024 r.) Inwestor wystąpił do RDOŚ w Olsztynie z pismem o wydłużenie terminu odpowiedzi na wezwanie z dnia 24.10.2024 r. do </w:t>
      </w:r>
      <w:r w:rsidRPr="00791BBF">
        <w:rPr>
          <w:rFonts w:ascii="Calibri" w:eastAsia="SimSun" w:hAnsi="Calibri" w:cs="Calibri"/>
          <w:color w:val="000000"/>
          <w:kern w:val="3"/>
          <w:sz w:val="24"/>
          <w:szCs w:val="24"/>
          <w:lang w:eastAsia="zh-CN" w:bidi="hi-IN"/>
        </w:rPr>
        <w:lastRenderedPageBreak/>
        <w:t xml:space="preserve">1.01.2025 r. Do powyższej prośby tut. organ przychylił się przy piśmie z dnia 25 listopada 2024 r., znak: WOOŚ.420.16.2024.MK.14. Jednocześnie poinformował o powyższym, a także </w:t>
      </w:r>
      <w:r w:rsidRPr="00791BBF">
        <w:rPr>
          <w:rFonts w:ascii="Calibri" w:eastAsia="SimSun" w:hAnsi="Calibri" w:cs="Calibri"/>
          <w:color w:val="000000"/>
          <w:kern w:val="3"/>
          <w:sz w:val="24"/>
          <w:szCs w:val="24"/>
          <w:lang w:eastAsia="zh-CN" w:bidi="hi-IN"/>
        </w:rPr>
        <w:br/>
        <w:t xml:space="preserve">o wydanej przez PGWWP Zarząd Zlewni w Elblągu opinii społeczeństwo (obwieszczenie </w:t>
      </w:r>
      <w:r w:rsidRPr="00791BBF">
        <w:rPr>
          <w:rFonts w:ascii="Calibri" w:eastAsia="SimSun" w:hAnsi="Calibri" w:cs="Calibri"/>
          <w:color w:val="000000"/>
          <w:kern w:val="3"/>
          <w:sz w:val="24"/>
          <w:szCs w:val="24"/>
          <w:lang w:eastAsia="zh-CN" w:bidi="hi-IN"/>
        </w:rPr>
        <w:br/>
        <w:t xml:space="preserve">z 25.11.2024 r., znak: WOOŚ.420.16.2024.MK.15) oraz organy gminy (powiadomienie </w:t>
      </w:r>
      <w:r w:rsidRPr="00791BBF">
        <w:rPr>
          <w:rFonts w:ascii="Calibri" w:eastAsia="SimSun" w:hAnsi="Calibri" w:cs="Calibri"/>
          <w:color w:val="000000"/>
          <w:kern w:val="3"/>
          <w:sz w:val="24"/>
          <w:szCs w:val="24"/>
          <w:lang w:eastAsia="zh-CN" w:bidi="hi-IN"/>
        </w:rPr>
        <w:br/>
        <w:t>z 25.11.2024 r., znak: WOOŚ.420.16.2024.MK.16).</w:t>
      </w:r>
    </w:p>
    <w:p w14:paraId="1330E6D5"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 xml:space="preserve">Pismem z dnia 27 stycznia 2025 r. (data wpływu 29.01.2025 r.) Inwestor wystąpił do RDOŚ w Olsztynie o ponowne wydłużenie terminu złożenia odpowiedzi na wezwanie z dnia 24.10.2024 r. do dnia 31.07.2025 r. jednocześnie wskazując nowego pełnomocnika w sprawie – tj. Panią Magdalenę </w:t>
      </w:r>
      <w:proofErr w:type="spellStart"/>
      <w:r w:rsidRPr="00791BBF">
        <w:rPr>
          <w:rFonts w:ascii="Calibri" w:eastAsia="SimSun" w:hAnsi="Calibri" w:cs="Calibri"/>
          <w:color w:val="000000"/>
          <w:kern w:val="3"/>
          <w:sz w:val="24"/>
          <w:szCs w:val="24"/>
          <w:lang w:eastAsia="zh-CN" w:bidi="hi-IN"/>
        </w:rPr>
        <w:t>Niśkiewicz</w:t>
      </w:r>
      <w:proofErr w:type="spellEnd"/>
      <w:r w:rsidRPr="00791BBF">
        <w:rPr>
          <w:rFonts w:ascii="Calibri" w:eastAsia="SimSun" w:hAnsi="Calibri" w:cs="Calibri"/>
          <w:color w:val="000000"/>
          <w:kern w:val="3"/>
          <w:sz w:val="24"/>
          <w:szCs w:val="24"/>
          <w:lang w:eastAsia="zh-CN" w:bidi="hi-IN"/>
        </w:rPr>
        <w:t>. Tut. Organ przychylił się do prośby Inwestora pismem z 10 lutego 2025 r., znak: WOOŚ.420.16.2024.MK.17. O powyższej czynności poinformowano społeczeństwo obwieszczeniem z 10 lutego 2025 r., znak: WOOŚ.420.16.2024.MK.18 oraz organy gminy powiadomieniem z 10 lutego 2024 r., znak: WOOŚ.420.16.2024.MK.19.</w:t>
      </w:r>
    </w:p>
    <w:p w14:paraId="790B840C"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Kolejnym pismem z 28 lipca 2025 r. (data wpływu 31.07.2025 r.) Inwestor przedłużył termin na złożenie uzupełnienia do wezwania z 24.10.2024 r. do dnia 30.09.2025 r. Tut. Organ przychylił się do prośby Inwestora pismem z 1 sierpnia 2025 r., znak: WOOŚ.420.16.2024.MK.20. O powyższej czynności poinformowano społeczeństwo obwieszczeniem z 1 sierpnia 2025 r., znak: WOOŚ.420.16.2024.MK.21 oraz organy gminy powiadomieniem z 1 sierpnia 2025 r., znak: WOOŚ.420.16.2024.MK.22.</w:t>
      </w:r>
    </w:p>
    <w:p w14:paraId="4C5071BA" w14:textId="77777777" w:rsid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 xml:space="preserve">Inwestor przy piśmie z dnia 22 września 2025 r. (data wpływu: 25.09.2025 r.) złożył uzupełnienie do KIP będące odpowiedzią na wezwanie tut. Organu z dnia 24.10.2024 r. Jednocześnie z uwagi na zmianę numeracji słupów Inwestor wniósł o zmianę nazwy przedsięwzięcia we wniosku o wydanie decyzji </w:t>
      </w:r>
      <w:proofErr w:type="spellStart"/>
      <w:r w:rsidRPr="00791BBF">
        <w:rPr>
          <w:rFonts w:ascii="Calibri" w:eastAsia="SimSun" w:hAnsi="Calibri" w:cs="Calibri"/>
          <w:color w:val="000000"/>
          <w:kern w:val="3"/>
          <w:sz w:val="24"/>
          <w:szCs w:val="24"/>
          <w:lang w:eastAsia="zh-CN" w:bidi="hi-IN"/>
        </w:rPr>
        <w:t>ooś</w:t>
      </w:r>
      <w:proofErr w:type="spellEnd"/>
      <w:r w:rsidRPr="00791BBF">
        <w:rPr>
          <w:rFonts w:ascii="Calibri" w:eastAsia="SimSun" w:hAnsi="Calibri" w:cs="Calibri"/>
          <w:color w:val="000000"/>
          <w:kern w:val="3"/>
          <w:sz w:val="24"/>
          <w:szCs w:val="24"/>
          <w:lang w:eastAsia="zh-CN" w:bidi="hi-IN"/>
        </w:rPr>
        <w:t xml:space="preserve"> na: „Przebudowa napowietrznej linii WN 110 </w:t>
      </w:r>
      <w:proofErr w:type="spellStart"/>
      <w:r w:rsidRPr="00791BBF">
        <w:rPr>
          <w:rFonts w:ascii="Calibri" w:eastAsia="SimSun" w:hAnsi="Calibri" w:cs="Calibri"/>
          <w:color w:val="000000"/>
          <w:kern w:val="3"/>
          <w:sz w:val="24"/>
          <w:szCs w:val="24"/>
          <w:lang w:eastAsia="zh-CN" w:bidi="hi-IN"/>
        </w:rPr>
        <w:t>kV</w:t>
      </w:r>
      <w:proofErr w:type="spellEnd"/>
      <w:r w:rsidRPr="00791BBF">
        <w:rPr>
          <w:rFonts w:ascii="Calibri" w:eastAsia="SimSun" w:hAnsi="Calibri" w:cs="Calibri"/>
          <w:color w:val="000000"/>
          <w:kern w:val="3"/>
          <w:sz w:val="24"/>
          <w:szCs w:val="24"/>
          <w:lang w:eastAsia="zh-CN" w:bidi="hi-IN"/>
        </w:rPr>
        <w:t xml:space="preserve"> relacji Olsztyn Mątki – Olsztynek – odcinek od GPZ Olsztynek do słupa nr OL69/J49”. </w:t>
      </w:r>
      <w:r w:rsidRPr="00791BBF">
        <w:rPr>
          <w:rFonts w:ascii="Calibri" w:eastAsia="SimSun" w:hAnsi="Calibri" w:cs="Calibri"/>
          <w:color w:val="000000"/>
          <w:kern w:val="3"/>
          <w:sz w:val="24"/>
          <w:szCs w:val="24"/>
          <w:lang w:eastAsia="zh-CN" w:bidi="hi-IN"/>
        </w:rPr>
        <w:br/>
        <w:t>W załączeniu przekazano również skorygowany załącznik graficzny.</w:t>
      </w:r>
    </w:p>
    <w:p w14:paraId="13D3D9D9" w14:textId="2415A33F" w:rsidR="00791BBF" w:rsidRPr="00791BBF" w:rsidRDefault="00791BBF" w:rsidP="00791BBF">
      <w:pPr>
        <w:spacing w:after="0" w:line="360" w:lineRule="auto"/>
        <w:rPr>
          <w:rFonts w:cstheme="minorHAnsi"/>
          <w:color w:val="00000A"/>
          <w:sz w:val="24"/>
          <w:szCs w:val="24"/>
        </w:rPr>
      </w:pPr>
      <w:r w:rsidRPr="00791BBF">
        <w:rPr>
          <w:rFonts w:ascii="Calibri" w:eastAsia="SimSun" w:hAnsi="Calibri" w:cs="Calibri"/>
          <w:color w:val="000000"/>
          <w:kern w:val="3"/>
          <w:sz w:val="24"/>
          <w:szCs w:val="24"/>
          <w:lang w:eastAsia="zh-CN" w:bidi="hi-IN"/>
        </w:rPr>
        <w:t>Biorąc powyższe pod uwagę, RDOŚ w Olsztynie pismem z 9 października 2025 r., znak: WOOŚ.420.16.2024.24 ponownie wystąpił o opinie do PGWWP Zarząd Zlewni w Elblągu oraz do PPIS w Olsztynie w sprawie obowiązku przeprowadzenia oceny oddziaływania na środowisko bądź o podtrzymanie stanowiska wyrażonego przy pierwszej opinii. O ww. czynnościach tut. organ poinformował społeczeństwo obwieszczeniem z 9 października, znak:</w:t>
      </w:r>
      <w:r>
        <w:rPr>
          <w:rFonts w:ascii="Calibri" w:eastAsia="SimSun" w:hAnsi="Calibri" w:cs="Calibri"/>
          <w:color w:val="000000"/>
          <w:kern w:val="3"/>
          <w:sz w:val="24"/>
          <w:szCs w:val="24"/>
          <w:lang w:eastAsia="zh-CN" w:bidi="hi-IN"/>
        </w:rPr>
        <w:t xml:space="preserve"> </w:t>
      </w:r>
      <w:r w:rsidRPr="00791BBF">
        <w:rPr>
          <w:rFonts w:ascii="Calibri" w:eastAsia="SimSun" w:hAnsi="Calibri" w:cs="Calibri"/>
          <w:color w:val="000000"/>
          <w:kern w:val="3"/>
          <w:sz w:val="24"/>
          <w:szCs w:val="24"/>
          <w:lang w:eastAsia="zh-CN" w:bidi="hi-IN"/>
        </w:rPr>
        <w:t>WOOŚ.420.16.2024.MK.25 oraz organy gminy: Urząd Miejski w Olsztynku i Urząd Gminy Stawiguda powiadomieniem z 9 października 2025 r., znak: WOOŚ.420.16.2024.MK.26.</w:t>
      </w:r>
    </w:p>
    <w:p w14:paraId="5BA161AE"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eastAsia="SimSun" w:hAnsi="Calibri" w:cs="Calibri"/>
          <w:color w:val="000000"/>
          <w:kern w:val="3"/>
          <w:sz w:val="24"/>
          <w:szCs w:val="24"/>
          <w:lang w:eastAsia="zh-CN" w:bidi="hi-IN"/>
        </w:rPr>
        <w:lastRenderedPageBreak/>
        <w:t>PGWWP Zarząd Zlewni w Elblągu pismem z 17 października 2025 r., znak: GE.ZZŚ.4901.134.2024 (data wpływu 20.10.2025 r.) poinformował, że podtrzymuje swoją dotychczasową opinię z 29.10.2024 r., znak: GE.ZZŚ.134.2024.</w:t>
      </w:r>
    </w:p>
    <w:p w14:paraId="0E28D2D1"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eastAsia="SimSun" w:hAnsi="Calibri" w:cs="Calibri"/>
          <w:color w:val="000000"/>
          <w:kern w:val="3"/>
          <w:sz w:val="24"/>
          <w:szCs w:val="24"/>
          <w:lang w:eastAsia="zh-CN" w:bidi="hi-IN"/>
        </w:rPr>
        <w:t>Inwestor pismem z 27 października 2025 r. (data wpływu 27.10.2025 r.) złożył dodatkowe wyjaśnienia dotyczące przekazanego we wcześniejszym uzupełnieniu do KIP załącznika mapowego obrazującego poziomy hałasu generowanego przez linię.</w:t>
      </w:r>
    </w:p>
    <w:p w14:paraId="66E6E660"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eastAsia="SimSun" w:hAnsi="Calibri" w:cs="Calibri"/>
          <w:color w:val="000000"/>
          <w:kern w:val="3"/>
          <w:sz w:val="24"/>
          <w:szCs w:val="24"/>
          <w:lang w:eastAsia="zh-CN" w:bidi="hi-IN"/>
        </w:rPr>
        <w:t xml:space="preserve">Państwowy Powiatowy Inspektor Sanitarny w Olsztynie pismem z 28 października 2025 r., znak: ZNS.9022.2.63.2024.EK.1 (data wpływu 28.10.2025 r.) wezwał Inwestora do złożenia wyjaśnień i uzupełnienia informacji zawartych w KIP w terminie do 18.11.2026 r. Inwestor złożył uzupełnienie na ww. pismo PPIS w Olsztynie w dniu 3 listopada 2025 r. W związku z powyższym, PPIS w Olsztynie pismem z 4 listopada 2025 r., znak: ZNS.9022.2.63.2024.EK.2 wyraził opinię, </w:t>
      </w:r>
      <w:r w:rsidRPr="00791BBF">
        <w:rPr>
          <w:rFonts w:ascii="Calibri" w:eastAsia="SimSun" w:hAnsi="Calibri" w:cs="Calibri"/>
          <w:color w:val="000000"/>
          <w:kern w:val="3"/>
          <w:sz w:val="24"/>
          <w:szCs w:val="24"/>
          <w:lang w:eastAsia="zh-CN" w:bidi="hi-IN"/>
        </w:rPr>
        <w:br/>
        <w:t>w której stwierdził, że dla przedmiotowego przedsięwzięcia nie ma potrzeby przeprowadzenia oceny oddziaływania na środowisko.</w:t>
      </w:r>
    </w:p>
    <w:p w14:paraId="5DA6278B"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eastAsia="SimSun" w:hAnsi="Calibri" w:cs="Calibri"/>
          <w:color w:val="000000"/>
          <w:kern w:val="3"/>
          <w:sz w:val="24"/>
          <w:szCs w:val="24"/>
          <w:lang w:eastAsia="zh-CN" w:bidi="hi-IN"/>
        </w:rPr>
        <w:t>W związku ze złożonym uzupełnieniem do KIP RDOŚ w Olsztynie wezwał Inwestora do uzupełnienia informacji zwartych w złożonej dokumentacji m.in. o doprecyzowanie danych dotyczących planowanej wycinki drzew. O powyższych czynnościach tut. organ powiadomił społeczeństwo obwieszczeniem z dnia 28.11.2025 r., znak: WOOŚ.420.16.2024.MK.28 oraz organy gminy powiadomieniem z 28.11.2025 r., znak: WOOŚ.420.2024.MK.29.</w:t>
      </w:r>
    </w:p>
    <w:p w14:paraId="0C4D2035"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eastAsia="SimSun" w:hAnsi="Calibri" w:cs="Calibri"/>
          <w:color w:val="000000"/>
          <w:kern w:val="3"/>
          <w:sz w:val="24"/>
          <w:szCs w:val="24"/>
          <w:lang w:eastAsia="zh-CN" w:bidi="hi-IN"/>
        </w:rPr>
        <w:t xml:space="preserve">Inwestor złożył uzupełnienie przy piśmie z dnia 19 grudnia 2025 r. (data wpływu: 29.12.2025 r.), w którym poinformował o modyfikacji inwestycji. Wystąpił o wyłączenie z zakresu przedsięwzięcia odcinka linii 110 </w:t>
      </w:r>
      <w:proofErr w:type="spellStart"/>
      <w:r w:rsidRPr="00791BBF">
        <w:rPr>
          <w:rFonts w:ascii="Calibri" w:eastAsia="SimSun" w:hAnsi="Calibri" w:cs="Calibri"/>
          <w:color w:val="000000"/>
          <w:kern w:val="3"/>
          <w:sz w:val="24"/>
          <w:szCs w:val="24"/>
          <w:lang w:eastAsia="zh-CN" w:bidi="hi-IN"/>
        </w:rPr>
        <w:t>kV</w:t>
      </w:r>
      <w:proofErr w:type="spellEnd"/>
      <w:r w:rsidRPr="00791BBF">
        <w:rPr>
          <w:rFonts w:ascii="Calibri" w:eastAsia="SimSun" w:hAnsi="Calibri" w:cs="Calibri"/>
          <w:color w:val="000000"/>
          <w:kern w:val="3"/>
          <w:sz w:val="24"/>
          <w:szCs w:val="24"/>
          <w:lang w:eastAsia="zh-CN" w:bidi="hi-IN"/>
        </w:rPr>
        <w:t xml:space="preserve"> </w:t>
      </w:r>
      <w:proofErr w:type="spellStart"/>
      <w:r w:rsidRPr="00791BBF">
        <w:rPr>
          <w:rFonts w:ascii="Calibri" w:eastAsia="SimSun" w:hAnsi="Calibri" w:cs="Calibri"/>
          <w:color w:val="000000"/>
          <w:kern w:val="3"/>
          <w:sz w:val="24"/>
          <w:szCs w:val="24"/>
          <w:lang w:eastAsia="zh-CN" w:bidi="hi-IN"/>
        </w:rPr>
        <w:t>olsztyn</w:t>
      </w:r>
      <w:proofErr w:type="spellEnd"/>
      <w:r w:rsidRPr="00791BBF">
        <w:rPr>
          <w:rFonts w:ascii="Calibri" w:eastAsia="SimSun" w:hAnsi="Calibri" w:cs="Calibri"/>
          <w:color w:val="000000"/>
          <w:kern w:val="3"/>
          <w:sz w:val="24"/>
          <w:szCs w:val="24"/>
          <w:lang w:eastAsia="zh-CN" w:bidi="hi-IN"/>
        </w:rPr>
        <w:t xml:space="preserve"> Mątki – Olsztynek od GPZ Olsztynek do słupa nr OL122, ponieważ dla tego odcinka została już wydana decyzja o środowiskowych uwarunkowaniach (WOOŚ.4210.17.2017.BG.10 z 19.01.2018 r.), której aktualność potwierdzono postanowieniem RDOŚ w Olsztynie z 2.06.2023 r. (WOOŚ.420.4.2023.BG.5). Ponadto odcinek ten jest objęty odrębną inwestycją, dla której uzyskano ostateczną decyzję o ustaleniu lokalizacji inwestycji towarzyszącej strategicznej inwestycji w zakresie sieci przesyłowej (Nr Ps-2/2024 </w:t>
      </w:r>
      <w:r w:rsidRPr="00791BBF">
        <w:rPr>
          <w:rFonts w:ascii="Calibri" w:eastAsia="SimSun" w:hAnsi="Calibri" w:cs="Calibri"/>
          <w:color w:val="000000"/>
          <w:kern w:val="3"/>
          <w:sz w:val="24"/>
          <w:szCs w:val="24"/>
          <w:lang w:eastAsia="zh-CN" w:bidi="hi-IN"/>
        </w:rPr>
        <w:br/>
        <w:t xml:space="preserve">z 9.08.2024 r.). W związku z powyższym Inwestor również wniósł o zmianę nazwy przedsięwzięcia na: „Przebudowa napowietrznej linii WN 110 </w:t>
      </w:r>
      <w:proofErr w:type="spellStart"/>
      <w:r w:rsidRPr="00791BBF">
        <w:rPr>
          <w:rFonts w:ascii="Calibri" w:eastAsia="SimSun" w:hAnsi="Calibri" w:cs="Calibri"/>
          <w:color w:val="000000"/>
          <w:kern w:val="3"/>
          <w:sz w:val="24"/>
          <w:szCs w:val="24"/>
          <w:lang w:eastAsia="zh-CN" w:bidi="hi-IN"/>
        </w:rPr>
        <w:t>kV</w:t>
      </w:r>
      <w:proofErr w:type="spellEnd"/>
      <w:r w:rsidRPr="00791BBF">
        <w:rPr>
          <w:rFonts w:ascii="Calibri" w:eastAsia="SimSun" w:hAnsi="Calibri" w:cs="Calibri"/>
          <w:color w:val="000000"/>
          <w:kern w:val="3"/>
          <w:sz w:val="24"/>
          <w:szCs w:val="24"/>
          <w:lang w:eastAsia="zh-CN" w:bidi="hi-IN"/>
        </w:rPr>
        <w:t xml:space="preserve"> relacji Olsztyn Mątki – Olsztynek”.</w:t>
      </w:r>
    </w:p>
    <w:p w14:paraId="769719A3"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eastAsia="SimSun" w:hAnsi="Calibri" w:cs="Calibri"/>
          <w:color w:val="000000"/>
          <w:kern w:val="3"/>
          <w:sz w:val="24"/>
          <w:szCs w:val="24"/>
          <w:lang w:eastAsia="zh-CN" w:bidi="hi-IN"/>
        </w:rPr>
        <w:t xml:space="preserve">Biorąc powyższe pod uwagę, RDOŚ w Olsztynie pismem z 8 stycznia 2026 r., znak: WOOŚ.420.16.2024.31 ponownie wystąpił o opinie do PGWWP Zarząd Zlewni w Elblągu oraz do PPIS w Olsztynie w sprawie obowiązku przeprowadzenia oceny oddziaływania na środowisko bądź o podtrzymanie stanowiska wyrażonego przy pierwszej opinii. O ww. czynnościach tut. </w:t>
      </w:r>
      <w:r w:rsidRPr="00791BBF">
        <w:rPr>
          <w:rFonts w:ascii="Calibri" w:eastAsia="SimSun" w:hAnsi="Calibri" w:cs="Calibri"/>
          <w:color w:val="000000"/>
          <w:kern w:val="3"/>
          <w:sz w:val="24"/>
          <w:szCs w:val="24"/>
          <w:lang w:eastAsia="zh-CN" w:bidi="hi-IN"/>
        </w:rPr>
        <w:lastRenderedPageBreak/>
        <w:t>organ poinformował społeczeństwo obwieszczeniem z 8 stycznia 2026 r., znak: WOOŚ.420.16.2024.MK.32 oraz organy gminy: Urząd Miejski w Olsztynku i Urząd Gminy Stawiguda powiadomieniem z 8 stycznia 2026 r., znak: WOOŚ.420.16.2024.MK.33.</w:t>
      </w:r>
    </w:p>
    <w:p w14:paraId="14ADF94B"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eastAsia="SimSun" w:hAnsi="Calibri" w:cs="Calibri"/>
          <w:color w:val="000000"/>
          <w:kern w:val="3"/>
          <w:sz w:val="24"/>
          <w:szCs w:val="24"/>
          <w:lang w:eastAsia="zh-CN" w:bidi="hi-IN"/>
        </w:rPr>
        <w:t xml:space="preserve">PGWWP Zarząd Zlewni w Elblągu przy opinii z dnia 19 stycznia 2026 r., znak: GE.ZZŚ.4901.134.2024 (data wpływu 20.01.2026 r.) podtrzymał swoją dotychczasową opinię </w:t>
      </w:r>
      <w:r w:rsidRPr="00791BBF">
        <w:rPr>
          <w:rFonts w:ascii="Calibri" w:eastAsia="SimSun" w:hAnsi="Calibri" w:cs="Calibri"/>
          <w:color w:val="000000"/>
          <w:kern w:val="3"/>
          <w:sz w:val="24"/>
          <w:szCs w:val="24"/>
          <w:lang w:eastAsia="zh-CN" w:bidi="hi-IN"/>
        </w:rPr>
        <w:br/>
        <w:t>z dnia 29.10.2024 r. PPIS w Olsztynie przy piśmie z dnia 23 stycznia 2026 r., znak: ZNS.9022.2.7.2026.EK (data wpływu 26.01.2026 r.) również podtrzymał swoje stanowisko wyrażone w opinii z dnia 4 listopada 2025 r.</w:t>
      </w:r>
    </w:p>
    <w:p w14:paraId="1F52E8EB"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hAnsi="Calibri" w:cs="Calibri"/>
          <w:color w:val="000000"/>
          <w:kern w:val="3"/>
          <w:sz w:val="24"/>
          <w:szCs w:val="24"/>
          <w:lang w:eastAsia="zh-CN"/>
        </w:rPr>
        <w:t xml:space="preserve">Działając zgodnie z art. 10 </w:t>
      </w:r>
      <w:bookmarkStart w:id="4" w:name="_Hlk179799081"/>
      <w:r w:rsidRPr="00791BBF">
        <w:rPr>
          <w:rFonts w:ascii="Calibri" w:hAnsi="Calibri" w:cs="Calibri"/>
          <w:color w:val="000000"/>
          <w:kern w:val="3"/>
          <w:sz w:val="24"/>
          <w:szCs w:val="24"/>
          <w:lang w:eastAsia="zh-CN"/>
        </w:rPr>
        <w:t xml:space="preserve">§ 1 </w:t>
      </w:r>
      <w:bookmarkEnd w:id="4"/>
      <w:r w:rsidRPr="00791BBF">
        <w:rPr>
          <w:rFonts w:ascii="Calibri" w:hAnsi="Calibri" w:cs="Calibri"/>
          <w:color w:val="000000"/>
          <w:kern w:val="3"/>
          <w:sz w:val="24"/>
          <w:szCs w:val="24"/>
          <w:lang w:eastAsia="zh-CN"/>
        </w:rPr>
        <w:t xml:space="preserve">ustawy z dnia 14 czerwca 1960 roku Kodeks postępowania administracyjnego, Regionalny Dyrektor Ochrony Środowiska w Olsztynie przed wydaniem decyzji o środowiskowych uwarunkowaniach pismem z 2 lutego 2026 r., znak: WOOŚ.420.16.2024.MK.35 </w:t>
      </w:r>
      <w:r w:rsidRPr="00791BBF">
        <w:rPr>
          <w:rFonts w:ascii="Calibri" w:hAnsi="Calibri" w:cs="Calibri"/>
          <w:color w:val="000000"/>
          <w:sz w:val="24"/>
          <w:szCs w:val="24"/>
          <w:lang/>
        </w:rPr>
        <w:t>oraz</w:t>
      </w:r>
      <w:r w:rsidRPr="00791BBF">
        <w:rPr>
          <w:rFonts w:ascii="Calibri" w:hAnsi="Calibri" w:cs="Calibri"/>
          <w:color w:val="000000"/>
          <w:kern w:val="3"/>
          <w:sz w:val="24"/>
          <w:szCs w:val="24"/>
          <w:lang w:eastAsia="zh-CN"/>
        </w:rPr>
        <w:t xml:space="preserve"> obwieszczeniem z 2 lutego 2026</w:t>
      </w:r>
      <w:r w:rsidRPr="00791BBF">
        <w:rPr>
          <w:rFonts w:ascii="Calibri" w:hAnsi="Calibri" w:cs="Calibri"/>
          <w:color w:val="000000"/>
          <w:sz w:val="24"/>
          <w:szCs w:val="24"/>
          <w:lang/>
        </w:rPr>
        <w:t xml:space="preserve"> r., znak: WOOŚ.420.16.2024.MK.36</w:t>
      </w:r>
      <w:r w:rsidRPr="00791BBF">
        <w:rPr>
          <w:rFonts w:ascii="Calibri" w:hAnsi="Calibri" w:cs="Calibri"/>
          <w:color w:val="000000"/>
          <w:kern w:val="3"/>
          <w:sz w:val="24"/>
          <w:szCs w:val="24"/>
          <w:lang w:eastAsia="zh-CN"/>
        </w:rPr>
        <w:t xml:space="preserve"> powiadomił strony o zebranym materiale dowodowym. Jednocześnie poinformowano o możliwości zapoznania i wypowiedzenia się odnośnie do zgromadzonych dowodów i materiałów do dnia 2 marca 2026 r. We wskazanym przez tutejszy organ terminie, strony postępowania nie wniosły żadnych uwag odnośnie do planowanego przedsięwzięcia. </w:t>
      </w:r>
    </w:p>
    <w:p w14:paraId="1F061DE4"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hAnsi="Calibri" w:cs="Calibri"/>
          <w:color w:val="000000"/>
          <w:kern w:val="3"/>
          <w:sz w:val="24"/>
          <w:szCs w:val="24"/>
          <w:lang w:eastAsia="zh-CN"/>
        </w:rPr>
        <w:t xml:space="preserve">Pomimo wcześniejszego zawiadomienia stron, wydanego na podstawie art. 10 § 1 Kodeksu postępowania administracyjnego, o zakończeniu zbierania materiału dowodowego </w:t>
      </w:r>
      <w:r w:rsidRPr="00791BBF">
        <w:rPr>
          <w:rFonts w:ascii="Calibri" w:hAnsi="Calibri" w:cs="Calibri"/>
          <w:color w:val="000000"/>
          <w:kern w:val="3"/>
          <w:sz w:val="24"/>
          <w:szCs w:val="24"/>
          <w:lang w:eastAsia="zh-CN"/>
        </w:rPr>
        <w:br/>
        <w:t>i możliwości wypowiedzenia się co do zgromadzonych dowodów i materiałów, w toku dalszej analizy akt sprawy ujawniono okoliczności wymagające uzupełnienia materiału dowodowego.</w:t>
      </w:r>
    </w:p>
    <w:p w14:paraId="1D3CFC65" w14:textId="47AB6B75"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hAnsi="Calibri" w:cs="Calibri"/>
          <w:color w:val="000000"/>
          <w:kern w:val="3"/>
          <w:sz w:val="24"/>
          <w:szCs w:val="24"/>
          <w:lang w:eastAsia="zh-CN"/>
        </w:rPr>
        <w:t>W związku z powyższym organ pismem z dnia 4 marca 2026 r., znak: WOOŚ.420.16.2024.MK.38, wezwał Inwestora do uzupełnienia Karty Informacyjnej Przedsięwzięcia w terminie 30 dni od dnia jego otrzymania. O podjęciu powyższej czynności oraz kontynuowaniu postępowania organ poinformował społeczeństwo obwieszczeniem z dnia 4 marca 2026 r., znak: WOOŚ.420.2024.MK.39, a także właściwe organy gminy powiadomieniem z dnia 4 marca 2026 r., znak: WOOŚ.420.2024.MK.40.</w:t>
      </w:r>
    </w:p>
    <w:p w14:paraId="279F9796"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eastAsia="SimSun" w:hAnsi="Calibri" w:cs="Calibri"/>
          <w:color w:val="000000"/>
          <w:kern w:val="3"/>
          <w:sz w:val="24"/>
          <w:szCs w:val="24"/>
          <w:lang w:eastAsia="zh-CN" w:bidi="hi-IN"/>
        </w:rPr>
        <w:t>Pismem z dnia 1 kwietnia 2026 r. (data wpływu 02.04.2026 r.) Inwestor wystąpił do RDOŚ w Olsztynie o wydłużenie terminu odpowiedzi na wezwanie do dnia 30.04.2026 r. Tut. Organ przychylił się do prośby Inwestora pismem z 14 kwietnia 2026 r., znak: WOOŚ.420.16.2024.MK.41.</w:t>
      </w:r>
    </w:p>
    <w:p w14:paraId="4DB6A199"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hAnsi="Calibri" w:cs="Calibri"/>
          <w:color w:val="000000"/>
          <w:kern w:val="3"/>
          <w:sz w:val="24"/>
          <w:szCs w:val="24"/>
          <w:lang w:eastAsia="zh-CN"/>
        </w:rPr>
        <w:t xml:space="preserve">Inwestor złożył uzupełnienie do KIP w dniu 29 kwietnia 2026 r. W związku z powyższym tut. organ pismem z 5 maja 2026 r., znak: WOOŚ.420.16.2024.MK.45 ponownie wystąpił do organów </w:t>
      </w:r>
      <w:r w:rsidRPr="00791BBF">
        <w:rPr>
          <w:rFonts w:ascii="Calibri" w:hAnsi="Calibri" w:cs="Calibri"/>
          <w:color w:val="000000"/>
          <w:kern w:val="3"/>
          <w:sz w:val="24"/>
          <w:szCs w:val="24"/>
          <w:lang w:eastAsia="zh-CN"/>
        </w:rPr>
        <w:lastRenderedPageBreak/>
        <w:t xml:space="preserve">opiniujących o wyrażenie opinii czy istnieje konieczność przeprowadzenia oceny oddziaływania na środowisko, o czym poinformował społeczeństwo obwieszczeniem z 5 maja 2026 r. (znak: WOOŚ.420.16.2024.MK.46) oraz powiadomieniem Urząd Miejski w Olsztynku </w:t>
      </w:r>
      <w:r w:rsidRPr="00791BBF">
        <w:rPr>
          <w:rFonts w:ascii="Calibri" w:hAnsi="Calibri" w:cs="Calibri"/>
          <w:color w:val="000000"/>
          <w:kern w:val="3"/>
          <w:sz w:val="24"/>
          <w:szCs w:val="24"/>
          <w:lang w:eastAsia="zh-CN"/>
        </w:rPr>
        <w:br/>
        <w:t xml:space="preserve">i Urząd Gminy w Stawigudzie (WOOŚ.420.16.2024.MK.47). PGWWP Zarząd Zlewni w Elblągu przy piśmie z dnia 12 maja 2026 r. podtrzymał swoją opinię z dnia 29.10.2024 r. PPIS w Olsztynie przy piśmie z dnia 12 maja 2026 r. również wskazał, że opinia z dnia 4 listopada jest aktualna. Tutejszy organ uwzględnił w niniejszej decyzji warunki organów współdziałających w taki sposób, aby ujmowały one dane zagadnienie, lecz się nie powtarzały, były precyzyjne i nie nakazywały działań wynikających z przepisów prawa. </w:t>
      </w:r>
    </w:p>
    <w:p w14:paraId="38A6D6B3"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hAnsi="Calibri" w:cs="Calibri"/>
          <w:color w:val="000000"/>
          <w:kern w:val="3"/>
          <w:sz w:val="24"/>
          <w:szCs w:val="24"/>
          <w:lang w:eastAsia="zh-CN"/>
        </w:rPr>
        <w:t xml:space="preserve">Działając zgodnie z art. 10 § 1 ustawy z dnia 14 czerwca 1960 roku Kodeks postępowania administracyjnego, Regionalny Dyrektor Ochrony Środowiska w Olsztynie przed wydaniem decyzji o środowiskowych uwarunkowaniach pismem z 24 czerwca 2026 r., znak: WOOŚ.420.16.2024.MK.48 </w:t>
      </w:r>
      <w:r w:rsidRPr="00791BBF">
        <w:rPr>
          <w:rFonts w:ascii="Calibri" w:hAnsi="Calibri" w:cs="Calibri"/>
          <w:color w:val="000000"/>
          <w:sz w:val="24"/>
          <w:szCs w:val="24"/>
          <w:lang/>
        </w:rPr>
        <w:t>oraz</w:t>
      </w:r>
      <w:r w:rsidRPr="00791BBF">
        <w:rPr>
          <w:rFonts w:ascii="Calibri" w:hAnsi="Calibri" w:cs="Calibri"/>
          <w:color w:val="000000"/>
          <w:kern w:val="3"/>
          <w:sz w:val="24"/>
          <w:szCs w:val="24"/>
          <w:lang w:eastAsia="zh-CN"/>
        </w:rPr>
        <w:t xml:space="preserve"> obwieszczeniem z 24 czerwca 2026</w:t>
      </w:r>
      <w:r w:rsidRPr="00791BBF">
        <w:rPr>
          <w:rFonts w:ascii="Calibri" w:hAnsi="Calibri" w:cs="Calibri"/>
          <w:color w:val="000000"/>
          <w:sz w:val="24"/>
          <w:szCs w:val="24"/>
          <w:lang/>
        </w:rPr>
        <w:t xml:space="preserve"> r., znak: WOOŚ.420.16.2024.MK.49</w:t>
      </w:r>
      <w:r w:rsidRPr="00791BBF">
        <w:rPr>
          <w:rFonts w:ascii="Calibri" w:hAnsi="Calibri" w:cs="Calibri"/>
          <w:color w:val="000000"/>
          <w:kern w:val="3"/>
          <w:sz w:val="24"/>
          <w:szCs w:val="24"/>
          <w:lang w:eastAsia="zh-CN"/>
        </w:rPr>
        <w:t xml:space="preserve"> powiadomił strony o zebranym materiale dowodowym. Jednocześnie poinformowano o możliwości zapoznania i wypowiedzenia się odnośnie do zgromadzonych dowodów i materiałów do dnia 15 lipca 2026 r. We wskazanym przez tutejszy organ terminie, strony postępowania nie wniosły żadnych uwag odnośnie do planowanego przedsięwzięcia. </w:t>
      </w:r>
    </w:p>
    <w:p w14:paraId="5692E9DC" w14:textId="77777777" w:rsidR="00791BBF" w:rsidRDefault="00791BBF" w:rsidP="00791BBF">
      <w:pPr>
        <w:tabs>
          <w:tab w:val="left" w:pos="709"/>
        </w:tabs>
        <w:autoSpaceDN w:val="0"/>
        <w:spacing w:after="0" w:line="360" w:lineRule="auto"/>
        <w:textAlignment w:val="baseline"/>
        <w:rPr>
          <w:rFonts w:ascii="Calibri" w:hAnsi="Calibri" w:cs="Calibri"/>
          <w:color w:val="000000"/>
          <w:sz w:val="24"/>
          <w:szCs w:val="24"/>
        </w:rPr>
      </w:pPr>
      <w:r w:rsidRPr="00791BBF">
        <w:rPr>
          <w:rFonts w:ascii="Calibri" w:hAnsi="Calibri" w:cs="Calibri"/>
          <w:color w:val="000000"/>
          <w:sz w:val="24"/>
          <w:szCs w:val="24"/>
        </w:rPr>
        <w:t xml:space="preserve">Planowane przedsięwzięcie polegało będzie na przebudowie napowietrznej linii WN </w:t>
      </w:r>
      <w:r w:rsidRPr="00791BBF">
        <w:rPr>
          <w:rFonts w:ascii="Calibri" w:hAnsi="Calibri" w:cs="Calibri"/>
          <w:color w:val="000000"/>
          <w:sz w:val="24"/>
          <w:szCs w:val="24"/>
        </w:rPr>
        <w:br/>
        <w:t xml:space="preserve">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relacji Olsztyn Mątki - Olsztynek w ramach inwestycji towarzyszącej wskazanej </w:t>
      </w:r>
      <w:r w:rsidRPr="00791BBF">
        <w:rPr>
          <w:rFonts w:ascii="Calibri" w:hAnsi="Calibri" w:cs="Calibri"/>
          <w:color w:val="000000"/>
          <w:sz w:val="24"/>
          <w:szCs w:val="24"/>
        </w:rPr>
        <w:br/>
        <w:t xml:space="preserve">w rozporządzeniu Rady Ministrów z dnia 21 listopada 2023 r. w sprawie wykazu inwestycji towarzyszących polegających na przebudowie istniejących linii elektroenergetycznych stanowiących elementy sieci dystrybucyjnej o napięciu równym lub wyższym niż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do ustawy z dnia 24 lipca 2015 r. o przygotowaniu i realizacji strategicznych inwestycji w zakresie sieci przesyłowych pod numerem 49. Przebudowa linii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Olsztyn Mątki – Olsztynek.</w:t>
      </w:r>
    </w:p>
    <w:p w14:paraId="37DFD0DE"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hAnsi="Calibri" w:cs="Calibri"/>
          <w:color w:val="000000"/>
          <w:sz w:val="24"/>
          <w:szCs w:val="24"/>
        </w:rPr>
        <w:t xml:space="preserve">Istniejąca linia WN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GPZ Olsztyn Mątki – GPZ Olsztynek zlokalizowana jest </w:t>
      </w:r>
      <w:r w:rsidRPr="00791BBF">
        <w:rPr>
          <w:rFonts w:ascii="Calibri" w:hAnsi="Calibri" w:cs="Calibri"/>
          <w:color w:val="000000"/>
          <w:sz w:val="24"/>
          <w:szCs w:val="24"/>
        </w:rPr>
        <w:br/>
        <w:t xml:space="preserve">w województwie warmińsko-mazurskim w powiecie olsztyńskim, na terenie gmin wiejskich Jonkowo, Gietrzwałd, Stawiguda, w gminie miejsko-wiejskiej Olsztynek oraz gminie miejskiej Olsztyn. Linia przebiega po terenie użytkowanym w przeważającej części jako grunty rolne oraz tereny leśne. Całkowita długość linii to około 36,8 km, w tym odcinek jednotorowy o długości </w:t>
      </w:r>
      <w:r w:rsidRPr="00791BBF">
        <w:rPr>
          <w:rFonts w:ascii="Calibri" w:hAnsi="Calibri" w:cs="Calibri"/>
          <w:color w:val="000000"/>
          <w:sz w:val="24"/>
          <w:szCs w:val="24"/>
        </w:rPr>
        <w:br/>
        <w:t>18,3 km.</w:t>
      </w:r>
    </w:p>
    <w:p w14:paraId="5DA6A657"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hAnsi="Calibri" w:cs="Calibri"/>
          <w:color w:val="000000"/>
          <w:sz w:val="24"/>
          <w:szCs w:val="24"/>
        </w:rPr>
        <w:t xml:space="preserve">Odcinek linii objęty przedsięwzięciem zlokalizowany będzie w województwie warmińsko-mazurskim w powiecie olsztyńskim, na terenie gmin: Stawiguda (obręby: Bartąg, Dorotowo, </w:t>
      </w:r>
      <w:r w:rsidRPr="00791BBF">
        <w:rPr>
          <w:rFonts w:ascii="Calibri" w:hAnsi="Calibri" w:cs="Calibri"/>
          <w:color w:val="000000"/>
          <w:sz w:val="24"/>
          <w:szCs w:val="24"/>
        </w:rPr>
        <w:lastRenderedPageBreak/>
        <w:t xml:space="preserve">Gągławki, Stawiguda, Wymój, Zezuj, </w:t>
      </w:r>
      <w:proofErr w:type="spellStart"/>
      <w:r w:rsidRPr="00791BBF">
        <w:rPr>
          <w:rFonts w:ascii="Calibri" w:hAnsi="Calibri" w:cs="Calibri"/>
          <w:color w:val="000000"/>
          <w:sz w:val="24"/>
          <w:szCs w:val="24"/>
        </w:rPr>
        <w:t>Gryźliny</w:t>
      </w:r>
      <w:proofErr w:type="spellEnd"/>
      <w:r w:rsidRPr="00791BBF">
        <w:rPr>
          <w:rFonts w:ascii="Calibri" w:hAnsi="Calibri" w:cs="Calibri"/>
          <w:color w:val="000000"/>
          <w:sz w:val="24"/>
          <w:szCs w:val="24"/>
        </w:rPr>
        <w:t xml:space="preserve">) oraz Olsztynek (obręby: Ameryka i Mierki). Teren, na którym jest planowana inwestycja, w przeważającej części stanowi tereny rolne oraz grunty leśne. Linia przechodzi w pobliżu istniejącej zabudowy jedynie w okolicach miejscowości Olsztynek, Ameryka oraz </w:t>
      </w:r>
      <w:proofErr w:type="spellStart"/>
      <w:r w:rsidRPr="00791BBF">
        <w:rPr>
          <w:rFonts w:ascii="Calibri" w:hAnsi="Calibri" w:cs="Calibri"/>
          <w:color w:val="000000"/>
          <w:sz w:val="24"/>
          <w:szCs w:val="24"/>
        </w:rPr>
        <w:t>Gryźliny</w:t>
      </w:r>
      <w:proofErr w:type="spellEnd"/>
      <w:r w:rsidRPr="00791BBF">
        <w:rPr>
          <w:rFonts w:ascii="Calibri" w:hAnsi="Calibri" w:cs="Calibri"/>
          <w:color w:val="000000"/>
          <w:sz w:val="24"/>
          <w:szCs w:val="24"/>
        </w:rPr>
        <w:t xml:space="preserve">. Na trasie projektowanej linii o dł. 18,3 km występują skrzyżowania z następującą infrastrukturą: linie SN, linia 220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droga ekspresowa S51, drogi powiatowe, drogi gminne, drogi lokalne, drogi dojazdowe, drogi polne, drogi pożarowe i leśne, linie kolejowe, rzeka Pasłęka, potok i jezioro. Przedmiotowy odcinek stanowi istniejącą jednotorową napowietrzną linię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wybudowaną pod koniec lat 70. XX wieku. Linia została wykonana w różnych układach konstrukcyjnych słupów, dostosowanych do lokalnych warunków terenowych oraz miejsc skrzyżowań z innymi liniami elektroenergetycznymi. Na całym odcinku zastosowano przewody fazowe stalowo-aluminiowe o przekroju 240 mm² oraz przewody odgromowe. Dodatkowo na linii podwieszony jest kabel światłowodowy ADSS z 24 włóknami, stanowiący część traktu światłowodowego relacji Olsztynek – </w:t>
      </w:r>
      <w:proofErr w:type="spellStart"/>
      <w:r w:rsidRPr="00791BBF">
        <w:rPr>
          <w:rFonts w:ascii="Calibri" w:hAnsi="Calibri" w:cs="Calibri"/>
          <w:color w:val="000000"/>
          <w:sz w:val="24"/>
          <w:szCs w:val="24"/>
        </w:rPr>
        <w:t>Jaroty.</w:t>
      </w:r>
      <w:proofErr w:type="spellEnd"/>
    </w:p>
    <w:p w14:paraId="2CEF0DFC" w14:textId="77777777" w:rsidR="00791BBF" w:rsidRDefault="00791BBF" w:rsidP="00791BBF">
      <w:p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hAnsi="Calibri" w:cs="Calibri"/>
          <w:color w:val="000000"/>
          <w:sz w:val="24"/>
          <w:szCs w:val="24"/>
        </w:rPr>
        <w:t>W ramach planowanego przedsięwzięcia na odcinku od słupa 85/OL122 do słupa OL69/J49 planuje się:</w:t>
      </w:r>
      <w:bookmarkStart w:id="5" w:name="_Hlk131077404"/>
    </w:p>
    <w:p w14:paraId="185897DB" w14:textId="3804D869" w:rsidR="00791BBF" w:rsidRPr="00791BBF" w:rsidRDefault="00791BBF" w:rsidP="00791BBF">
      <w:pPr>
        <w:pStyle w:val="Akapitzlist"/>
        <w:numPr>
          <w:ilvl w:val="0"/>
          <w:numId w:val="28"/>
        </w:numPr>
        <w:tabs>
          <w:tab w:val="left" w:pos="709"/>
        </w:tabs>
        <w:autoSpaceDN w:val="0"/>
        <w:spacing w:after="0" w:line="360" w:lineRule="auto"/>
        <w:textAlignment w:val="baseline"/>
        <w:rPr>
          <w:rFonts w:ascii="Calibri" w:eastAsia="SimSun" w:hAnsi="Calibri" w:cs="Calibri"/>
          <w:color w:val="000000"/>
          <w:kern w:val="3"/>
          <w:sz w:val="24"/>
          <w:szCs w:val="24"/>
          <w:lang w:eastAsia="zh-CN" w:bidi="hi-IN"/>
        </w:rPr>
      </w:pPr>
      <w:r w:rsidRPr="00791BBF">
        <w:rPr>
          <w:rFonts w:ascii="Calibri" w:hAnsi="Calibri" w:cs="Calibri"/>
          <w:color w:val="000000"/>
          <w:sz w:val="24"/>
          <w:szCs w:val="24"/>
        </w:rPr>
        <w:t xml:space="preserve">dostosowanie linii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do temp. projektowanej +80 st. C,</w:t>
      </w:r>
    </w:p>
    <w:p w14:paraId="19C67372" w14:textId="77777777" w:rsidR="00791BBF" w:rsidRPr="00791BBF" w:rsidRDefault="00791BBF" w:rsidP="00791BBF">
      <w:pPr>
        <w:widowControl w:val="0"/>
        <w:numPr>
          <w:ilvl w:val="0"/>
          <w:numId w:val="25"/>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wymianę przewodu linii WN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w:t>
      </w:r>
    </w:p>
    <w:p w14:paraId="6D478972" w14:textId="77777777" w:rsidR="00791BBF" w:rsidRPr="00791BBF" w:rsidRDefault="00791BBF" w:rsidP="00791BBF">
      <w:pPr>
        <w:widowControl w:val="0"/>
        <w:numPr>
          <w:ilvl w:val="0"/>
          <w:numId w:val="25"/>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podwyższenie istniejących stanowisk słupowych,</w:t>
      </w:r>
    </w:p>
    <w:p w14:paraId="6C70BA9F" w14:textId="77777777" w:rsidR="00791BBF" w:rsidRPr="00791BBF" w:rsidRDefault="00791BBF" w:rsidP="00791BBF">
      <w:pPr>
        <w:widowControl w:val="0"/>
        <w:numPr>
          <w:ilvl w:val="0"/>
          <w:numId w:val="25"/>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wymianę istniejących stanowisk słupowych,</w:t>
      </w:r>
    </w:p>
    <w:p w14:paraId="3BB4484B" w14:textId="77777777" w:rsidR="00791BBF" w:rsidRPr="00791BBF" w:rsidRDefault="00791BBF" w:rsidP="00791BBF">
      <w:pPr>
        <w:widowControl w:val="0"/>
        <w:numPr>
          <w:ilvl w:val="0"/>
          <w:numId w:val="25"/>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zmianę lokalizacji stanowisk słupowych,</w:t>
      </w:r>
    </w:p>
    <w:p w14:paraId="0E4639B2" w14:textId="77777777" w:rsidR="00791BBF" w:rsidRPr="00791BBF" w:rsidRDefault="00791BBF" w:rsidP="00791BBF">
      <w:pPr>
        <w:widowControl w:val="0"/>
        <w:numPr>
          <w:ilvl w:val="0"/>
          <w:numId w:val="25"/>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demontaż stanowisk słupowych,</w:t>
      </w:r>
    </w:p>
    <w:p w14:paraId="372009FA" w14:textId="77777777" w:rsidR="00791BBF" w:rsidRPr="00791BBF" w:rsidRDefault="00791BBF" w:rsidP="00791BBF">
      <w:pPr>
        <w:widowControl w:val="0"/>
        <w:numPr>
          <w:ilvl w:val="0"/>
          <w:numId w:val="25"/>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odcinkowe zastosowanie słupów nadleśnych,</w:t>
      </w:r>
    </w:p>
    <w:p w14:paraId="632B8B05" w14:textId="77777777" w:rsidR="00791BBF" w:rsidRPr="00791BBF" w:rsidRDefault="00791BBF" w:rsidP="00791BBF">
      <w:pPr>
        <w:widowControl w:val="0"/>
        <w:numPr>
          <w:ilvl w:val="0"/>
          <w:numId w:val="25"/>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odcinkowe poprowadzenie linii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po nowej trasie (od proj. stanowiska słupowego WN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nr 73 do istniejącego stanowiska słupowego WN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nr 93), jednocześnie zostanie wykonana odcinkowa rozbiórka (demontaż) linii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w:t>
      </w:r>
    </w:p>
    <w:p w14:paraId="1881186F" w14:textId="77777777" w:rsidR="00791BBF" w:rsidRPr="00791BBF" w:rsidRDefault="00791BBF" w:rsidP="00791BBF">
      <w:pPr>
        <w:widowControl w:val="0"/>
        <w:numPr>
          <w:ilvl w:val="0"/>
          <w:numId w:val="25"/>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usunięcie kolizji pomiędzy liniami WN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oraz 15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i 0,4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poprzez skablowanie linii napowietrznych,</w:t>
      </w:r>
    </w:p>
    <w:p w14:paraId="2B931718" w14:textId="77777777" w:rsidR="00791BBF" w:rsidRPr="00791BBF" w:rsidRDefault="00791BBF" w:rsidP="00791BBF">
      <w:pPr>
        <w:widowControl w:val="0"/>
        <w:numPr>
          <w:ilvl w:val="0"/>
          <w:numId w:val="25"/>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roboty modernizacyjne na istniejącej stacji elektroenergetycznej.</w:t>
      </w:r>
    </w:p>
    <w:p w14:paraId="4FBA8ADD" w14:textId="77777777" w:rsidR="00791BBF" w:rsidRDefault="00791BBF" w:rsidP="00791BBF">
      <w:pPr>
        <w:spacing w:after="0" w:line="360" w:lineRule="auto"/>
        <w:ind w:firstLine="708"/>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Faza budowy obejmować będzie przygotowanie terenu inwestycji poprzez zabezpieczenie obszaru robót, usunięcie niezbędnej roślinności, demontaż istniejących słupów, przewodów i osprzętu linii elektroenergetycznej oraz istniejących fundamentów. W ramach prac przygotowawczych wykonane zostaną również roboty ziemne związane z wykonaniem wykopów </w:t>
      </w:r>
      <w:r w:rsidRPr="00791BBF">
        <w:rPr>
          <w:rFonts w:ascii="Calibri" w:eastAsia="Times New Roman" w:hAnsi="Calibri" w:cs="Calibri"/>
          <w:sz w:val="24"/>
          <w:szCs w:val="24"/>
          <w:lang w:eastAsia="pl-PL"/>
        </w:rPr>
        <w:lastRenderedPageBreak/>
        <w:t xml:space="preserve">pod nowe obiekty budowlane oraz usunięciem kolizyjnych elementów uzbrojenia terenu. Powstające w trakcie realizacji inwestycji odpady będą czasowo magazynowane </w:t>
      </w:r>
      <w:r w:rsidRPr="00791BBF">
        <w:rPr>
          <w:rFonts w:ascii="Calibri" w:eastAsia="Times New Roman" w:hAnsi="Calibri" w:cs="Calibri"/>
          <w:sz w:val="24"/>
          <w:szCs w:val="24"/>
          <w:lang w:eastAsia="pl-PL"/>
        </w:rPr>
        <w:br/>
        <w:t xml:space="preserve">w wyznaczonych miejscach. Następnie prowadzone będą właściwe roboty budowlane, obejmujące wykonanie infrastruktury technicznej oraz budowę projektowanych obiektów </w:t>
      </w:r>
      <w:r w:rsidRPr="00791BBF">
        <w:rPr>
          <w:rFonts w:ascii="Calibri" w:eastAsia="Times New Roman" w:hAnsi="Calibri" w:cs="Calibri"/>
          <w:sz w:val="24"/>
          <w:szCs w:val="24"/>
          <w:lang w:eastAsia="pl-PL"/>
        </w:rPr>
        <w:br/>
        <w:t xml:space="preserve">i konstrukcji. Po zakończeniu prac teren zostanie uporządkowany poprzez usunięcie odpadów </w:t>
      </w:r>
      <w:r w:rsidRPr="00791BBF">
        <w:rPr>
          <w:rFonts w:ascii="Calibri" w:eastAsia="Times New Roman" w:hAnsi="Calibri" w:cs="Calibri"/>
          <w:sz w:val="24"/>
          <w:szCs w:val="24"/>
          <w:lang w:eastAsia="pl-PL"/>
        </w:rPr>
        <w:br/>
        <w:t>i pozostałości po robotach budowlanych, a następnie zagospodarowany zielenią.</w:t>
      </w:r>
    </w:p>
    <w:p w14:paraId="148F03F1"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Przebudowa linii elektroenergetycznej WN 110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realizowana będzie z wykorzystaniem nowoczesnych technologii stosowanych w budownictwie energetycznym, zgodnie </w:t>
      </w:r>
      <w:r w:rsidRPr="00791BBF">
        <w:rPr>
          <w:rFonts w:ascii="Calibri" w:eastAsia="Times New Roman" w:hAnsi="Calibri" w:cs="Calibri"/>
          <w:sz w:val="24"/>
          <w:szCs w:val="24"/>
          <w:lang w:eastAsia="pl-PL"/>
        </w:rPr>
        <w:br/>
        <w:t xml:space="preserve">z obowiązującymi standardami montażowymi oraz wymaganiami dotyczącymi bezpieczeństwa </w:t>
      </w:r>
      <w:r w:rsidRPr="00791BBF">
        <w:rPr>
          <w:rFonts w:ascii="Calibri" w:eastAsia="Times New Roman" w:hAnsi="Calibri" w:cs="Calibri"/>
          <w:sz w:val="24"/>
          <w:szCs w:val="24"/>
          <w:lang w:eastAsia="pl-PL"/>
        </w:rPr>
        <w:br/>
        <w:t>i jakości wykonania. Roboty będą prowadzone etapowo, w podziale na odcinki technologiczne odpowiadające sekcjom odciągowym linii. Po wykonaniu fundamentów i posadowieniu konstrukcji słupowych przy użyciu dźwigu, na słupach zostaną zamontowane rolki montażowe w miejscach docelowego prowadzenia przewodów. Następnie pomiędzy słupami zostaną rozciągnięte linki stalowe służące do wciągania przewodów roboczych. Montaż przewodów zostanie wykonany w technologii bezkontaktowej z powierzchnią terenu pomiędzy słupami, co pozwoli uniknąć oddziaływania na grunt. Przewody będą rozwijane z bębnów ustawionych przy jednym krańcu sekcji odciągowej i wciągane za pomocą linek stalowych oraz wyciągarki zlokalizowanej po przeciwnej stronie odcinka. Po osiągnięciu docelowego położenia przewodów rolki montażowe zostaną zastąpione izolatorami, do których zostaną trwale zamocowane przewody linii.</w:t>
      </w:r>
    </w:p>
    <w:p w14:paraId="1D81321A"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W ramach przebudowy linii napowietrznej WN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relacji Olsztyn I – GPZ Korpele przewiduje się demontaż ok. 56 istniejących stanowisk słupowych. W ich miejsce, niekiedy </w:t>
      </w:r>
      <w:r w:rsidRPr="00791BBF">
        <w:rPr>
          <w:rFonts w:ascii="Calibri" w:hAnsi="Calibri" w:cs="Calibri"/>
          <w:color w:val="000000"/>
          <w:sz w:val="24"/>
          <w:szCs w:val="24"/>
        </w:rPr>
        <w:br/>
        <w:t xml:space="preserve">z niewielkim przesunięciem liniowym, wykonane zostaną nowe stanowiska słupowe spełniające wymagania stawiane przez normy (dla strefy wiatrowej W1 oraz strefy obciążenia oblodzeniem S1). Prace związane z demontażem istniejących słupów linii napowietrznej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wykonane zostaną przy użyciu specjalistycznego sprzętu, jak dźwigi, koparki itp. W przypadku terenów zadrzewionych, w których nie można użyć sprzętu ciężkiego, prace wykonywane będą ręcznie poprzez stopniowe rozebranie konstrukcji słupa. Teren w miejscach rozbiórki zostanie uporządkowany, przywrócony do stanu pierwotnego a wszystkie zdemontowane elementy zostaną usunięte. W przypadku demontażu słupów usunięte zostaną również wszelkie konstrukcje podziemne (</w:t>
      </w:r>
      <w:proofErr w:type="spellStart"/>
      <w:r w:rsidRPr="00791BBF">
        <w:rPr>
          <w:rFonts w:ascii="Calibri" w:hAnsi="Calibri" w:cs="Calibri"/>
          <w:color w:val="000000"/>
          <w:sz w:val="24"/>
          <w:szCs w:val="24"/>
        </w:rPr>
        <w:t>ustoje</w:t>
      </w:r>
      <w:proofErr w:type="spellEnd"/>
      <w:r w:rsidRPr="00791BBF">
        <w:rPr>
          <w:rFonts w:ascii="Calibri" w:hAnsi="Calibri" w:cs="Calibri"/>
          <w:color w:val="000000"/>
          <w:sz w:val="24"/>
          <w:szCs w:val="24"/>
        </w:rPr>
        <w:t xml:space="preserve">, fundamenty, uziemienie). Wykopy na stanowiskach demontowanych słupów zostaną uzupełnione ziemią czarną lub zbliżoną do gruntu rodzimego występującego na danym stanowisku. Wszelkie prace demontażowe oraz sposób ich realizacji, </w:t>
      </w:r>
      <w:r w:rsidRPr="00791BBF">
        <w:rPr>
          <w:rFonts w:ascii="Calibri" w:hAnsi="Calibri" w:cs="Calibri"/>
          <w:color w:val="000000"/>
          <w:sz w:val="24"/>
          <w:szCs w:val="24"/>
        </w:rPr>
        <w:lastRenderedPageBreak/>
        <w:t>zostanie ustalony z właścicielami gruntów, na podstawie uzyskanych uzgodnień na etapie projektu i zawartych tam informacji.</w:t>
      </w:r>
    </w:p>
    <w:p w14:paraId="6276A6BA"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Długość demontowanego odcinka linii WN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od stanowiska słupowego OL93 do stanowiska słupowego OL 73 wynosi około 6050 m. Demontowany odcinek linii wysokiego napięcia zlokalizowany jest w obecnym korytarzu ochrony funkcyjnej istniejącej linii.</w:t>
      </w:r>
    </w:p>
    <w:p w14:paraId="31059C5A"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Realizacja przedsięwzięcia nie będzie wymagała wykorzystania wody do celów technologicznych. Woda w fazie budowy będzie zużywana jedynie na potrzeby socjalno-bytowe pracowników (ok. 30 l/dobę) i dostarczana z zewnętrznych źródeł. W przypadku wykonywania fundamentów betonowych wykorzystana zostanie gotowa masa betonowa dowożona na teren budowy.</w:t>
      </w:r>
    </w:p>
    <w:p w14:paraId="21D316FE"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Na etapie budowy zużycie paliw i energii będzie następować w celu dostawy gotowych elementów i w wyniku pracy sprzętu budowlanego (około 16500 l ON, około 45000 kWh).</w:t>
      </w:r>
    </w:p>
    <w:p w14:paraId="7A465550"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Do przebudowy linii elektroenergetycznej wykorzystane zostaną podstawowe elementy konstrukcyjne linii napowietrznej, tj. słupy energetyczne wraz z fundamentami, przewody fazowe służące do </w:t>
      </w:r>
      <w:proofErr w:type="spellStart"/>
      <w:r w:rsidRPr="00791BBF">
        <w:rPr>
          <w:rFonts w:ascii="Calibri" w:eastAsia="Times New Roman" w:hAnsi="Calibri" w:cs="Calibri"/>
          <w:sz w:val="24"/>
          <w:szCs w:val="24"/>
          <w:lang w:eastAsia="pl-PL"/>
        </w:rPr>
        <w:t>przesyłu</w:t>
      </w:r>
      <w:proofErr w:type="spellEnd"/>
      <w:r w:rsidRPr="00791BBF">
        <w:rPr>
          <w:rFonts w:ascii="Calibri" w:eastAsia="Times New Roman" w:hAnsi="Calibri" w:cs="Calibri"/>
          <w:sz w:val="24"/>
          <w:szCs w:val="24"/>
          <w:lang w:eastAsia="pl-PL"/>
        </w:rPr>
        <w:t xml:space="preserve"> energii elektrycznej, izolatory oraz osprzęt liniowy. Ze względu na napięcie znamionowe 110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zastosowane zostaną również przewody odgromowe chroniące linię przed skutkami wyładowań atmosferycznych. Ponadto słupy zostaną wyposażone w układ uziemienia zapewniający prawidłową i bezpieczną eksploatację linii. Fundamenty dla projektowanych słupów zostaną dobrane indywidualnie z uwzględnieniem obciążeń konstrukcyjnych oraz warunków gruntowo-geotechnicznych określonych na podstawie badań podłoża. Przewiduje się zastosowanie prefabrykowanych elementów fundamentowych lub fundamentów wykonywanych indywidualnie.</w:t>
      </w:r>
    </w:p>
    <w:p w14:paraId="7505EABA"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W ramach przebudowy linii zastosowane zostaną nowe stalowe słupy kratowe jednotorowe. W zależności od funkcji pełnionej w linii przewiduje się wykorzystanie słupów przelotowych, służących do podtrzymywania przewodów oraz słupów odporowo-narożnych, przejmujących dodatkowo siły naciągu przewodów i umożliwiających zmianę kierunku przebiegu linii. Wszystkie słupy zostaną wyposażone w uziemienie robocze zapewniające bezpieczną eksploatację linii.</w:t>
      </w:r>
    </w:p>
    <w:p w14:paraId="5092F251"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Inwestycja obejmuje montaż przewodów na odcinku o długości około 18,3 km. Jako przewody fazowe zastosowane zostaną linki stalowo-aluminiowe, których parametry zostaną dostosowane do konstrukcji wsporczych oraz warunków terenowych. Projekt przewiduje zachowanie wymaganych odległości od terenu i obiektów krzyżowanych. </w:t>
      </w:r>
    </w:p>
    <w:p w14:paraId="50C4BA87"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W celu usprawnienia prac na sieci elektroenergetycznej oraz ograniczenia czasu </w:t>
      </w:r>
      <w:proofErr w:type="spellStart"/>
      <w:r w:rsidRPr="00791BBF">
        <w:rPr>
          <w:rFonts w:ascii="Calibri" w:eastAsia="Times New Roman" w:hAnsi="Calibri" w:cs="Calibri"/>
          <w:sz w:val="24"/>
          <w:szCs w:val="24"/>
          <w:lang w:eastAsia="pl-PL"/>
        </w:rPr>
        <w:t>wyłączeń</w:t>
      </w:r>
      <w:proofErr w:type="spellEnd"/>
      <w:r w:rsidRPr="00791BBF">
        <w:rPr>
          <w:rFonts w:ascii="Calibri" w:eastAsia="Times New Roman" w:hAnsi="Calibri" w:cs="Calibri"/>
          <w:sz w:val="24"/>
          <w:szCs w:val="24"/>
          <w:lang w:eastAsia="pl-PL"/>
        </w:rPr>
        <w:t xml:space="preserve"> planuje się skablowanie wszystkich istniejących napowietrznych linii SN 15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i </w:t>
      </w:r>
      <w:proofErr w:type="spellStart"/>
      <w:r w:rsidRPr="00791BBF">
        <w:rPr>
          <w:rFonts w:ascii="Calibri" w:eastAsia="Times New Roman" w:hAnsi="Calibri" w:cs="Calibri"/>
          <w:sz w:val="24"/>
          <w:szCs w:val="24"/>
          <w:lang w:eastAsia="pl-PL"/>
        </w:rPr>
        <w:t>nn</w:t>
      </w:r>
      <w:proofErr w:type="spellEnd"/>
      <w:r w:rsidRPr="00791BBF">
        <w:rPr>
          <w:rFonts w:ascii="Calibri" w:eastAsia="Times New Roman" w:hAnsi="Calibri" w:cs="Calibri"/>
          <w:sz w:val="24"/>
          <w:szCs w:val="24"/>
          <w:lang w:eastAsia="pl-PL"/>
        </w:rPr>
        <w:t xml:space="preserve"> 0,4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w:t>
      </w:r>
      <w:r w:rsidRPr="00791BBF">
        <w:rPr>
          <w:rFonts w:ascii="Calibri" w:eastAsia="Times New Roman" w:hAnsi="Calibri" w:cs="Calibri"/>
          <w:sz w:val="24"/>
          <w:szCs w:val="24"/>
          <w:lang w:eastAsia="pl-PL"/>
        </w:rPr>
        <w:lastRenderedPageBreak/>
        <w:t xml:space="preserve">będących we władaniu Energa Operator, które krzyżują się z przebudowywaną linią WN 110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relacji Olsztyn Mątki – Olsztynek (od GPZ Olsztynek do słupa OL69/J49). Zakres prac obejmuje 10 linii SN 15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oraz 3 linie </w:t>
      </w:r>
      <w:proofErr w:type="spellStart"/>
      <w:r w:rsidRPr="00791BBF">
        <w:rPr>
          <w:rFonts w:ascii="Calibri" w:eastAsia="Times New Roman" w:hAnsi="Calibri" w:cs="Calibri"/>
          <w:sz w:val="24"/>
          <w:szCs w:val="24"/>
          <w:lang w:eastAsia="pl-PL"/>
        </w:rPr>
        <w:t>nn</w:t>
      </w:r>
      <w:proofErr w:type="spellEnd"/>
      <w:r w:rsidRPr="00791BBF">
        <w:rPr>
          <w:rFonts w:ascii="Calibri" w:eastAsia="Times New Roman" w:hAnsi="Calibri" w:cs="Calibri"/>
          <w:sz w:val="24"/>
          <w:szCs w:val="24"/>
          <w:lang w:eastAsia="pl-PL"/>
        </w:rPr>
        <w:t xml:space="preserve"> 0,4 </w:t>
      </w:r>
      <w:proofErr w:type="spellStart"/>
      <w:r w:rsidRPr="00791BBF">
        <w:rPr>
          <w:rFonts w:ascii="Calibri" w:eastAsia="Times New Roman" w:hAnsi="Calibri" w:cs="Calibri"/>
          <w:sz w:val="24"/>
          <w:szCs w:val="24"/>
          <w:lang w:eastAsia="pl-PL"/>
        </w:rPr>
        <w:t>kV.</w:t>
      </w:r>
      <w:proofErr w:type="spellEnd"/>
    </w:p>
    <w:p w14:paraId="6E15E760"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Skablowanie polega na zastąpieniu odcinków linii napowietrznych liniami kablowymi ułożonymi w ziemi w pasie technologicznym linii 110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Rozwiązanie to ograniczy ryzyko zwarć </w:t>
      </w:r>
      <w:r w:rsidRPr="00791BBF">
        <w:rPr>
          <w:rFonts w:ascii="Calibri" w:eastAsia="Times New Roman" w:hAnsi="Calibri" w:cs="Calibri"/>
          <w:sz w:val="24"/>
          <w:szCs w:val="24"/>
          <w:lang w:eastAsia="pl-PL"/>
        </w:rPr>
        <w:br/>
        <w:t xml:space="preserve">i awarii w przypadku uszkodzenia linii 110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a także umożliwi prowadzenie prac eksploatacyjnych i przebudowy linii wysokiego napięcia bez konieczności wyłączania linii SN i </w:t>
      </w:r>
      <w:proofErr w:type="spellStart"/>
      <w:r w:rsidRPr="00791BBF">
        <w:rPr>
          <w:rFonts w:ascii="Calibri" w:eastAsia="Times New Roman" w:hAnsi="Calibri" w:cs="Calibri"/>
          <w:sz w:val="24"/>
          <w:szCs w:val="24"/>
          <w:lang w:eastAsia="pl-PL"/>
        </w:rPr>
        <w:t>nn</w:t>
      </w:r>
      <w:proofErr w:type="spellEnd"/>
      <w:r w:rsidRPr="00791BBF">
        <w:rPr>
          <w:rFonts w:ascii="Calibri" w:eastAsia="Times New Roman" w:hAnsi="Calibri" w:cs="Calibri"/>
          <w:sz w:val="24"/>
          <w:szCs w:val="24"/>
          <w:lang w:eastAsia="pl-PL"/>
        </w:rPr>
        <w:t xml:space="preserve"> spod napięcia. Przyczyni się to do zwiększenia niezawodności i pewności zasilania odbiorców energii elektrycznej.</w:t>
      </w:r>
    </w:p>
    <w:p w14:paraId="17F3A6D4"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Planowane linie kablowe niskiego napięcia Lnn-0,4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lub średniego napięcia SN-15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układane będą w gruncie w wykopie otwartym o głębokości 0,7 - 1,2 m i szerokości 0,4 m (1,0 m z odkładem ziemi). Zgodnie z normą oraz standardami inwestora kable zostaną ułożone </w:t>
      </w:r>
      <w:r w:rsidRPr="00791BBF">
        <w:rPr>
          <w:rFonts w:ascii="Calibri" w:eastAsia="Times New Roman" w:hAnsi="Calibri" w:cs="Calibri"/>
          <w:sz w:val="24"/>
          <w:szCs w:val="24"/>
          <w:lang w:eastAsia="pl-PL"/>
        </w:rPr>
        <w:br/>
        <w:t>w wykopie linią falistą na 10 cm podsypce piasku, po czym przysypane zostaną 10 cm warstwą piasku i następnie gruntem rodzimym. Wykopy będą wykonywane etapowo, po ułożeniu odcinka linii kablowej wykopy będą niezwłocznie zasypywane. Planowane są wykopy pod projektowane stanowiska słupowe o wymiarach maksymalnych 2 m x 2 m x 2,5 m i objętości ok. 10 m³. Na odcinkach w ramach skablowania przewiduje się również demontaż istniejących stanowisk słupowych oraz przewodów napowietrznych linii.</w:t>
      </w:r>
    </w:p>
    <w:p w14:paraId="48793407"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Liniowy charakter inwestycji umożliwia zastosowanie tzw. kroczącej metody realizacji, polegającej na prowadzeniu robót budowlanych na odcinkach odpowiadających długości dwóch–trzech sekcji odciągowych. Rozwiązanie to pozwala ograniczyć liczbę wykorzystywanego sprzętu oraz pracowników przebywających jednocześnie w terenie. Roboty będą prowadzone niemal wyłącznie w miejscach posadowienia słupów, a poza nowoprojektowanymi stanowiskami słupowymi nie przewiduje się istotnych prac budowlanych. Ze względu na znaczne odległości pomiędzy stanowiskami słupowymi (około 300 m) oraz niewielki obszar czasowo zajmowany na potrzeby realizacji robót, nie planuje się stosowania ogrodzeń wydzielających teren prac.</w:t>
      </w:r>
    </w:p>
    <w:p w14:paraId="389030D1"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Na etapie realizacji przedsięwzięcia zostaną wdrożone rozwiązania minimalizujące oddziaływanie na środowisko, obejmujące m.in. ograniczenie zajęcia terenu, ochronę gleby </w:t>
      </w:r>
      <w:r w:rsidRPr="00791BBF">
        <w:rPr>
          <w:rFonts w:ascii="Calibri" w:eastAsia="Times New Roman" w:hAnsi="Calibri" w:cs="Calibri"/>
          <w:sz w:val="24"/>
          <w:szCs w:val="24"/>
          <w:lang w:eastAsia="pl-PL"/>
        </w:rPr>
        <w:br/>
        <w:t xml:space="preserve">i ukształtowania terenu oraz rekultywację obszarów czasowo przekształconych. Zaplecza budowy, miejsca składowania materiałów oraz postoju sprzętu zostaną zlokalizowane na terenach utwardzonych lub posiadających szczelną nawierzchnię, poza obszarami wrażliwymi środowiskowo, w tym w odpowiedniej odległości od cieków i zbiorników wodnych, terenów </w:t>
      </w:r>
      <w:r w:rsidRPr="00791BBF">
        <w:rPr>
          <w:rFonts w:ascii="Calibri" w:eastAsia="Times New Roman" w:hAnsi="Calibri" w:cs="Calibri"/>
          <w:sz w:val="24"/>
          <w:szCs w:val="24"/>
          <w:lang w:eastAsia="pl-PL"/>
        </w:rPr>
        <w:lastRenderedPageBreak/>
        <w:t>podmokłych oraz obszarów chronionych akustycznie. Minimalna odległość zapleczy budowy od terenów objętych ochroną akustyczną wyniesie co najmniej 200 m.</w:t>
      </w:r>
    </w:p>
    <w:p w14:paraId="726ED724"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W celu ochrony środowiska wodno-gruntowego nie przewiduje się lokalizacji mobilnych stacji paliw ani tankowania maszyn na terenie budowy – pojazdy będą tankowane poza placem budowy. Nie planuje się również prowadzenia napraw sprzętu na miejscu, a w przypadku awarii stosowane będą środki sorpcyjne i procedury zabezpieczające przed wyciekami. Zaplecze budowy zostanie wyposażone w środki do neutralizacji ewentualnych zanieczyszczeń.</w:t>
      </w:r>
    </w:p>
    <w:p w14:paraId="6B0EF72D"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Gospodarka odpadami będzie prowadzona selektywnie, z ich czasowym magazynowaniem w wyznaczonych miejscach i przekazywaniem uprawnionym odbiorcom. Na potrzeby socjalne, w razie potrzeby, stosowane będą przenośne sanitariaty z zapewnionym odbiorem ścieków do oczyszczalni. Nie przewiduje się odprowadzania ścieków do środowiska ani trwałego odwadniania wykopów, a ewentualne konieczne odwodnienia będą realizowane zgodnie z warunkami gruntowo-wodnymi rozpoznanymi na etapie badań geologicznych.</w:t>
      </w:r>
    </w:p>
    <w:p w14:paraId="3E4931F4"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Inwestor nie planuje odwadniać wykopów. Słupy posadowione będą na fundamentach betonowych prefabrykowanych. Należy jednak mieć na uwadze zmienność głębokości zwierciadła wody w zależności od ukształtowania terenu, pór roku, lat. Dokładne określenie poziomu zwierciadła wód gruntowych nastąpi po przeprowadzeniu szczegółowych badań geologicznych w miejscach lokalizacji stanowisk słupowych. W przypadku, gdyby na etapie realizacji prac, odwodnienie wykopu pod konstrukcję wsporczą było niezbędne, to sposób odwodnienia i zagospodarowania wody określi wykonawca na etapie wykonywania robót budowlanych. </w:t>
      </w:r>
    </w:p>
    <w:p w14:paraId="42F83CEA"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Prace budowlane będą krótkotrwałe i prowadzone w sposób minimalizujący oddziaływanie na faunę. W przypadku pojawienia się zwierząt objętych ochroną na terenie robót zostaną one przenoszone w bezpieczne miejsca, a wykopy będą na bieżąco kontrolowane i możliwie szybko zasypywane. Transport i prace ograniczone będą do wyznaczonego pasa roboczego, </w:t>
      </w:r>
      <w:r w:rsidRPr="00791BBF">
        <w:rPr>
          <w:rFonts w:ascii="Calibri" w:eastAsia="Times New Roman" w:hAnsi="Calibri" w:cs="Calibri"/>
          <w:sz w:val="24"/>
          <w:szCs w:val="24"/>
          <w:lang w:eastAsia="pl-PL"/>
        </w:rPr>
        <w:br/>
        <w:t xml:space="preserve">z uwzględnieniem szczególnej ostrożności w okresach migracji płazów i gadów, zwłaszcza </w:t>
      </w:r>
      <w:r w:rsidRPr="00791BBF">
        <w:rPr>
          <w:rFonts w:ascii="Calibri" w:eastAsia="Times New Roman" w:hAnsi="Calibri" w:cs="Calibri"/>
          <w:sz w:val="24"/>
          <w:szCs w:val="24"/>
          <w:lang w:eastAsia="pl-PL"/>
        </w:rPr>
        <w:br/>
        <w:t xml:space="preserve">w sąsiedztwie cieków i terenów podmokłych. W razie potrzeby stosowane będą tymczasowe płotki ochronne oraz nadzór herpetologiczny. Prace nie będą prowadzone bezpośrednio </w:t>
      </w:r>
      <w:r w:rsidRPr="00791BBF">
        <w:rPr>
          <w:rFonts w:ascii="Calibri" w:eastAsia="Times New Roman" w:hAnsi="Calibri" w:cs="Calibri"/>
          <w:sz w:val="24"/>
          <w:szCs w:val="24"/>
          <w:lang w:eastAsia="pl-PL"/>
        </w:rPr>
        <w:br/>
        <w:t>w korytach cieków ani na obszarach wodno-błotnych.</w:t>
      </w:r>
    </w:p>
    <w:p w14:paraId="4CE4948E"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W celu ochrony awifauny przewiduje się ograniczenie ryzyka kolizji ptaków z linią 110 </w:t>
      </w:r>
      <w:proofErr w:type="spellStart"/>
      <w:r w:rsidRPr="00791BBF">
        <w:rPr>
          <w:rFonts w:ascii="Calibri" w:eastAsia="Times New Roman" w:hAnsi="Calibri" w:cs="Calibri"/>
          <w:sz w:val="24"/>
          <w:szCs w:val="24"/>
          <w:lang w:eastAsia="pl-PL"/>
        </w:rPr>
        <w:t>kV</w:t>
      </w:r>
      <w:proofErr w:type="spellEnd"/>
      <w:r w:rsidRPr="00791BBF">
        <w:rPr>
          <w:rFonts w:ascii="Calibri" w:eastAsia="Times New Roman" w:hAnsi="Calibri" w:cs="Calibri"/>
          <w:sz w:val="24"/>
          <w:szCs w:val="24"/>
          <w:lang w:eastAsia="pl-PL"/>
        </w:rPr>
        <w:t xml:space="preserve"> poprzez montaż na przewodach odgromowych znaczników ostrzegawczych (m.in. spiralnych </w:t>
      </w:r>
      <w:r w:rsidRPr="00791BBF">
        <w:rPr>
          <w:rFonts w:ascii="Calibri" w:eastAsia="Times New Roman" w:hAnsi="Calibri" w:cs="Calibri"/>
          <w:sz w:val="24"/>
          <w:szCs w:val="24"/>
          <w:lang w:eastAsia="pl-PL"/>
        </w:rPr>
        <w:br/>
        <w:t xml:space="preserve">i ruchomych elementów odblaskowych) zwiększających widoczność linii, szczególnie na odcinkach przebiegających przez obszary chronione. Dodatkowo planuje się zastosowanie </w:t>
      </w:r>
      <w:r w:rsidRPr="00791BBF">
        <w:rPr>
          <w:rFonts w:ascii="Calibri" w:eastAsia="Times New Roman" w:hAnsi="Calibri" w:cs="Calibri"/>
          <w:sz w:val="24"/>
          <w:szCs w:val="24"/>
          <w:lang w:eastAsia="pl-PL"/>
        </w:rPr>
        <w:lastRenderedPageBreak/>
        <w:t>zabezpieczeń konstrukcyjnych uniemożliwiających ptakom siadanie w newralgicznych miejscach słupów, co ma ograniczyć ryzyko porażenia oraz zabrudzeń izolatorów. Całość prac będzie objęta nadzorem ornitologicznym.</w:t>
      </w:r>
    </w:p>
    <w:p w14:paraId="1B698F0A"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Faza realizacji przedsięwzięcia będzie wiązała się z okresowym, lokalnym wzrostem emisji hałasu, spalin, pyłów oraz wibracji, wynikających z pracy maszyn budowlanych, transportu materiałów i demontażu istniejącej linii. Uciążliwości te będą krótkotrwałe, ograniczone do najbliższego otoczenia robót i ustaną po zakończeniu budowy, która będzie prowadzona odcinkowo przez ok. 180 dni roboczych wyłącznie w porze dziennej, przy użyciu sprawnego technicznie sprzętu o możliwie niskiej emisji hałasu, zgodnego z wymaganiami dla urządzeń używanych na zewnątrz. Największe oddziaływanie będzie związane z pracą sprzętu ciężkiego, takiego jak koparki, spycharki i dźwigi, a także transportem elementów konstrukcyjnych. Sprzęt ten może powodować lokalne, krótkotrwałe wibracje, nie wykraczające poza teren inwestycji. Prace rozbiórkowe istniejącej linii będą prowadzone z użyciem specjalistycznego sprzętu lub ręcznie w terenach niedostępnych dla maszyn, a teren po demontażu zostanie uporządkowany </w:t>
      </w:r>
      <w:r w:rsidRPr="00791BBF">
        <w:rPr>
          <w:rFonts w:ascii="Calibri" w:eastAsia="Times New Roman" w:hAnsi="Calibri" w:cs="Calibri"/>
          <w:sz w:val="24"/>
          <w:szCs w:val="24"/>
          <w:lang w:eastAsia="pl-PL"/>
        </w:rPr>
        <w:br/>
        <w:t>i przywrócony do stanu pierwotnego.</w:t>
      </w:r>
    </w:p>
    <w:p w14:paraId="420787AC"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Mając powyższe na uwadze należy stwierdzić, że przyjęte rozwiązania techniczne </w:t>
      </w:r>
      <w:r w:rsidRPr="00791BBF">
        <w:rPr>
          <w:rFonts w:ascii="Calibri" w:hAnsi="Calibri" w:cs="Calibri"/>
          <w:color w:val="000000"/>
          <w:sz w:val="24"/>
          <w:szCs w:val="24"/>
        </w:rPr>
        <w:br/>
        <w:t>i organizacyjne w zakresie gospodarki wodno-ściekowej i odpadowej na etapie realizacji inwestycji zabezpieczą środowisko przed przedostawaniem się zanieczyszczeń do wód podziemnych oraz gruntu.</w:t>
      </w:r>
    </w:p>
    <w:p w14:paraId="225A08F9"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Oddziaływanie planowanego przedsięwzięcia, w tym zużycie wody, paliw i energii, na etapie jego ewentualnej likwidacji, prowadzonej w technologii demontażu i rozbiórkowych robót budowlanych, będzie analogiczne do etapu realizacji i doprowadzi do zrekultywowania terenu </w:t>
      </w:r>
      <w:r w:rsidRPr="00791BBF">
        <w:rPr>
          <w:rFonts w:ascii="Calibri" w:hAnsi="Calibri" w:cs="Calibri"/>
          <w:color w:val="000000"/>
          <w:sz w:val="24"/>
          <w:szCs w:val="24"/>
        </w:rPr>
        <w:br/>
        <w:t>w kierunkach zależnych od użytkowania ziemi w ich otoczeniu.</w:t>
      </w:r>
    </w:p>
    <w:p w14:paraId="219DEE41"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Planowane przez Inwestora przedsięwzięcie realizowane jest w celu poprawy jakości </w:t>
      </w:r>
      <w:r w:rsidRPr="00791BBF">
        <w:rPr>
          <w:rFonts w:ascii="Calibri" w:eastAsia="Times New Roman" w:hAnsi="Calibri" w:cs="Calibri"/>
          <w:sz w:val="24"/>
          <w:szCs w:val="24"/>
          <w:lang w:eastAsia="pl-PL"/>
        </w:rPr>
        <w:br/>
        <w:t>i niezawodności usług oraz dalsze przyłączanie nowych klientów i odnawialnych źródeł energii do sieci. Cele te realizowane są w szczególności poprzez modernizację i rozbudowę sieci dystrybucyjnej oraz poprawę efektywności operacyjnej. Wszystko to prowadzi do ograniczania wpływu na środowisko naturalne dzięki rozwojowi źródeł energii przyjaznych środowisku, w tym inwestycjom w odnawialne źródła energii oraz wsparciu efektywnego zużycia energii.</w:t>
      </w:r>
    </w:p>
    <w:p w14:paraId="7516FF2D"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 xml:space="preserve">Na etapie eksploatacji inwestor będzie dbał o utrzymanie obiektu w należytym stanie technicznym poprzez wykorzystywanie nowoczesnych rozwiązań technologicznych, prowadzenie okresowych przeglądów, prac konserwacyjnych oraz bieżące usuwanie wszelkich stwierdzonych nieprawidłowości. Zapewniony zostanie również fachowy dozór obiektu, </w:t>
      </w:r>
      <w:r w:rsidRPr="00791BBF">
        <w:rPr>
          <w:rFonts w:ascii="Calibri" w:eastAsia="Times New Roman" w:hAnsi="Calibri" w:cs="Calibri"/>
          <w:sz w:val="24"/>
          <w:szCs w:val="24"/>
          <w:lang w:eastAsia="pl-PL"/>
        </w:rPr>
        <w:lastRenderedPageBreak/>
        <w:t>gwarantujący jego prawidłowe, bezpieczne i zgodne z wymaganiami funkcjonowanie. Inwestor będzie ponadto prowadził systematyczną identyfikację zagrożeń i aspektów środowiskowych, a w razie potrzeby wdrażał działania ograniczające negatywne oddziaływanie obiektu na środowisko. W związku z prowadzeniem prac konserwacyjnych i naprawczych mogą powstawać niewielkie ilości odpadów, głównie należących do grupy 17. Odpady te będą zbierane selektywnie i przekazywane uprawnionym podmiotom posiadającym stosowne decyzje w zakresie gospodarowania odpadami. Nie przewiduje się ich magazynowania na terenie przedsięwzięcia.</w:t>
      </w:r>
    </w:p>
    <w:p w14:paraId="452EE5A2"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eastAsia="Times New Roman" w:hAnsi="Calibri" w:cs="Calibri"/>
          <w:sz w:val="24"/>
          <w:szCs w:val="24"/>
          <w:lang w:eastAsia="pl-PL"/>
        </w:rPr>
        <w:t>W ramach eksploatacji przedsięwzięcia nie planuje się wykonywania przyłączy wodociągowo-kanalizacyjnych ani budowy zbiorników bezodpływowych przeznaczonych do gromadzenia nieczystości ciekłych. W związku z tym nie wystąpi ryzyko niekontrolowanego przedostawania się ścieków do gruntu oraz wód podziemnych.</w:t>
      </w:r>
    </w:p>
    <w:p w14:paraId="0459F9C2"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Najistotniejsze oddziaływania powstające na etapie eksploatacji projektowanych w ramach planowanego przedsięwzięcia obiektów związane będą z emisją hałasu oraz generowaniem pól elektromagnetycznych.</w:t>
      </w:r>
    </w:p>
    <w:p w14:paraId="3E7B5DF6"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Źródłem hałasu (szumu akustycznego) wytwarzanego przez linie elektroenergetyczne są: ulot z elementów przewodzących linii znajdujących się pod napięciem (głównie z przewodów roboczych) oraz wyładowania powierzchniowe na elementach układu elektroizolacyjnego (izolatorach). Ulot jest zjawiskiem polegającym na wyładowaniu elektrycznym zachodzącym tuż przy powierzchni przewodu pod napięciem. Pojawia się, gdy wartość maksymalna natężenia pola elektrycznego na powierzchni przewodu przekroczy wartość krytyczną. Zjawisko to może być obserwowane wyłącznie w porze nocnej jako „świecąca otoczka” na przewodach linii. </w:t>
      </w:r>
      <w:r w:rsidRPr="00791BBF">
        <w:rPr>
          <w:rFonts w:ascii="Calibri" w:hAnsi="Calibri" w:cs="Calibri"/>
          <w:color w:val="000000"/>
          <w:sz w:val="24"/>
          <w:szCs w:val="24"/>
        </w:rPr>
        <w:br/>
        <w:t xml:space="preserve">W prawidłowo zaprojektowanej linii napowietrznej podczas dobrych warunków atmosferycznych, tj. wtedy, gdy przewody są suche, zjawisko ulotu nie występuje. Dopiero w czasie złych warunków atmosferycznych (duża wilgotność, mżawka, średnio intensywny opad, sadź), które w Polsce występują przez ok. 36 dni w roku, pojawia się zjawisko ulotu. Sprawia ono, że poziom hałasu w bezpośredniej bliskości linii o napięciu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może osiągać wartość 40 </w:t>
      </w:r>
      <w:proofErr w:type="spellStart"/>
      <w:r w:rsidRPr="00791BBF">
        <w:rPr>
          <w:rFonts w:ascii="Calibri" w:hAnsi="Calibri" w:cs="Calibri"/>
          <w:color w:val="000000"/>
          <w:sz w:val="24"/>
          <w:szCs w:val="24"/>
        </w:rPr>
        <w:t>dB</w:t>
      </w:r>
      <w:proofErr w:type="spellEnd"/>
      <w:r w:rsidRPr="00791BBF">
        <w:rPr>
          <w:rFonts w:ascii="Calibri" w:hAnsi="Calibri" w:cs="Calibri"/>
          <w:color w:val="000000"/>
          <w:sz w:val="24"/>
          <w:szCs w:val="24"/>
        </w:rPr>
        <w:t xml:space="preserve"> (poziom dopuszczalny w porze nocy dla terenów zabudowy mieszkaniowej). </w:t>
      </w:r>
    </w:p>
    <w:p w14:paraId="09276B49"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Teren, na którym planowana jest lokalizacja linii napowietrznej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na przeważających odcinkach stanowi głównie tereny leśne oraz wykorzystywane rolniczo. Linia przechodzi </w:t>
      </w:r>
      <w:r w:rsidRPr="00791BBF">
        <w:rPr>
          <w:rFonts w:ascii="Calibri" w:hAnsi="Calibri" w:cs="Calibri"/>
          <w:color w:val="000000"/>
          <w:sz w:val="24"/>
          <w:szCs w:val="24"/>
        </w:rPr>
        <w:br/>
        <w:t xml:space="preserve">w pobliżu istniejącej zabudowy (obszarów podlegających ochronie akustycznej) jedynie </w:t>
      </w:r>
      <w:r w:rsidRPr="00791BBF">
        <w:rPr>
          <w:rFonts w:ascii="Calibri" w:hAnsi="Calibri" w:cs="Calibri"/>
          <w:color w:val="000000"/>
          <w:sz w:val="24"/>
          <w:szCs w:val="24"/>
        </w:rPr>
        <w:br/>
        <w:t xml:space="preserve">w okolicach miejscowości Olsztynek, Ameryka oraz </w:t>
      </w:r>
      <w:proofErr w:type="spellStart"/>
      <w:r w:rsidRPr="00791BBF">
        <w:rPr>
          <w:rFonts w:ascii="Calibri" w:hAnsi="Calibri" w:cs="Calibri"/>
          <w:color w:val="000000"/>
          <w:sz w:val="24"/>
          <w:szCs w:val="24"/>
        </w:rPr>
        <w:t>Gryźliny</w:t>
      </w:r>
      <w:proofErr w:type="spellEnd"/>
      <w:r w:rsidRPr="00791BBF">
        <w:rPr>
          <w:rFonts w:ascii="Calibri" w:hAnsi="Calibri" w:cs="Calibri"/>
          <w:color w:val="000000"/>
          <w:sz w:val="24"/>
          <w:szCs w:val="24"/>
        </w:rPr>
        <w:t xml:space="preserve">. Z przedłożonej dokumentacji wynika, że najbliższa zabudowa w stosunku do przewidzianej do przebudowy linii zlokalizowana </w:t>
      </w:r>
      <w:r w:rsidRPr="00791BBF">
        <w:rPr>
          <w:rFonts w:ascii="Calibri" w:hAnsi="Calibri" w:cs="Calibri"/>
          <w:color w:val="000000"/>
          <w:sz w:val="24"/>
          <w:szCs w:val="24"/>
        </w:rPr>
        <w:lastRenderedPageBreak/>
        <w:t xml:space="preserve">jest w odległości od 20 m od jej osi. Przeprowadzone obliczenia wykazały, że w przypadku linii napowietrznej o napięciu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prognozowane w jej otoczeniu (na granicy „pasa technologicznego”) poziomy dźwięku w żadnym miejscu wzdłuż linii nie przekroczą wartości dopuszczalnej ustalonej dla obszarów zabudowy mieszkaniowej (40 </w:t>
      </w:r>
      <w:proofErr w:type="spellStart"/>
      <w:r w:rsidRPr="00791BBF">
        <w:rPr>
          <w:rFonts w:ascii="Calibri" w:hAnsi="Calibri" w:cs="Calibri"/>
          <w:color w:val="000000"/>
          <w:sz w:val="24"/>
          <w:szCs w:val="24"/>
        </w:rPr>
        <w:t>dB</w:t>
      </w:r>
      <w:proofErr w:type="spellEnd"/>
      <w:r w:rsidRPr="00791BBF">
        <w:rPr>
          <w:rFonts w:ascii="Calibri" w:hAnsi="Calibri" w:cs="Calibri"/>
          <w:color w:val="000000"/>
          <w:sz w:val="24"/>
          <w:szCs w:val="24"/>
        </w:rPr>
        <w:t xml:space="preserve">), niezależnie od warunków atmosferycznych. Planowana do przebudowy linia elektroenergetyczna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nie będzie źródłem ponadnormatywnych poziomów hałasu, a w konsekwencji nie będzie niekorzystnie oddziaływać na środowisko i warunki życia ludzi.</w:t>
      </w:r>
    </w:p>
    <w:p w14:paraId="5997D53C"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Projektowany obiekt będzie źródłem pola elektromagnetycznego. Z obliczeń przeprowadzonych na potrzeby projektu wynika, iż oszacowania dokonane metodami obliczeniowymi wskazują, że w otoczeniu planowanej linii napowietrznej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natężenie pola elektrycznego na wysokości 2,0 m n.p.t. nie przekroczy w żadnym miejscu wartości 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/m (wartość dopuszczalna w miejscach dostępnych dla ludzi wg przepisów). Ponadto wykonane obliczenia wskazują, że w otoczeniu planowanej linii napowietrznej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w najbardziej niekorzystnych warunkach ich pracy, natężenie pola magnetycznego na wysokości 2,0 m n.p.t. nie przekroczy w żadnym miejscu wartości 60 A/m (wartość dopuszczalna w miejscach dostępnych dla ludzi wg przepisów). W wyniku przeprowadzonej analizy dobrano tak wysokość stanowisk słupowych, aby nie został przekroczony dopuszczalny poziom pola elektromagnetycznego w zakresie składowej eklektycznej - 1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/m (zgodnie z Rozporządzenie Ministra Zdrowia w sprawie dopuszczalnych poziomów pól elektromagnetycznych w środowisku z dnia 17 grudnia 2019 (Dz. U. Nr 2019, poz. 2448). Biorąc powyższe pod uwagę należy stwierdzić, że w otoczeniu przebudowywanej linii napowietrznej nie wystąpią wartości natężenia pola elektrycznego i magnetycznego przekraczające wartości dopuszczalne dla miejsc dostępnych dla ludzi, jak również wartości natężenia pola magnetycznego przekraczające wartości dopuszczalna dla miejsc przeznaczonych pod zabudowę mieszkaniową.</w:t>
      </w:r>
    </w:p>
    <w:p w14:paraId="1392115C"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Z informacji zawartych w karcie informacyjnej przedsięwzięcia wynika, że w zasięgu oddziaływania planowanej do przebudowy linii wysokiego napięcia WN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relacji Olsztyn Mątki – Olsztynek, przebiega linia najwyższych napięć NN 220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relacji Olsztyn I – Włocławek Azoty. Linie krzyżują się w okolicy miejscowości Wymój (przęsło 97-98) a następnie biegną równolegle względem siebie na odcinku o długości około 6,8 km tj. od istniejącego słupa nr 97 do istniejącego słupa nr 74. </w:t>
      </w:r>
    </w:p>
    <w:p w14:paraId="57D00EFE"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Linie elektroenergetyczne o napięciu 220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są źródłem dźwięku przede wszystkim podczas złych warunków atmosferycznych (lekki i średni deszcz, mżawka oraz w mniejszym stopniu mgła). W czasie dobrej pogody linie 220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na ogół nie powodują oddziaływania akustycznego i </w:t>
      </w:r>
      <w:r w:rsidRPr="00791BBF">
        <w:rPr>
          <w:rFonts w:ascii="Calibri" w:hAnsi="Calibri" w:cs="Calibri"/>
          <w:color w:val="000000"/>
          <w:sz w:val="24"/>
          <w:szCs w:val="24"/>
        </w:rPr>
        <w:lastRenderedPageBreak/>
        <w:t xml:space="preserve">w większości przypadków poziom wytwarzanych przez nie dźwięków jest porównywalny z poziomem tła. Hałas linii przesyłowych najwyższych napięć 220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wynosi 40 </w:t>
      </w:r>
      <w:proofErr w:type="spellStart"/>
      <w:r w:rsidRPr="00791BBF">
        <w:rPr>
          <w:rFonts w:ascii="Calibri" w:hAnsi="Calibri" w:cs="Calibri"/>
          <w:color w:val="000000"/>
          <w:sz w:val="24"/>
          <w:szCs w:val="24"/>
        </w:rPr>
        <w:t>dB</w:t>
      </w:r>
      <w:proofErr w:type="spellEnd"/>
      <w:r w:rsidRPr="00791BBF">
        <w:rPr>
          <w:rFonts w:ascii="Calibri" w:hAnsi="Calibri" w:cs="Calibri"/>
          <w:color w:val="000000"/>
          <w:sz w:val="24"/>
          <w:szCs w:val="24"/>
        </w:rPr>
        <w:t>(A) w odległości 15 m od osi linii, zatem nie zachodzi ryzyko skumulowanego oddziaływania.</w:t>
      </w:r>
    </w:p>
    <w:p w14:paraId="49C29F48" w14:textId="77777777" w:rsidR="00791BBF" w:rsidRDefault="00791BBF" w:rsidP="00791BBF">
      <w:pPr>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Ochrona przed polami elektromagnetycznymi polega na zapewnieniu jak najlepszego stanu środowiska poprzez utrzymanie poziomów pól elektromagnetycznych poniżej dopuszczalnych lub co najmniej na tych poziomach zmniejszanie poziomów pól elektromagnetycznych, co najmniej do dopuszczalnych, gdy nie są one dotrzymane. Jeżeli powyższe warunki zostają zachowane, tzn. składowa elektryczna E będzie miała wartość maksymalnie 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/m oraz składowa magnetyczna H maksymalnie 60 A/m, wówczas nie mamy do czynienia z zanieczyszczeniem. Oddziaływanie linii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wynosi poniżej 1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/m w odległości poniżej 10 m od osi. Na podstawie przeprowadzonego modelowania skumulowanych pól elektromagnetycznych stwierdzono, że w żadnym miejscu pod ww. liniami oraz w najbliższym jej sąsiedztwie nie występuje na wysokości 2 m n.p.t. pole elektromagnetyczne przekraczające odpowiednio wartości E=10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/m oraz H=60 A/m, czyli nie zachodzi skumulowane oddziaływanie pomiędzy obiektami. W ramach odrębnych realizacji, wszystkie istniejące linie napowietrzne średniego napięcia SN i niskiego napięcia </w:t>
      </w:r>
      <w:proofErr w:type="spellStart"/>
      <w:r w:rsidRPr="00791BBF">
        <w:rPr>
          <w:rFonts w:ascii="Calibri" w:hAnsi="Calibri" w:cs="Calibri"/>
          <w:color w:val="000000"/>
          <w:sz w:val="24"/>
          <w:szCs w:val="24"/>
        </w:rPr>
        <w:t>nn</w:t>
      </w:r>
      <w:proofErr w:type="spellEnd"/>
      <w:r w:rsidRPr="00791BBF">
        <w:rPr>
          <w:rFonts w:ascii="Calibri" w:hAnsi="Calibri" w:cs="Calibri"/>
          <w:color w:val="000000"/>
          <w:sz w:val="24"/>
          <w:szCs w:val="24"/>
        </w:rPr>
        <w:t xml:space="preserve"> krzyżujące się z projektowaną do przebudowy linią wysokiego napięcia WN 110 </w:t>
      </w:r>
      <w:proofErr w:type="spellStart"/>
      <w:r w:rsidRPr="00791BBF">
        <w:rPr>
          <w:rFonts w:ascii="Calibri" w:hAnsi="Calibri" w:cs="Calibri"/>
          <w:color w:val="000000"/>
          <w:sz w:val="24"/>
          <w:szCs w:val="24"/>
        </w:rPr>
        <w:t>kV</w:t>
      </w:r>
      <w:proofErr w:type="spellEnd"/>
      <w:r w:rsidRPr="00791BBF">
        <w:rPr>
          <w:rFonts w:ascii="Calibri" w:hAnsi="Calibri" w:cs="Calibri"/>
          <w:color w:val="000000"/>
          <w:sz w:val="24"/>
          <w:szCs w:val="24"/>
        </w:rPr>
        <w:t xml:space="preserve"> relacji Olsztyn Mątki – Olsztynek, zostaną skablowane.</w:t>
      </w:r>
    </w:p>
    <w:p w14:paraId="4064B50F"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Etap eksploatacji planowanego przedsięwzięcia nie będzie związany z emisją zanieczyszczeń do powietrza z projektowanych obiektów technologicznych, natomiast emisja zanieczyszczeń komunikacyjnych będzie niewielka, z uwagi na charakter i nieznaczną intensywność ruchu pojazdów – tylko dojazdy ekip serwisowych i naprawczych.</w:t>
      </w:r>
    </w:p>
    <w:p w14:paraId="779198D9" w14:textId="77777777" w:rsidR="00791BBF" w:rsidRDefault="00791BBF" w:rsidP="00791BBF">
      <w:p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Planowane przedsięwzięcie realizowane będzie na obszarze dwóch jednostek Państwowego Gospodarstwa Wodnego Wody Polskie - Zarząd Zlewni w Olsztynie oraz Zarząd Zlewni w Elblągu. Zgodnie z Rozporządzeniem Ministra Infrastruktury z dnia 29 listopada </w:t>
      </w:r>
      <w:r w:rsidRPr="00791BBF">
        <w:rPr>
          <w:rFonts w:ascii="Calibri" w:hAnsi="Calibri" w:cs="Calibri"/>
          <w:color w:val="000000"/>
          <w:sz w:val="24"/>
          <w:szCs w:val="24"/>
        </w:rPr>
        <w:br/>
        <w:t>2022 r. w sprawie Planu gospodarowania wodami na obszarze dorzecza Wisły (Dz. U. z 2023 r. poz. 300) przedmiotowe zadanie ma być realizowane na obszarze dorzecza Wisły, w Regionie Wodnym Dolnej Wisły, w zlewniach jednolitej części wód powierzchniowych (JCWP):</w:t>
      </w:r>
    </w:p>
    <w:p w14:paraId="78290637" w14:textId="21D4B0DB" w:rsidR="00791BBF" w:rsidRPr="00791BBF" w:rsidRDefault="00791BBF" w:rsidP="00791BBF">
      <w:pPr>
        <w:pStyle w:val="Akapitzlist"/>
        <w:numPr>
          <w:ilvl w:val="0"/>
          <w:numId w:val="29"/>
        </w:numPr>
        <w:spacing w:after="0" w:line="360" w:lineRule="auto"/>
        <w:rPr>
          <w:rFonts w:ascii="Calibri" w:eastAsia="Times New Roman" w:hAnsi="Calibri" w:cs="Calibri"/>
          <w:sz w:val="24"/>
          <w:szCs w:val="24"/>
          <w:lang w:eastAsia="pl-PL"/>
        </w:rPr>
      </w:pPr>
      <w:r w:rsidRPr="00791BBF">
        <w:rPr>
          <w:rFonts w:ascii="Calibri" w:hAnsi="Calibri" w:cs="Calibri"/>
          <w:color w:val="000000"/>
          <w:sz w:val="24"/>
          <w:szCs w:val="24"/>
        </w:rPr>
        <w:t xml:space="preserve">kod: PLRW200009561349 o nazwie </w:t>
      </w:r>
      <w:proofErr w:type="spellStart"/>
      <w:r w:rsidRPr="00791BBF">
        <w:rPr>
          <w:rFonts w:ascii="Calibri" w:hAnsi="Calibri" w:cs="Calibri"/>
          <w:color w:val="000000"/>
          <w:sz w:val="24"/>
          <w:szCs w:val="24"/>
        </w:rPr>
        <w:t>Jemiołówka</w:t>
      </w:r>
      <w:proofErr w:type="spellEnd"/>
      <w:r w:rsidRPr="00791BBF">
        <w:rPr>
          <w:rFonts w:ascii="Calibri" w:hAnsi="Calibri" w:cs="Calibri"/>
          <w:color w:val="000000"/>
          <w:sz w:val="24"/>
          <w:szCs w:val="24"/>
        </w:rPr>
        <w:t xml:space="preserve">. JCWP posiada status naturalnej części wód i-jest monitorowana. Stan tych wód oceniony został jako zły, zaś ocena ryzyka nieosiągnięcia celów środowiskowych określona jest jako zagrożona. Dla analizowanej JCWP wprowadzono derogacje w tym: ustalono mniej rygorystyczne cele oraz czasową, na podstawie której osiągnięcie celów środowiskowych - dobry stan ekologiczny, stan </w:t>
      </w:r>
      <w:r w:rsidRPr="00791BBF">
        <w:rPr>
          <w:rFonts w:ascii="Calibri" w:hAnsi="Calibri" w:cs="Calibri"/>
          <w:color w:val="000000"/>
          <w:sz w:val="24"/>
          <w:szCs w:val="24"/>
        </w:rPr>
        <w:lastRenderedPageBreak/>
        <w:t>chemiczny: dla złagodzonych wskaźników [</w:t>
      </w:r>
      <w:proofErr w:type="spellStart"/>
      <w:r w:rsidRPr="00791BBF">
        <w:rPr>
          <w:rFonts w:ascii="Calibri" w:hAnsi="Calibri" w:cs="Calibri"/>
          <w:color w:val="000000"/>
          <w:sz w:val="24"/>
          <w:szCs w:val="24"/>
        </w:rPr>
        <w:t>benzo</w:t>
      </w:r>
      <w:proofErr w:type="spellEnd"/>
      <w:r w:rsidRPr="00791BBF">
        <w:rPr>
          <w:rFonts w:ascii="Calibri" w:hAnsi="Calibri" w:cs="Calibri"/>
          <w:color w:val="000000"/>
          <w:sz w:val="24"/>
          <w:szCs w:val="24"/>
        </w:rPr>
        <w:t>(a)</w:t>
      </w:r>
      <w:proofErr w:type="spellStart"/>
      <w:r w:rsidRPr="00791BBF">
        <w:rPr>
          <w:rFonts w:ascii="Calibri" w:hAnsi="Calibri" w:cs="Calibri"/>
          <w:color w:val="000000"/>
          <w:sz w:val="24"/>
          <w:szCs w:val="24"/>
        </w:rPr>
        <w:t>piren</w:t>
      </w:r>
      <w:proofErr w:type="spellEnd"/>
      <w:r w:rsidRPr="00791BBF">
        <w:rPr>
          <w:rFonts w:ascii="Calibri" w:hAnsi="Calibri" w:cs="Calibri"/>
          <w:color w:val="000000"/>
          <w:sz w:val="24"/>
          <w:szCs w:val="24"/>
        </w:rPr>
        <w:t xml:space="preserve">(w), związki </w:t>
      </w:r>
      <w:proofErr w:type="spellStart"/>
      <w:r w:rsidRPr="00791BBF">
        <w:rPr>
          <w:rFonts w:ascii="Calibri" w:hAnsi="Calibri" w:cs="Calibri"/>
          <w:color w:val="000000"/>
          <w:sz w:val="24"/>
          <w:szCs w:val="24"/>
        </w:rPr>
        <w:t>tributylocyny</w:t>
      </w:r>
      <w:proofErr w:type="spellEnd"/>
      <w:r w:rsidRPr="00791BBF">
        <w:rPr>
          <w:rFonts w:ascii="Calibri" w:hAnsi="Calibri" w:cs="Calibri"/>
          <w:color w:val="000000"/>
          <w:sz w:val="24"/>
          <w:szCs w:val="24"/>
        </w:rPr>
        <w:t xml:space="preserve">(w)] poniżej stanu dobrego, dla pozostałych wskaźników - stan dobry - może nastąpić do 2027r. Przedłużono termin osiągnięcia celu środowiskowego ze względu na warunki naturalne (procesy biochemiczne, procesy fizykochemiczne); </w:t>
      </w:r>
    </w:p>
    <w:p w14:paraId="58E05687" w14:textId="77777777" w:rsidR="00791BBF" w:rsidRPr="00791BBF" w:rsidRDefault="00791BBF" w:rsidP="00791BBF">
      <w:pPr>
        <w:widowControl w:val="0"/>
        <w:numPr>
          <w:ilvl w:val="0"/>
          <w:numId w:val="26"/>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kod: PLRW20000956139 o nazwie Pasłęka do jez. </w:t>
      </w:r>
      <w:proofErr w:type="spellStart"/>
      <w:r w:rsidRPr="00791BBF">
        <w:rPr>
          <w:rFonts w:ascii="Calibri" w:hAnsi="Calibri" w:cs="Calibri"/>
          <w:color w:val="000000"/>
          <w:sz w:val="24"/>
          <w:szCs w:val="24"/>
        </w:rPr>
        <w:t>Sarąg</w:t>
      </w:r>
      <w:proofErr w:type="spellEnd"/>
      <w:r w:rsidRPr="00791BBF">
        <w:rPr>
          <w:rFonts w:ascii="Calibri" w:hAnsi="Calibri" w:cs="Calibri"/>
          <w:color w:val="000000"/>
          <w:sz w:val="24"/>
          <w:szCs w:val="24"/>
        </w:rPr>
        <w:t>. JCWP posiada status naturalnej części wód i jest monitorowana. Stan tych wód oceniony został jako zły, zaś ocena ryzyka nieosiągnięcia celów środowiskowych określona jest jako zagrożona. Dla analizowanej JCWP wprowadzono derogacje w tym: ustalono mniej rygorystyczne cele oraz czasową, na podstawie której osiągnięcie celów środowiskowych - dobry stan ekologiczny; zapewnienie drożności cieku według wymagań gatunków chronionych; zapewnienie drożności cieku dla migracji gatunków o znaczeniu gospodarczym na odcinku cieku głównego Pasłęka w obrębie JCWP (dla węgorza europejskiego), stan chemiczny: dla złagodzonych wskaźników [</w:t>
      </w:r>
      <w:proofErr w:type="spellStart"/>
      <w:r w:rsidRPr="00791BBF">
        <w:rPr>
          <w:rFonts w:ascii="Calibri" w:hAnsi="Calibri" w:cs="Calibri"/>
          <w:color w:val="000000"/>
          <w:sz w:val="24"/>
          <w:szCs w:val="24"/>
        </w:rPr>
        <w:t>benzo</w:t>
      </w:r>
      <w:proofErr w:type="spellEnd"/>
      <w:r w:rsidRPr="00791BBF">
        <w:rPr>
          <w:rFonts w:ascii="Calibri" w:hAnsi="Calibri" w:cs="Calibri"/>
          <w:color w:val="000000"/>
          <w:sz w:val="24"/>
          <w:szCs w:val="24"/>
        </w:rPr>
        <w:t>(a)</w:t>
      </w:r>
      <w:proofErr w:type="spellStart"/>
      <w:r w:rsidRPr="00791BBF">
        <w:rPr>
          <w:rFonts w:ascii="Calibri" w:hAnsi="Calibri" w:cs="Calibri"/>
          <w:color w:val="000000"/>
          <w:sz w:val="24"/>
          <w:szCs w:val="24"/>
        </w:rPr>
        <w:t>piren</w:t>
      </w:r>
      <w:proofErr w:type="spellEnd"/>
      <w:r w:rsidRPr="00791BBF">
        <w:rPr>
          <w:rFonts w:ascii="Calibri" w:hAnsi="Calibri" w:cs="Calibri"/>
          <w:color w:val="000000"/>
          <w:sz w:val="24"/>
          <w:szCs w:val="24"/>
        </w:rPr>
        <w:t xml:space="preserve">(w), związki </w:t>
      </w:r>
      <w:proofErr w:type="spellStart"/>
      <w:r w:rsidRPr="00791BBF">
        <w:rPr>
          <w:rFonts w:ascii="Calibri" w:hAnsi="Calibri" w:cs="Calibri"/>
          <w:color w:val="000000"/>
          <w:sz w:val="24"/>
          <w:szCs w:val="24"/>
        </w:rPr>
        <w:t>tributylocyny</w:t>
      </w:r>
      <w:proofErr w:type="spellEnd"/>
      <w:r w:rsidRPr="00791BBF">
        <w:rPr>
          <w:rFonts w:ascii="Calibri" w:hAnsi="Calibri" w:cs="Calibri"/>
          <w:color w:val="000000"/>
          <w:sz w:val="24"/>
          <w:szCs w:val="24"/>
        </w:rPr>
        <w:t xml:space="preserve">(w)] poniżej stanu dobrego, dla pozostałych wskaźników - stan dobry - może nastąpić do 2027r. Przedłużono termin osiągnięcia celu środowiskowego ze względu na warunki naturalne (procesy </w:t>
      </w:r>
      <w:proofErr w:type="spellStart"/>
      <w:r w:rsidRPr="00791BBF">
        <w:rPr>
          <w:rFonts w:ascii="Calibri" w:hAnsi="Calibri" w:cs="Calibri"/>
          <w:color w:val="000000"/>
          <w:sz w:val="24"/>
          <w:szCs w:val="24"/>
        </w:rPr>
        <w:t>bipchemiczne</w:t>
      </w:r>
      <w:proofErr w:type="spellEnd"/>
      <w:r w:rsidRPr="00791BBF">
        <w:rPr>
          <w:rFonts w:ascii="Calibri" w:hAnsi="Calibri" w:cs="Calibri"/>
          <w:color w:val="000000"/>
          <w:sz w:val="24"/>
          <w:szCs w:val="24"/>
        </w:rPr>
        <w:t xml:space="preserve">; procesy ekologiczne; procesy fizykochemiczne; procesy </w:t>
      </w:r>
      <w:proofErr w:type="spellStart"/>
      <w:r w:rsidRPr="00791BBF">
        <w:rPr>
          <w:rFonts w:ascii="Calibri" w:hAnsi="Calibri" w:cs="Calibri"/>
          <w:color w:val="000000"/>
          <w:sz w:val="24"/>
          <w:szCs w:val="24"/>
        </w:rPr>
        <w:t>hydromorfologiczne</w:t>
      </w:r>
      <w:proofErr w:type="spellEnd"/>
      <w:r w:rsidRPr="00791BBF">
        <w:rPr>
          <w:rFonts w:ascii="Calibri" w:hAnsi="Calibri" w:cs="Calibri"/>
          <w:color w:val="000000"/>
          <w:sz w:val="24"/>
          <w:szCs w:val="24"/>
        </w:rPr>
        <w:t>);</w:t>
      </w:r>
    </w:p>
    <w:p w14:paraId="7D0F78E3" w14:textId="77777777" w:rsidR="00791BBF" w:rsidRDefault="00791BBF" w:rsidP="00791BBF">
      <w:pPr>
        <w:widowControl w:val="0"/>
        <w:numPr>
          <w:ilvl w:val="0"/>
          <w:numId w:val="26"/>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kod PLRW20000956299 o nazwie </w:t>
      </w:r>
      <w:proofErr w:type="spellStart"/>
      <w:r w:rsidRPr="00791BBF">
        <w:rPr>
          <w:rFonts w:ascii="Calibri" w:hAnsi="Calibri" w:cs="Calibri"/>
          <w:color w:val="000000"/>
          <w:sz w:val="24"/>
          <w:szCs w:val="24"/>
        </w:rPr>
        <w:t>Giłwa</w:t>
      </w:r>
      <w:proofErr w:type="spellEnd"/>
      <w:r w:rsidRPr="00791BBF">
        <w:rPr>
          <w:rFonts w:ascii="Calibri" w:hAnsi="Calibri" w:cs="Calibri"/>
          <w:color w:val="000000"/>
          <w:sz w:val="24"/>
          <w:szCs w:val="24"/>
        </w:rPr>
        <w:t xml:space="preserve">. JCWP posiada status </w:t>
      </w:r>
      <w:proofErr w:type="spellStart"/>
      <w:r w:rsidRPr="00791BBF">
        <w:rPr>
          <w:rFonts w:ascii="Calibri" w:hAnsi="Calibri" w:cs="Calibri"/>
          <w:color w:val="000000"/>
          <w:sz w:val="24"/>
          <w:szCs w:val="24"/>
        </w:rPr>
        <w:t>naturainej</w:t>
      </w:r>
      <w:proofErr w:type="spellEnd"/>
      <w:r w:rsidRPr="00791BBF">
        <w:rPr>
          <w:rFonts w:ascii="Calibri" w:hAnsi="Calibri" w:cs="Calibri"/>
          <w:color w:val="000000"/>
          <w:sz w:val="24"/>
          <w:szCs w:val="24"/>
        </w:rPr>
        <w:t xml:space="preserve"> części wód i jest monitorowana. Stan tych wód oceniony został jako zły, zaś ocena ryzyka nieosiągnięcia celów środowiskowych określona jest jako zagrożona. Dla analizowanej JCWP wprowadzono derogację czasową, na podstawie której osiągnięcie celów środowiskowych: - dobry stan ekologiczny; zapewnienie drożności cieku według wymagań gatunków chronionych, - dobry stan chemiczny: może nastąpić do 2027r.; substancje priorytetowe wprowadzone dyrektywą 2013/39/UE do 2039r. Przedłużono termin osiągnięcia celu środowiskowego ze względu na warunki naturalne a w odniesieniu do substancji priorytetowych wprowadzonych dyrektywą 2013/39/UE - brak możliwości technicznych (w tym: niewystarczające dane na temat źródeł zanieczyszczenia).</w:t>
      </w:r>
    </w:p>
    <w:p w14:paraId="21B9F0E2"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Część inwestycji położona jest również na terenie obszaru dorzecza Pregoły - region wodny Łyny i Węgorapy, w zlewni jednolitej części wód powierzchniowych rzecznych kod:</w:t>
      </w:r>
      <w:r>
        <w:rPr>
          <w:rFonts w:ascii="Calibri" w:hAnsi="Calibri" w:cs="Calibri"/>
          <w:color w:val="000000"/>
          <w:sz w:val="24"/>
          <w:szCs w:val="24"/>
        </w:rPr>
        <w:t xml:space="preserve"> </w:t>
      </w:r>
      <w:r w:rsidRPr="00791BBF">
        <w:rPr>
          <w:rFonts w:ascii="Calibri" w:hAnsi="Calibri" w:cs="Calibri"/>
          <w:color w:val="000000"/>
          <w:sz w:val="24"/>
          <w:szCs w:val="24"/>
        </w:rPr>
        <w:t xml:space="preserve">PLWRW700009584374 nazwie Dopływ z Kolonii Bartą. JCWP posiada status naturalnej części wód i jest monitorowana. Stan ekologiczny nie został dokonany z uwagi na brak badań biologicznych w JCWP, stan chemiczny tych wód nie został oceniony z uwagi na brak danych, nie dokonano też oceny stanu ogólnego z uwagi na brak danych. Ocena ryzyka nieosiągnięcia celów środowiskowych określona jest jako zagrożona. Celem środowiskowym jest dobry stan </w:t>
      </w:r>
      <w:r w:rsidRPr="00791BBF">
        <w:rPr>
          <w:rFonts w:ascii="Calibri" w:hAnsi="Calibri" w:cs="Calibri"/>
          <w:color w:val="000000"/>
          <w:sz w:val="24"/>
          <w:szCs w:val="24"/>
        </w:rPr>
        <w:lastRenderedPageBreak/>
        <w:t xml:space="preserve">ekologiczny; zapewnienie drożności cieku dla migracji ichtiofauny o ile jest monitorowany wskaźnik </w:t>
      </w:r>
      <w:proofErr w:type="spellStart"/>
      <w:r w:rsidRPr="00791BBF">
        <w:rPr>
          <w:rFonts w:ascii="Calibri" w:hAnsi="Calibri" w:cs="Calibri"/>
          <w:color w:val="000000"/>
          <w:sz w:val="24"/>
          <w:szCs w:val="24"/>
        </w:rPr>
        <w:t>diadromiczny</w:t>
      </w:r>
      <w:proofErr w:type="spellEnd"/>
      <w:r w:rsidRPr="00791BBF">
        <w:rPr>
          <w:rFonts w:ascii="Calibri" w:hAnsi="Calibri" w:cs="Calibri"/>
          <w:color w:val="000000"/>
          <w:sz w:val="24"/>
          <w:szCs w:val="24"/>
        </w:rPr>
        <w:t xml:space="preserve"> D, - dobry stan chemiczny.</w:t>
      </w:r>
    </w:p>
    <w:p w14:paraId="43B937EF"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Ponadto fragment inwestycji znajduje się w obszarze zlewni bezpośredniej jednolitej części wód powierzchniowych jeziornych kod: PLLW30340 o nazwie </w:t>
      </w:r>
      <w:proofErr w:type="spellStart"/>
      <w:r w:rsidRPr="00791BBF">
        <w:rPr>
          <w:rFonts w:ascii="Calibri" w:hAnsi="Calibri" w:cs="Calibri"/>
          <w:color w:val="000000"/>
          <w:sz w:val="24"/>
          <w:szCs w:val="24"/>
        </w:rPr>
        <w:t>Wulpińskie</w:t>
      </w:r>
      <w:proofErr w:type="spellEnd"/>
      <w:r w:rsidRPr="00791BBF">
        <w:rPr>
          <w:rFonts w:ascii="Calibri" w:hAnsi="Calibri" w:cs="Calibri"/>
          <w:color w:val="000000"/>
          <w:sz w:val="24"/>
          <w:szCs w:val="24"/>
        </w:rPr>
        <w:t xml:space="preserve">. JCWP posiada status naturalnej części wód, jest ona monitorowana. Stan ogólny tych wód oceniony został jako zły, zaś ocena ryzyka nieosiągnięcia celów środowiskowych określona jest jako zagrożona. Dla analizowanej JCWP wprowadzono derogację czasową, na podstawie której osiągnięcie celu środowiskowego - dobry stan ekologiczny i dobry stan chemiczny może nastąpić - </w:t>
      </w:r>
      <w:proofErr w:type="spellStart"/>
      <w:r w:rsidRPr="00791BBF">
        <w:rPr>
          <w:rFonts w:ascii="Calibri" w:hAnsi="Calibri" w:cs="Calibri"/>
          <w:color w:val="000000"/>
          <w:sz w:val="24"/>
          <w:szCs w:val="24"/>
        </w:rPr>
        <w:t>Benzo</w:t>
      </w:r>
      <w:proofErr w:type="spellEnd"/>
      <w:r w:rsidRPr="00791BBF">
        <w:rPr>
          <w:rFonts w:ascii="Calibri" w:hAnsi="Calibri" w:cs="Calibri"/>
          <w:color w:val="000000"/>
          <w:sz w:val="24"/>
          <w:szCs w:val="24"/>
        </w:rPr>
        <w:t>(a)</w:t>
      </w:r>
      <w:proofErr w:type="spellStart"/>
      <w:r w:rsidRPr="00791BBF">
        <w:rPr>
          <w:rFonts w:ascii="Calibri" w:hAnsi="Calibri" w:cs="Calibri"/>
          <w:color w:val="000000"/>
          <w:sz w:val="24"/>
          <w:szCs w:val="24"/>
        </w:rPr>
        <w:t>piren</w:t>
      </w:r>
      <w:proofErr w:type="spellEnd"/>
      <w:r w:rsidRPr="00791BBF">
        <w:rPr>
          <w:rFonts w:ascii="Calibri" w:hAnsi="Calibri" w:cs="Calibri"/>
          <w:color w:val="000000"/>
          <w:sz w:val="24"/>
          <w:szCs w:val="24"/>
        </w:rPr>
        <w:t xml:space="preserve"> (w) - do 2027r.; przezroczystość, fosfor ogólny - po 2027r. Przedłużono termin osiągnięcia celu środowiskowego ze względu na warunki naturalne (procesy biochemiczne procesy ekologiczne procesy fizykochemiczne).</w:t>
      </w:r>
    </w:p>
    <w:p w14:paraId="0A976CF8"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Planowane przedsięwzięcie znajduje się w obszarze jednolitych części wód podziemnych - kod: PLGW200019 oraz PLGW700020, które charakteryzują się dobrym stanem ilościowym oraz dobrym stanem chemicznym. Są one monitorowane, a ocena ich ryzyka nieosiągnięcia celów środowiskowych określona jest jako niezagrożona. Celem środowiskowym </w:t>
      </w:r>
      <w:proofErr w:type="spellStart"/>
      <w:r w:rsidRPr="00791BBF">
        <w:rPr>
          <w:rFonts w:ascii="Calibri" w:hAnsi="Calibri" w:cs="Calibri"/>
          <w:color w:val="000000"/>
          <w:sz w:val="24"/>
          <w:szCs w:val="24"/>
        </w:rPr>
        <w:t>JCWPd</w:t>
      </w:r>
      <w:proofErr w:type="spellEnd"/>
      <w:r w:rsidRPr="00791BBF">
        <w:rPr>
          <w:rFonts w:ascii="Calibri" w:hAnsi="Calibri" w:cs="Calibri"/>
          <w:color w:val="000000"/>
          <w:sz w:val="24"/>
          <w:szCs w:val="24"/>
        </w:rPr>
        <w:t xml:space="preserve"> jest osiągnięcie i utrzymanie dobrego stanu ilościowego i dobrego stanu chemicznego tych wód. </w:t>
      </w:r>
    </w:p>
    <w:p w14:paraId="6C9FE871"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W obszarze realizacji przedsięwzięcia ani w jego strefie oddziaływania nie występują, obszary wodo-błotne, ujścia rzek. Przedsięwzięcie zlokalizowane jest poza zasięgiem stref ochronnych ujęć wód obszarów ochronnych zbiorników wód śródlądowych oraz obszarów przylegających do jezior. Planowane przedsięwzięcie nie znajduje się w obszarze szczególnego zagrożenia powodzią. Ponadto przedmiotowe zamierzenie częściowo znajduje się w obszarze Głównego Zbiornika Wód Podziemnych nr 213 Olsztyn i Lokalnego Zbiornika Wód Podziemnych nr 212 Olsztynek. W obszarze inwestycji i jej oddziaływania znajdują się liczne rowy, urządzenia drenarskie, zbiorniki wodne oraz cieki (m. in. Rzeka Pasłęka, Dopływ z Kolonii Bartąg). </w:t>
      </w:r>
      <w:r w:rsidRPr="00791BBF">
        <w:rPr>
          <w:rFonts w:ascii="Calibri" w:hAnsi="Calibri" w:cs="Calibri"/>
          <w:color w:val="000000"/>
          <w:sz w:val="24"/>
          <w:szCs w:val="24"/>
        </w:rPr>
        <w:br/>
        <w:t xml:space="preserve">Z informacji zawartych w dokumentacji przedłożonej z wnioskiem wynika, że na trasie projektowanej linii występują skrzyżowania m.in. z rzeką Pasłęką, potokiem i jeziorem. Teren przeznaczony pod przedsięwzięcie przebiega przez jezioro Kluka Duża o powierzchni 10,5 ha. Nad taflą jeziora przebiega trasa linii napowietrznej. Stanowiska słupowe znajdują się </w:t>
      </w:r>
      <w:r w:rsidRPr="00791BBF">
        <w:rPr>
          <w:rFonts w:ascii="Calibri" w:hAnsi="Calibri" w:cs="Calibri"/>
          <w:color w:val="000000"/>
          <w:sz w:val="24"/>
          <w:szCs w:val="24"/>
        </w:rPr>
        <w:br/>
        <w:t xml:space="preserve">w odległości od linii brzegowej jeziora wynoszącej dla słupa nr 86 około 110 m natomiast dla słupa nr 85 minimum 26 m. Przewiduje się wykonanie słupów specjalnych </w:t>
      </w:r>
      <w:proofErr w:type="spellStart"/>
      <w:r w:rsidRPr="00791BBF">
        <w:rPr>
          <w:rFonts w:ascii="Calibri" w:hAnsi="Calibri" w:cs="Calibri"/>
          <w:color w:val="000000"/>
          <w:sz w:val="24"/>
          <w:szCs w:val="24"/>
        </w:rPr>
        <w:t>przekroczeniowych.</w:t>
      </w:r>
      <w:proofErr w:type="spellEnd"/>
    </w:p>
    <w:p w14:paraId="390BA84F"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W trakcie realizacji i eksploatacji inwestycji, środowisko gruntowo-wodne i wód powierzchniowych będzie właściwie chronione przed jej potencjalnym wpływem, jak również nie będzie negatywnego oddziaływania na jednolite części wód podziemnych i </w:t>
      </w:r>
      <w:r w:rsidRPr="00791BBF">
        <w:rPr>
          <w:rFonts w:ascii="Calibri" w:hAnsi="Calibri" w:cs="Calibri"/>
          <w:color w:val="000000"/>
          <w:sz w:val="24"/>
          <w:szCs w:val="24"/>
        </w:rPr>
        <w:lastRenderedPageBreak/>
        <w:t>powierzchniowych wyodrębnionych na mocy Ramowej Dyrektywy Wodnej. Dyrektor Zarządu Zlewni w Elblągu stwierdził, że uwzględniając charakter, skalę i lokalizację planowanego przedsięwzięcia oraz planowane rozwiązania techniczne chroniące środowisko, nie przewiduje się negatywnego oddziaływania przedmiotowego przedsięwzięcia na stan jednolitych części wód oraz na realizację celów środowiskowych, określonych dla nich w Planie gospodarowania wodami na obszarze dorzecza Pregoły, przyjętym Rozporządzeniem Ministra Infrastruktury z dnia 29 listopada 2022 r. (Dz. U. z 2023 r. poz. 207) oraz w Planie gospodarowania wodami na obszarze dorzecza Wisły, przyjętym Rozporządzeniem Ministra Infrastruktury z dnia 4 listopada 2022 r. (Dz. U. z 2023 r. poz. 300).</w:t>
      </w:r>
      <w:bookmarkEnd w:id="5"/>
    </w:p>
    <w:p w14:paraId="40C3774E"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Planowane przedsięwzięcie przebiega przez obszary objęte następującymi formami ochrony środowiska: </w:t>
      </w:r>
    </w:p>
    <w:p w14:paraId="4DFEDD50" w14:textId="77777777" w:rsidR="00791BBF" w:rsidRPr="00791BBF" w:rsidRDefault="00791BBF" w:rsidP="00791BBF">
      <w:pPr>
        <w:pStyle w:val="Akapitzlist"/>
        <w:widowControl w:val="0"/>
        <w:numPr>
          <w:ilvl w:val="0"/>
          <w:numId w:val="30"/>
        </w:numPr>
        <w:suppressAutoHyphens/>
        <w:spacing w:after="0" w:line="360" w:lineRule="auto"/>
        <w:rPr>
          <w:rFonts w:ascii="Calibri" w:hAnsi="Calibri" w:cs="Calibri"/>
          <w:color w:val="000000"/>
          <w:sz w:val="24"/>
          <w:szCs w:val="24"/>
        </w:rPr>
      </w:pPr>
      <w:r w:rsidRPr="00791BBF">
        <w:rPr>
          <w:rFonts w:ascii="Calibri" w:hAnsi="Calibri" w:cs="Calibri"/>
          <w:sz w:val="24"/>
          <w:szCs w:val="24"/>
        </w:rPr>
        <w:t>Rezerwat Ostoja Bobrów na rzece Pasłęce,</w:t>
      </w:r>
    </w:p>
    <w:p w14:paraId="4BD16CEE" w14:textId="77777777" w:rsidR="00791BBF" w:rsidRPr="00791BBF" w:rsidRDefault="00791BBF" w:rsidP="00791BBF">
      <w:pPr>
        <w:pStyle w:val="Akapitzlist"/>
        <w:widowControl w:val="0"/>
        <w:numPr>
          <w:ilvl w:val="0"/>
          <w:numId w:val="30"/>
        </w:numPr>
        <w:suppressAutoHyphens/>
        <w:spacing w:after="0" w:line="360" w:lineRule="auto"/>
        <w:rPr>
          <w:rFonts w:ascii="Calibri" w:hAnsi="Calibri" w:cs="Calibri"/>
          <w:color w:val="000000"/>
          <w:sz w:val="24"/>
          <w:szCs w:val="24"/>
        </w:rPr>
      </w:pPr>
      <w:r w:rsidRPr="00791BBF">
        <w:rPr>
          <w:rFonts w:ascii="Calibri" w:hAnsi="Calibri" w:cs="Calibri"/>
          <w:sz w:val="24"/>
          <w:szCs w:val="24"/>
        </w:rPr>
        <w:t>Obszar Chronionego Krajobrazu Puszczy Napiwodzko-</w:t>
      </w:r>
      <w:proofErr w:type="spellStart"/>
      <w:r w:rsidRPr="00791BBF">
        <w:rPr>
          <w:rFonts w:ascii="Calibri" w:hAnsi="Calibri" w:cs="Calibri"/>
          <w:sz w:val="24"/>
          <w:szCs w:val="24"/>
        </w:rPr>
        <w:t>Ramuckiej</w:t>
      </w:r>
      <w:proofErr w:type="spellEnd"/>
      <w:r w:rsidRPr="00791BBF">
        <w:rPr>
          <w:rFonts w:ascii="Calibri" w:hAnsi="Calibri" w:cs="Calibri"/>
          <w:sz w:val="24"/>
          <w:szCs w:val="24"/>
        </w:rPr>
        <w:t xml:space="preserve">, </w:t>
      </w:r>
    </w:p>
    <w:p w14:paraId="2AB5A43D" w14:textId="77777777" w:rsidR="00791BBF" w:rsidRPr="00791BBF" w:rsidRDefault="00791BBF" w:rsidP="00791BBF">
      <w:pPr>
        <w:pStyle w:val="Akapitzlist"/>
        <w:widowControl w:val="0"/>
        <w:numPr>
          <w:ilvl w:val="0"/>
          <w:numId w:val="30"/>
        </w:numPr>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Obszar Chronionego Krajobrazu Doliny Pasłęki, </w:t>
      </w:r>
    </w:p>
    <w:p w14:paraId="30C13146" w14:textId="77777777" w:rsidR="00791BBF" w:rsidRPr="00791BBF" w:rsidRDefault="00791BBF" w:rsidP="00791BBF">
      <w:pPr>
        <w:pStyle w:val="Akapitzlist"/>
        <w:widowControl w:val="0"/>
        <w:numPr>
          <w:ilvl w:val="0"/>
          <w:numId w:val="30"/>
        </w:numPr>
        <w:suppressAutoHyphens/>
        <w:spacing w:after="0" w:line="360" w:lineRule="auto"/>
        <w:rPr>
          <w:rFonts w:ascii="Calibri" w:hAnsi="Calibri" w:cs="Calibri"/>
          <w:color w:val="000000"/>
          <w:sz w:val="24"/>
          <w:szCs w:val="24"/>
        </w:rPr>
      </w:pPr>
      <w:r w:rsidRPr="00791BBF">
        <w:rPr>
          <w:rFonts w:ascii="Calibri" w:hAnsi="Calibri" w:cs="Calibri"/>
          <w:sz w:val="24"/>
          <w:szCs w:val="24"/>
        </w:rPr>
        <w:t>Obszar Natura 2000 – Dolina Pasłęki PLB280002,</w:t>
      </w:r>
    </w:p>
    <w:p w14:paraId="6F423E23" w14:textId="77777777" w:rsidR="00791BBF" w:rsidRPr="00791BBF" w:rsidRDefault="00791BBF" w:rsidP="00791BBF">
      <w:pPr>
        <w:pStyle w:val="Akapitzlist"/>
        <w:widowControl w:val="0"/>
        <w:numPr>
          <w:ilvl w:val="0"/>
          <w:numId w:val="30"/>
        </w:numPr>
        <w:suppressAutoHyphens/>
        <w:spacing w:after="0" w:line="360" w:lineRule="auto"/>
        <w:rPr>
          <w:rFonts w:ascii="Calibri" w:hAnsi="Calibri" w:cs="Calibri"/>
          <w:color w:val="000000"/>
          <w:sz w:val="24"/>
          <w:szCs w:val="24"/>
        </w:rPr>
      </w:pPr>
      <w:r w:rsidRPr="00791BBF">
        <w:rPr>
          <w:rFonts w:ascii="Calibri" w:hAnsi="Calibri" w:cs="Calibri"/>
          <w:sz w:val="24"/>
          <w:szCs w:val="24"/>
        </w:rPr>
        <w:t>Obszar Natura 2000 – Rzeka Pasłęka PLH280006.</w:t>
      </w:r>
    </w:p>
    <w:p w14:paraId="4C867D79"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Zakres prac planowanych w granicach obszarów Natura 2000 obejmuje przede wszystkim usunięcie drzew i krzewów w terenach leśnych na potrzeby posadowienia nowych słupów oraz wykonania fragmentów dróg dojazdowych. Jednocześnie inwestycja będzie realizowana </w:t>
      </w:r>
      <w:r w:rsidRPr="00791BBF">
        <w:rPr>
          <w:rFonts w:ascii="Calibri" w:hAnsi="Calibri" w:cs="Calibri"/>
          <w:sz w:val="24"/>
          <w:szCs w:val="24"/>
        </w:rPr>
        <w:br/>
        <w:t>w przeważającej części po istniejącym śladzie oraz poza strefami ochrony ptaków szponiastych. W związku z powyższym realizacja przedsięwzięcia nie spowoduje znaczącego zniszczenia ani uszczuplenia stanowisk gatunków roślin i zwierząt oraz ich siedlisk stanowiących przedmioty ochrony tych obszarów. Przedsięwzięcie nie będzie również znacząco negatywnie oddziaływać na integralność i spójność sieci Natura 2000 ani na cele i działania ochronne ustanowione dla tych obszarów.</w:t>
      </w:r>
    </w:p>
    <w:p w14:paraId="4520F8E9"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Planowane przedsięwzięcie będzie częściowo realizowane w granicach dwóch obszarów chronionego krajobrazu: Obszaru Chronionego Krajobrazu Doliny Pasłęki oraz Obszaru Chronionego Krajobrazu Puszczy Napiwodzko-</w:t>
      </w:r>
      <w:proofErr w:type="spellStart"/>
      <w:r w:rsidRPr="00791BBF">
        <w:rPr>
          <w:rFonts w:ascii="Calibri" w:hAnsi="Calibri" w:cs="Calibri"/>
          <w:sz w:val="24"/>
          <w:szCs w:val="24"/>
        </w:rPr>
        <w:t>Ramuckiej</w:t>
      </w:r>
      <w:proofErr w:type="spellEnd"/>
      <w:r w:rsidRPr="00791BBF">
        <w:rPr>
          <w:rFonts w:ascii="Calibri" w:hAnsi="Calibri" w:cs="Calibri"/>
          <w:sz w:val="24"/>
          <w:szCs w:val="24"/>
        </w:rPr>
        <w:t>. Z uwagi na fakt, że inwestycja będzie prowadzona w przeważającej części po istniejącym śladzie oraz stanowi inwestycję celu publicznego, nie przewiduje się wystąpienia znaczącego negatywnego oddziaływania na wartości przyrodnicze i krajobrazowe tych obszarów. Ponadto, inwestycja w znacznej części położona jest w granicach dwóch korytarzy ekologicznych Puszcza Napiwodzko-</w:t>
      </w:r>
      <w:proofErr w:type="spellStart"/>
      <w:r w:rsidRPr="00791BBF">
        <w:rPr>
          <w:rFonts w:ascii="Calibri" w:hAnsi="Calibri" w:cs="Calibri"/>
          <w:sz w:val="24"/>
          <w:szCs w:val="24"/>
        </w:rPr>
        <w:t>Ramucka</w:t>
      </w:r>
      <w:proofErr w:type="spellEnd"/>
      <w:r w:rsidRPr="00791BBF">
        <w:rPr>
          <w:rFonts w:ascii="Calibri" w:hAnsi="Calibri" w:cs="Calibri"/>
          <w:sz w:val="24"/>
          <w:szCs w:val="24"/>
        </w:rPr>
        <w:t xml:space="preserve"> GKPn-9 i Puszcza Napiwodzko-</w:t>
      </w:r>
      <w:proofErr w:type="spellStart"/>
      <w:r w:rsidRPr="00791BBF">
        <w:rPr>
          <w:rFonts w:ascii="Calibri" w:hAnsi="Calibri" w:cs="Calibri"/>
          <w:sz w:val="24"/>
          <w:szCs w:val="24"/>
        </w:rPr>
        <w:t>Ramucka</w:t>
      </w:r>
      <w:proofErr w:type="spellEnd"/>
      <w:r w:rsidRPr="00791BBF">
        <w:rPr>
          <w:rFonts w:ascii="Calibri" w:hAnsi="Calibri" w:cs="Calibri"/>
          <w:sz w:val="24"/>
          <w:szCs w:val="24"/>
        </w:rPr>
        <w:t xml:space="preserve"> GKPn-8C. Realizacja inwestycji nie zaburzy funkcjonowania </w:t>
      </w:r>
      <w:r w:rsidRPr="00791BBF">
        <w:rPr>
          <w:rFonts w:ascii="Calibri" w:hAnsi="Calibri" w:cs="Calibri"/>
          <w:sz w:val="24"/>
          <w:szCs w:val="24"/>
        </w:rPr>
        <w:lastRenderedPageBreak/>
        <w:t>korytarzy migracyjnych. Na w/w obszarach chronionych znajduje się odcinek projektowanej linii o łącznej długości około 13,2 km.</w:t>
      </w:r>
    </w:p>
    <w:p w14:paraId="3D3A5D8D" w14:textId="77777777" w:rsidR="00791BBF" w:rsidRDefault="00791BBF" w:rsidP="00791BBF">
      <w:pPr>
        <w:widowControl w:val="0"/>
        <w:suppressAutoHyphens/>
        <w:spacing w:after="0" w:line="360" w:lineRule="auto"/>
        <w:rPr>
          <w:rFonts w:ascii="Calibri" w:hAnsi="Calibri" w:cs="Calibri"/>
          <w:sz w:val="24"/>
          <w:szCs w:val="24"/>
        </w:rPr>
      </w:pPr>
      <w:r w:rsidRPr="00791BBF">
        <w:rPr>
          <w:rFonts w:ascii="Calibri" w:hAnsi="Calibri" w:cs="Calibri"/>
          <w:sz w:val="24"/>
          <w:szCs w:val="24"/>
        </w:rPr>
        <w:t xml:space="preserve">Projektowana linia została zaplanowana z ograniczeniem ingerencji w obszary leśne. </w:t>
      </w:r>
      <w:r w:rsidRPr="00791BBF">
        <w:rPr>
          <w:rFonts w:ascii="Calibri" w:hAnsi="Calibri" w:cs="Calibri"/>
          <w:sz w:val="24"/>
          <w:szCs w:val="24"/>
        </w:rPr>
        <w:br/>
        <w:t>W pierwszej kolejności przewiduje się wykorzystanie istniejącej infrastruktury leśnej, w tym dróg leśnych, duktów zrywkowych oraz istniejących przecinek i pasów technologicznych. Trasy dojazdowe do stanowisk słupów zostaną zaprojektowane tak, aby pokrywały się z istniejącą siecią komunikacyjną, a nowe odcinki będą wyznaczane wyłącznie w przypadku braku alternatywy. Prace montażowe np. rozwieszanie przewodów będą prowadzone z wykorzystaniem metod ograniczających jak najbardziej ingerencję w teren. Zgodnie z dokumentacją prace będą prowadzone we współpracy z nadleśnictwami, z uwzględnieniem okresów ochrony fauny, zasad gospodarki leśnej, ograniczeń wynikających z lokalizacji w granicach form ochrony przyrody.</w:t>
      </w:r>
    </w:p>
    <w:p w14:paraId="04BD441B"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Na odcinku planowanej linii nadleśnej nie przewiduje się usuwania drzew i krzewów, jeżeli nie kolidują one ze stanowiskami słupowymi ani tymczasowymi drogami dojazdowymi/technologicznymi. W rejonie od projektowanego stanowiska słupowego nr OL111 do nr OL96, nr OL91 a nr OL82, nr OL80 a nr OL78 oraz nr OL76 a nr OL74 w ramach przebudowy linii zastosowane zostaną słupy nadleśne niewymagające wycinki pomiędzy przęsłami. Słupy nadleśne wykonane zostaną o 10 m wyższe od konstrukcji wynikających z uwarunkowania terenu. Na etapie realizacji inwestycji wycinka drzew i krzewów na odcinkach przebiegających przez tereny leśne będzie prowadzona jedynie w rejonie nowoprojektowanych stanowisk słupowych, w obszarze do 9 m od obrysu słupa, oraz w rejonie wytyczonych dróg dojazdowych (technologicznych) do tych stanowisk. Dojazd do stanowisk planuje się z wykorzystaniem istniejących przecinek, duktów leśnych oraz dróg polnych. Na etapie eksploatacji, na odcinkach linii nadleśnej pomiędzy stanowiskami słupowymi, wycinki eksploatacyjne w rejonie pasa ochrony funkcyjnej linii nie będą prowadzone. Jedynie na początku i końcu odcinka nadleśnego konieczne będzie częściowe utrzymanie wycinki na użytkach leśnych. Wycinka ograniczona zostanie do niezbędnego minimum i jest niezbędna w celu prawidłowej eksploatacji sieci. Linia 110 </w:t>
      </w:r>
      <w:proofErr w:type="spellStart"/>
      <w:r w:rsidRPr="00791BBF">
        <w:rPr>
          <w:rFonts w:ascii="Calibri" w:hAnsi="Calibri" w:cs="Calibri"/>
          <w:sz w:val="24"/>
          <w:szCs w:val="24"/>
        </w:rPr>
        <w:t>kV</w:t>
      </w:r>
      <w:proofErr w:type="spellEnd"/>
      <w:r w:rsidRPr="00791BBF">
        <w:rPr>
          <w:rFonts w:ascii="Calibri" w:hAnsi="Calibri" w:cs="Calibri"/>
          <w:sz w:val="24"/>
          <w:szCs w:val="24"/>
        </w:rPr>
        <w:t xml:space="preserve"> w istniejącym przebiegu posiada istniejący pas ochrony funkcyjnej, w którym drzewa i krzewy podlegają regularnym wycinkom i przecinkom. Obszar pod istniejącą linią jest już wylesiony w zakresie drzew wysokich. W ramach prac na etapie realizacji konieczna jest jedynie wycinka pojedynczych drzew, wycinka krzewów, punktowa przecinka ponadnormatywna oraz podcinka koron drzew i gałęzi zagrażających bezpieczeństwu linii, w istniejącym korytarzu ochrony funkcyjnej, w którym i tak do tej pory były prowadzone prace wycinkowe. Na etapie </w:t>
      </w:r>
      <w:r w:rsidRPr="00791BBF">
        <w:rPr>
          <w:rFonts w:ascii="Calibri" w:hAnsi="Calibri" w:cs="Calibri"/>
          <w:sz w:val="24"/>
          <w:szCs w:val="24"/>
        </w:rPr>
        <w:lastRenderedPageBreak/>
        <w:t xml:space="preserve">eksploatacji utrzymane zostaną wycinki eksploatacyjne, które prowadzone będą tak jak do tej pory, w istniejącym korytarzu ochrony funkcyjnej linii, zgodnie z obowiązującymi normami operatora sieci. Wycinki wykonywane będą raz na 5 lat i ograniczone zostaną do niezbędnego minimum. </w:t>
      </w:r>
    </w:p>
    <w:p w14:paraId="12CD93BC"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Inwestycja stanowi inwestycję liniową celu publicznego. Odcinek inwestycji będzie przebiegał przez rezerwat przyrody Ostoja bobrów na rzece Pasłęce. Zgodnie z przekazanym uzupełnieniem w granicach rezerwatu będą stawiane nowe słupy, na potrzeby których konieczne będzie usunięcie drzew i krzewów z terenów leśnych. Zgodnie art. 15 ust. 4 ustawy z dnia 16 kwietnia 2004 r. o ochronie przyrody GDOŚ, po zasięgnięciu opinii właściwego regionalnego dyrektora ochrony środowiska może wydać decyzję zezwalającą na odstępstwa od zakazów obowiązujących w rezerwacie.</w:t>
      </w:r>
    </w:p>
    <w:p w14:paraId="3442793B"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Do KIP dołączono dokument pn.: „Inwentaryzacja przyrodnicza dla przedsięwzięcia polegającego na przebudowie napowietrznej linii WN 110 </w:t>
      </w:r>
      <w:proofErr w:type="spellStart"/>
      <w:r w:rsidRPr="00791BBF">
        <w:rPr>
          <w:rFonts w:ascii="Calibri" w:hAnsi="Calibri" w:cs="Calibri"/>
          <w:sz w:val="24"/>
          <w:szCs w:val="24"/>
        </w:rPr>
        <w:t>kV</w:t>
      </w:r>
      <w:proofErr w:type="spellEnd"/>
      <w:r w:rsidRPr="00791BBF">
        <w:rPr>
          <w:rFonts w:ascii="Calibri" w:hAnsi="Calibri" w:cs="Calibri"/>
          <w:sz w:val="24"/>
          <w:szCs w:val="24"/>
        </w:rPr>
        <w:t xml:space="preserve"> relacji Olsztyn Mątki-Olsztynek-odcinek od GPZ Olsztynek do słupa nr OL69/J49”. Badania terenowe zostały wykonane w 2025 r. Ptaki badano w terminach: 10.05.2025 r., 23.05.2025 r., 02.09.2025 r., 10.09.2025 r. Łącznie, na </w:t>
      </w:r>
      <w:proofErr w:type="spellStart"/>
      <w:r w:rsidRPr="00791BBF">
        <w:rPr>
          <w:rFonts w:ascii="Calibri" w:hAnsi="Calibri" w:cs="Calibri"/>
          <w:sz w:val="24"/>
          <w:szCs w:val="24"/>
        </w:rPr>
        <w:t>transektach</w:t>
      </w:r>
      <w:proofErr w:type="spellEnd"/>
      <w:r w:rsidRPr="00791BBF">
        <w:rPr>
          <w:rFonts w:ascii="Calibri" w:hAnsi="Calibri" w:cs="Calibri"/>
          <w:sz w:val="24"/>
          <w:szCs w:val="24"/>
        </w:rPr>
        <w:t xml:space="preserve">, stwierdzono występowanie 31 gatunków ptaków podczas inwentaryzacji terenowej. W 115 lokalizacjach zaobserwowano łącznie 194 osobniki. Najliczniejszym gatunkiem był skowronek polny stwierdzony w liczbie 40 sztuk. Dużą grupę ptaków stanowiły ptaki terenów leśnych z uwagi na to, że spora część linii energetycznej przebiega przez tereny zalesione. Jeden gatunek grzywacz jest gatunkiem łownym, 2 gatunki są objęte ochroną częściową, pozostałe gatunki są objęte ścisła ochroną gatunkową. </w:t>
      </w:r>
    </w:p>
    <w:p w14:paraId="2E374330"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W trakcie obserwacji na punktach obserwacyjnych stwierdzono 16 gatunków ptaków, </w:t>
      </w:r>
      <w:r w:rsidRPr="00791BBF">
        <w:rPr>
          <w:rFonts w:ascii="Calibri" w:hAnsi="Calibri" w:cs="Calibri"/>
          <w:sz w:val="24"/>
          <w:szCs w:val="24"/>
        </w:rPr>
        <w:br/>
        <w:t>w tym nierozpoznane wróblowate, w liczbie 188 sztuk. Na pułapie powyżej wysokości przemieszczało się 56 osobników, w strefie przewodów 22 osobniki. Najwięcej ptaków (110 osobników) przemieszczało się poniżej przebiegu linii energetycznej. Najbardziej narażonym gatunkiem na kolizje z przewodami energetycznymi był gołąb grzywacz. Tylko jedna sztuka gatunków drapieżnych (myszołów) znalazła się w strefie narażonej na kolizje.</w:t>
      </w:r>
    </w:p>
    <w:p w14:paraId="5D3DECD9"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Większość obserwacji dotyczyła drobnych ptaków wróblowatych. Dla tej grupy awifauny linie energetyczne nie stanowią poważnego zagrożenia. Ich przeloty odbywają się na niskich wysokościach i istnieje małe ryzyko kolizji z przewodami elektrycznymi bądź stanowiskami słupowymi. W obrębie inwentaryzowanego terenu zlokalizowano dwa obszary ostoi bioróżnorodności. Są to żerowiska orlika krzykliwego, błotniaka stawowego, trzmielojada. Jedno </w:t>
      </w:r>
      <w:r w:rsidRPr="00791BBF">
        <w:rPr>
          <w:rFonts w:ascii="Calibri" w:hAnsi="Calibri" w:cs="Calibri"/>
          <w:sz w:val="24"/>
          <w:szCs w:val="24"/>
        </w:rPr>
        <w:br/>
        <w:t xml:space="preserve">z nich jest położone w dolinie rzeki Pasłęki, a drugie na otwartych terenach rolniczych. Gatunki </w:t>
      </w:r>
      <w:r w:rsidRPr="00791BBF">
        <w:rPr>
          <w:rFonts w:ascii="Calibri" w:hAnsi="Calibri" w:cs="Calibri"/>
          <w:sz w:val="24"/>
          <w:szCs w:val="24"/>
        </w:rPr>
        <w:lastRenderedPageBreak/>
        <w:t>te są stosunkowo wrażliwe na kolizje z liniami energetycznymi.</w:t>
      </w:r>
    </w:p>
    <w:p w14:paraId="4EE25BFC" w14:textId="77777777" w:rsidR="00791BBF" w:rsidRDefault="00791BBF" w:rsidP="00791BBF">
      <w:pPr>
        <w:widowControl w:val="0"/>
        <w:suppressAutoHyphens/>
        <w:spacing w:after="0" w:line="360" w:lineRule="auto"/>
        <w:rPr>
          <w:rFonts w:ascii="Calibri" w:hAnsi="Calibri" w:cs="Calibri"/>
          <w:sz w:val="24"/>
          <w:szCs w:val="24"/>
        </w:rPr>
      </w:pPr>
      <w:r w:rsidRPr="00791BBF">
        <w:rPr>
          <w:rFonts w:ascii="Calibri" w:hAnsi="Calibri" w:cs="Calibri"/>
          <w:sz w:val="24"/>
          <w:szCs w:val="24"/>
        </w:rPr>
        <w:t xml:space="preserve">Niewielki odcinek linii przebiegać będzie przez granice obszaru specjalnej ochrony ptaków Dolina Pasłęki PLB280002, który został wyznaczony rozporządzeniem Ministra Środowiska z dnia 12 stycznia 2011 r. w sprawie obszarów specjalnej ochrony ptaków (Dz. U. Nr 25, poz. 133, ze zm.). Dla obszaru Natura 2000 Dolina Pasłęki PLB280002 obowiązuje zarządzenie Regionalnego Dyrektora Ochrony Środowiska w Olsztynie z dnia 2 grudnia 2014 r. w sprawie ustanowienia planu zadań ochronnych dla obszaru Natura 2000 Dolina Pasłęki PLB280002 Dz. Urz. Woj. </w:t>
      </w:r>
      <w:proofErr w:type="spellStart"/>
      <w:r w:rsidRPr="00791BBF">
        <w:rPr>
          <w:rFonts w:ascii="Calibri" w:hAnsi="Calibri" w:cs="Calibri"/>
          <w:sz w:val="24"/>
          <w:szCs w:val="24"/>
        </w:rPr>
        <w:t>Warm</w:t>
      </w:r>
      <w:proofErr w:type="spellEnd"/>
      <w:r w:rsidRPr="00791BBF">
        <w:rPr>
          <w:rFonts w:ascii="Calibri" w:hAnsi="Calibri" w:cs="Calibri"/>
          <w:sz w:val="24"/>
          <w:szCs w:val="24"/>
        </w:rPr>
        <w:t>.-</w:t>
      </w:r>
      <w:proofErr w:type="spellStart"/>
      <w:r w:rsidRPr="00791BBF">
        <w:rPr>
          <w:rFonts w:ascii="Calibri" w:hAnsi="Calibri" w:cs="Calibri"/>
          <w:sz w:val="24"/>
          <w:szCs w:val="24"/>
        </w:rPr>
        <w:t>Maz</w:t>
      </w:r>
      <w:proofErr w:type="spellEnd"/>
      <w:r w:rsidRPr="00791BBF">
        <w:rPr>
          <w:rFonts w:ascii="Calibri" w:hAnsi="Calibri" w:cs="Calibri"/>
          <w:sz w:val="24"/>
          <w:szCs w:val="24"/>
        </w:rPr>
        <w:t>. z 2014 r., poz. 3975). Według Standardowego Formularza Danych (SDF) sporządzonego dla obszaru Natura 2000 Dolina Pasłęki PLB280002 (aktualizacja: marzec 2024 r.) jest to ważna ostoja ptasia, w której stwierdzono występowanie co najmniej 23 gatunków ptaków z Załącznika I Dyrektywy Ptasiej m.in.: bąk, trzmielojad, 8 gatunków z Czerwonej listy ptaków Polski m.in.: kania czarna, derkacz, zimorodek, włochatka, cyranka, bąk, rybitwa czarna, błotniak łąkowy. W okresie lęgowym w stosunkowo wysokim zagęszczeniu obszar zasiedla: bocian biały, bocian czarny, błotniak stawowy, derkacz i rybitwa czarna. Ostoja odgrywa istotną rolę w ochronie populacji lęgowej kani czarnej (kryterium C6), bielika, orlika krzykliwego, dzięcioła zielonosiwego i dzięcioła średniego (kryteria B2/B3, C6). Liczebność wymienionych gatunków przekracza 1% populacji krajowej. Do gatunków kluczowych dla funkcjonowania (powyżej 0,5% populacji krajowej) należy trzmielojad, kania ruda, błotniak stawowy, zimorodek, muchołówka mała, krakwa, cyranka, gągoł, nurogęś i samotnik. Katalog przedmiotów ochrony obszaru Natura 2000 Dolina Pasłęki PLB280002 (lista gatunków ptaków) znajduje się w pkt 3.2. SDF</w:t>
      </w:r>
      <w:r>
        <w:rPr>
          <w:rFonts w:ascii="Calibri" w:hAnsi="Calibri" w:cs="Calibri"/>
          <w:sz w:val="24"/>
          <w:szCs w:val="24"/>
        </w:rPr>
        <w:t>.</w:t>
      </w:r>
    </w:p>
    <w:p w14:paraId="4A020452"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Z danych będących w posiadaniu tutejszego Organu wynika, że na wysokości odcinka linii pomiędzy stanowiskiem słupowym Ol118- Ol119, na jeziorze Pasłęckim stwierdzono gągoła, w odległości ok. 130 m od linii. Na wysokości odcinka OL112-OL111, w granicach obszaru Natura 2000 stwierdzono stanowisko lerki. Na wysokości odcinka OL107-OL108 stwierdzono derkacza, w odległości ok. 475 m, 40 m, 173 m, 350 m, samotnika w odległości 50 m, kamieniuszkę </w:t>
      </w:r>
      <w:r w:rsidRPr="00791BBF">
        <w:rPr>
          <w:rFonts w:ascii="Calibri" w:hAnsi="Calibri" w:cs="Calibri"/>
          <w:sz w:val="24"/>
          <w:szCs w:val="24"/>
        </w:rPr>
        <w:br/>
        <w:t xml:space="preserve">w odległości ok. 212 m, dzięciołek w odległości ok. 13 m, żurawia w odległości ok. 306 m. Na wysokości odcinka OL107-OL106 stwierdzono orlika krzykliwego w odległości ok. 40 m, żurawia 213 m, pustułkę 190 m, derkacza 306 m, kszyka w odległości 357 m. Na wysokości odcinka pomiędzy OL105-OL106 stwierdzono krogulca w odległości ok. 253 m, bociana czarnego </w:t>
      </w:r>
      <w:r w:rsidRPr="00791BBF">
        <w:rPr>
          <w:rFonts w:ascii="Calibri" w:hAnsi="Calibri" w:cs="Calibri"/>
          <w:sz w:val="24"/>
          <w:szCs w:val="24"/>
        </w:rPr>
        <w:br/>
        <w:t xml:space="preserve">w odległości 384 m. Na wysokości odcinka OL104-OL105 stwierdzono błotniaka stawowego </w:t>
      </w:r>
      <w:r w:rsidRPr="00791BBF">
        <w:rPr>
          <w:rFonts w:ascii="Calibri" w:hAnsi="Calibri" w:cs="Calibri"/>
          <w:sz w:val="24"/>
          <w:szCs w:val="24"/>
        </w:rPr>
        <w:br/>
        <w:t xml:space="preserve">w odległości ok. 368 m. Większość gatunków było stwierdzonych poza pasem technologicznym linii, a dane o ich stwierdzeniu pochodzą z 2012 r. Z uwagi na to, że większość inwestycji będzie </w:t>
      </w:r>
      <w:r w:rsidRPr="00791BBF">
        <w:rPr>
          <w:rFonts w:ascii="Calibri" w:hAnsi="Calibri" w:cs="Calibri"/>
          <w:sz w:val="24"/>
          <w:szCs w:val="24"/>
        </w:rPr>
        <w:lastRenderedPageBreak/>
        <w:t>przebiegała po istniejącym śladzie oraz uwzględniając planowane działania minimalizujące nie przewiduje się wystąpienia znacząco negatywnego oddziaływania na awifaunę, w tym przedmioty ochrony obszaru Natura 2000 Dolina Pasłęki PLB280002.</w:t>
      </w:r>
    </w:p>
    <w:p w14:paraId="2F15D75F" w14:textId="77777777" w:rsidR="00791BBF" w:rsidRDefault="00791BBF" w:rsidP="00791BBF">
      <w:pPr>
        <w:widowControl w:val="0"/>
        <w:suppressAutoHyphens/>
        <w:spacing w:after="0" w:line="360" w:lineRule="auto"/>
        <w:rPr>
          <w:rFonts w:ascii="Calibri" w:hAnsi="Calibri" w:cs="Calibri"/>
          <w:sz w:val="24"/>
          <w:szCs w:val="24"/>
        </w:rPr>
      </w:pPr>
      <w:r w:rsidRPr="00791BBF">
        <w:rPr>
          <w:rFonts w:ascii="Calibri" w:hAnsi="Calibri" w:cs="Calibri"/>
          <w:sz w:val="24"/>
          <w:szCs w:val="24"/>
        </w:rPr>
        <w:t xml:space="preserve">Na podstawie opracowania pn.: ,,Ekspertyza ornitologiczna na potrzeby uzupełnienia stanu wiedzy o przedmiotach ochrony obszaru Natura 2000 Dolina Pasłęki PLB280002” wykonanego w 2020 r. na zamówienie Regionalnej Dyrekcji Ochrony Środowiska w Olsztynie </w:t>
      </w:r>
      <w:r w:rsidRPr="00791BBF">
        <w:rPr>
          <w:rFonts w:ascii="Calibri" w:hAnsi="Calibri" w:cs="Calibri"/>
          <w:sz w:val="24"/>
          <w:szCs w:val="24"/>
        </w:rPr>
        <w:br/>
        <w:t xml:space="preserve">w ramach realizacji projektu POIS.02.04.00-00-0191/16 pn.: Inwentaryzacja cennych siedlisk przyrodniczych kraju, gatunków występujących w ich obrębie oraz stworzenie Banku Danych </w:t>
      </w:r>
      <w:r w:rsidRPr="00791BBF">
        <w:rPr>
          <w:rFonts w:ascii="Calibri" w:hAnsi="Calibri" w:cs="Calibri"/>
          <w:sz w:val="24"/>
          <w:szCs w:val="24"/>
        </w:rPr>
        <w:br/>
        <w:t>o Zasobach Przyrodniczych (Bank Danych), współfinansowanego ze środków Programu Operacyjnego Infrastruktura i Środowisko stwierdzono, że odcinek linii OL107-OL108 znajduje się w obszarze określonym jako ostoja bioróżnorodności, żerowisko orlika krzykliwego, błotniaka stawowego, trzmielojada. Biorąc pod uwagę, że ostoja bioróżnorodności została wyznaczona na istniejącym fragmencie linii nie przewiduje się wystąpienia znacząco negatywnego oddziaływania na ptaki szponiaste przy zastosowaniu działań minimalizujących, w tym montażu znaczników. W ramach działań minimalizujących w celu zwiększenia widoczności linii dla ptaków zaproponowano zastosowanie znaczników ostrzegawczych od projektowanego słupa nr 104 do 108 na długości około 1 500 m. Znaczniki będą umieszczone na otwartych obszarach i na granicy polno-leśnej</w:t>
      </w:r>
      <w:r>
        <w:rPr>
          <w:rFonts w:ascii="Calibri" w:hAnsi="Calibri" w:cs="Calibri"/>
          <w:sz w:val="24"/>
          <w:szCs w:val="24"/>
        </w:rPr>
        <w:t>.</w:t>
      </w:r>
    </w:p>
    <w:p w14:paraId="1E76F112"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Z wykazu stref ochrony gatunków chronionych strefowo, wskazanych w zał. 4 rozporządzenia Ministra Środowiska z dn. 16 grudnia 2016 r. w sprawie ochrony gatunkowej zwierząt (Dz. U. z 2022 r., poz. 2380), prowadzonym przez tutejszy Organ, najbliższa strefa ptaków drapieżnych znajduje się w odległości ok. 206 m i jest to strefa ochrony bociana czarnego, w odległości ok. 354 m znajduje się strefa bielika, kolejna strefa bielika znajduje się </w:t>
      </w:r>
      <w:r w:rsidRPr="00791BBF">
        <w:rPr>
          <w:rFonts w:ascii="Calibri" w:hAnsi="Calibri" w:cs="Calibri"/>
          <w:sz w:val="24"/>
          <w:szCs w:val="24"/>
        </w:rPr>
        <w:br/>
        <w:t>w odległości ok. 3,38 km, w odległości 1,9 km jest strefa orlika krzykliwego. W odległości ok. 2,55 km jest strefa bielika, 3,4 km strefa bielika.</w:t>
      </w:r>
    </w:p>
    <w:p w14:paraId="216E7BEF"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W obszarze Natura 2000 Dolina Pasłęki PLB280002 przewiduje się wykonanie fragmentu drogi dojazdowej/technologicznej do stanowiska słupowego nr OL102 o dł. 20 m, wykonanie drogi dojazdowej/technologicznej do stanowiska słupowego OL108 o dł. 80 m, wykonanie fragmentu drogi dojazdowej/technologicznej do stanowiska słupowego nr OL110  o dł. 30 m, wykonanie fragmentu drogi dojazdowej/technologicznej do stanowiska słupowego nr OL111  o dł. 30 m.</w:t>
      </w:r>
    </w:p>
    <w:p w14:paraId="19E030C9"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W ocenie tutejszego Organu planowane przedsięwzięcie nie będzie znacząco negatywnie oddziaływać na przedmioty ochrony obszaru Natura 2000 Dolina Pasłęki PLB280002. Powyższą ocenę oparto na analizie skali i charakteru planowanej ingerencji. Przedsięwzięcie obejmuje </w:t>
      </w:r>
      <w:r w:rsidRPr="00791BBF">
        <w:rPr>
          <w:rFonts w:ascii="Calibri" w:hAnsi="Calibri" w:cs="Calibri"/>
          <w:sz w:val="24"/>
          <w:szCs w:val="24"/>
        </w:rPr>
        <w:lastRenderedPageBreak/>
        <w:t>stosunkowo krótki odcinek przebiegający przez obszar Natura 2000, a jego realizacja będzie prowadzona głównie po istniejącym śladzie linii. Zakres wycinki drzew zostanie ograniczony do niezbędnego minimum i będzie dotyczył przede wszystkim terenów leśnych. Jednocześnie inwestycja nie będzie ingerować w najcenniejsze siedliska ptaków, w szczególności tereny podmokłe i jeziora, istotne dla ich rozrodu, żerowania i odpoczynku. Uwzględniając powyższe oraz wymagania ekologiczne gatunków stanowiących przedmioty ochrony obszaru, nie przewiduje się wystąpienia znaczącego negatywnego oddziaływania na ich populacje ani wykorzystywane przez nie siedliska.</w:t>
      </w:r>
    </w:p>
    <w:p w14:paraId="54A216F6"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Prognozowane oddziaływania podczas fazy eksploatacji inwestycji na chronione gatunki ptaków dotyczyć będą przede wszystkim ryzyka śmiertelności wskutek kolizji z linią krzyżującą trasy przelotów na miejsca gniazdowania i żerowania. Oddziaływanie to będzie trwałe </w:t>
      </w:r>
      <w:r w:rsidRPr="00791BBF">
        <w:rPr>
          <w:rFonts w:ascii="Calibri" w:hAnsi="Calibri" w:cs="Calibri"/>
          <w:sz w:val="24"/>
          <w:szCs w:val="24"/>
        </w:rPr>
        <w:br/>
        <w:t>i długoterminowe. Szczególnie narażone są w tym wypadku gatunki dużych ptaków, zwłaszcza wymagające wyznaczenia stref ochrony</w:t>
      </w:r>
    </w:p>
    <w:p w14:paraId="239E563D"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Działka inwestycyjna znajduje się również w granicach obszaru Natura 2000 Rzeka Pasłęka PLH280006, dla którego zarządzeniem Regionalnego Dyrektora Ochrony Środowiska </w:t>
      </w:r>
      <w:r w:rsidRPr="00791BBF">
        <w:rPr>
          <w:rFonts w:ascii="Calibri" w:hAnsi="Calibri" w:cs="Calibri"/>
          <w:sz w:val="24"/>
          <w:szCs w:val="24"/>
        </w:rPr>
        <w:br/>
        <w:t xml:space="preserve">w Olsztynie z dnia 14 maja 2015 r. w sprawie ustanowienia planu zadań ochronnych obszaru Natura 2000 Rzeka Pasłęka PLH280006 (Dz. Urz. Woj. </w:t>
      </w:r>
      <w:proofErr w:type="spellStart"/>
      <w:r w:rsidRPr="00791BBF">
        <w:rPr>
          <w:rFonts w:ascii="Calibri" w:hAnsi="Calibri" w:cs="Calibri"/>
          <w:sz w:val="24"/>
          <w:szCs w:val="24"/>
        </w:rPr>
        <w:t>Warm</w:t>
      </w:r>
      <w:proofErr w:type="spellEnd"/>
      <w:r w:rsidRPr="00791BBF">
        <w:rPr>
          <w:rFonts w:ascii="Calibri" w:hAnsi="Calibri" w:cs="Calibri"/>
          <w:sz w:val="24"/>
          <w:szCs w:val="24"/>
        </w:rPr>
        <w:t>.-</w:t>
      </w:r>
      <w:proofErr w:type="spellStart"/>
      <w:r w:rsidRPr="00791BBF">
        <w:rPr>
          <w:rFonts w:ascii="Calibri" w:hAnsi="Calibri" w:cs="Calibri"/>
          <w:sz w:val="24"/>
          <w:szCs w:val="24"/>
        </w:rPr>
        <w:t>Maz</w:t>
      </w:r>
      <w:proofErr w:type="spellEnd"/>
      <w:r w:rsidRPr="00791BBF">
        <w:rPr>
          <w:rFonts w:ascii="Calibri" w:hAnsi="Calibri" w:cs="Calibri"/>
          <w:sz w:val="24"/>
          <w:szCs w:val="24"/>
        </w:rPr>
        <w:t>. poz. 1883, ze zm.). Przedsięwzięcie nie jest bezpośrednio związane z ochroną wskazanych obszarów ani nie wynika z tej ochrony.</w:t>
      </w:r>
    </w:p>
    <w:p w14:paraId="65437491"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Zgodnie ze Standardowym Formularzem Danych, sporządzonym dla obszaru Natura 2000 Rzeka Pasłęka PLH280006 obszar ten został utworzony w celu trwałej ochrony siedlisk przyrodniczych, populacji zagrożonych wyginięciem gatunków zwierząt innych niż ptaki, odtworzenia właściwego stanu ochrony siedlisk przyrodniczych lub właściwego stanu ochrony gatunków będących przedmiotami ochrony tego obszaru. W granicach obszaru stwierdzono 10 siedlisk przyrodniczych, które zostały zakwalifikowane jako przedmioty ochrony są to: 3150 Starorzecza i naturalne eutroficzne zbiorniki wodne ze zbiorowiskami z </w:t>
      </w:r>
      <w:proofErr w:type="spellStart"/>
      <w:r w:rsidRPr="00791BBF">
        <w:rPr>
          <w:rFonts w:ascii="Calibri" w:hAnsi="Calibri" w:cs="Calibri"/>
          <w:sz w:val="24"/>
          <w:szCs w:val="24"/>
        </w:rPr>
        <w:t>Nympheion</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Potamion</w:t>
      </w:r>
      <w:proofErr w:type="spellEnd"/>
      <w:r w:rsidRPr="00791BBF">
        <w:rPr>
          <w:rFonts w:ascii="Calibri" w:hAnsi="Calibri" w:cs="Calibri"/>
          <w:sz w:val="24"/>
          <w:szCs w:val="24"/>
        </w:rPr>
        <w:t xml:space="preserve">, 3160 Naturalne,  dystroficzne zbiorniki wodne, 3260 Nizinne i podgórskie rzeki ze zbiorowiskami </w:t>
      </w:r>
      <w:proofErr w:type="spellStart"/>
      <w:r w:rsidRPr="00791BBF">
        <w:rPr>
          <w:rFonts w:ascii="Calibri" w:hAnsi="Calibri" w:cs="Calibri"/>
          <w:sz w:val="24"/>
          <w:szCs w:val="24"/>
        </w:rPr>
        <w:t>włosieniczników</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Ranunculion</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fluitantis</w:t>
      </w:r>
      <w:proofErr w:type="spellEnd"/>
      <w:r w:rsidRPr="00791BBF">
        <w:rPr>
          <w:rFonts w:ascii="Calibri" w:hAnsi="Calibri" w:cs="Calibri"/>
          <w:sz w:val="24"/>
          <w:szCs w:val="24"/>
        </w:rPr>
        <w:t xml:space="preserve">), 6410 Zmienno-wilgotne łąki </w:t>
      </w:r>
      <w:proofErr w:type="spellStart"/>
      <w:r w:rsidRPr="00791BBF">
        <w:rPr>
          <w:rFonts w:ascii="Calibri" w:hAnsi="Calibri" w:cs="Calibri"/>
          <w:sz w:val="24"/>
          <w:szCs w:val="24"/>
        </w:rPr>
        <w:t>trzęślicowe</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Molinion</w:t>
      </w:r>
      <w:proofErr w:type="spellEnd"/>
      <w:r w:rsidRPr="00791BBF">
        <w:rPr>
          <w:rFonts w:ascii="Calibri" w:hAnsi="Calibri" w:cs="Calibri"/>
          <w:sz w:val="24"/>
          <w:szCs w:val="24"/>
        </w:rPr>
        <w:t xml:space="preserve">), 7110 Torfowiska wysokie  z roślinnością torfotwórczą (żywe), 7140 Torfowiska przejściowe </w:t>
      </w:r>
      <w:r w:rsidRPr="00791BBF">
        <w:rPr>
          <w:rFonts w:ascii="Calibri" w:hAnsi="Calibri" w:cs="Calibri"/>
          <w:sz w:val="24"/>
          <w:szCs w:val="24"/>
        </w:rPr>
        <w:br/>
        <w:t xml:space="preserve">i trzęsawiska (przeważnie z roślinnością z </w:t>
      </w:r>
      <w:proofErr w:type="spellStart"/>
      <w:r w:rsidRPr="00791BBF">
        <w:rPr>
          <w:rFonts w:ascii="Calibri" w:hAnsi="Calibri" w:cs="Calibri"/>
          <w:sz w:val="24"/>
          <w:szCs w:val="24"/>
        </w:rPr>
        <w:t>Scheuchzerio-Caricetea</w:t>
      </w:r>
      <w:proofErr w:type="spellEnd"/>
      <w:r w:rsidRPr="00791BBF">
        <w:rPr>
          <w:rFonts w:ascii="Calibri" w:hAnsi="Calibri" w:cs="Calibri"/>
          <w:sz w:val="24"/>
          <w:szCs w:val="24"/>
        </w:rPr>
        <w:t xml:space="preserve">), 9170 Grąd środkowoeuropejski i </w:t>
      </w:r>
      <w:proofErr w:type="spellStart"/>
      <w:r w:rsidRPr="00791BBF">
        <w:rPr>
          <w:rFonts w:ascii="Calibri" w:hAnsi="Calibri" w:cs="Calibri"/>
          <w:sz w:val="24"/>
          <w:szCs w:val="24"/>
        </w:rPr>
        <w:t>subkontynentalny</w:t>
      </w:r>
      <w:proofErr w:type="spellEnd"/>
      <w:r w:rsidRPr="00791BBF">
        <w:rPr>
          <w:rFonts w:ascii="Calibri" w:hAnsi="Calibri" w:cs="Calibri"/>
          <w:sz w:val="24"/>
          <w:szCs w:val="24"/>
        </w:rPr>
        <w:t xml:space="preserve"> (Galio-</w:t>
      </w:r>
      <w:proofErr w:type="spellStart"/>
      <w:r w:rsidRPr="00791BBF">
        <w:rPr>
          <w:rFonts w:ascii="Calibri" w:hAnsi="Calibri" w:cs="Calibri"/>
          <w:sz w:val="24"/>
          <w:szCs w:val="24"/>
        </w:rPr>
        <w:t>Carpinetum</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Tilio-Carpinetum</w:t>
      </w:r>
      <w:proofErr w:type="spellEnd"/>
      <w:r w:rsidRPr="00791BBF">
        <w:rPr>
          <w:rFonts w:ascii="Calibri" w:hAnsi="Calibri" w:cs="Calibri"/>
          <w:sz w:val="24"/>
          <w:szCs w:val="24"/>
        </w:rPr>
        <w:t>), 91D0 Bory i lasy bagienne (</w:t>
      </w:r>
      <w:proofErr w:type="spellStart"/>
      <w:r w:rsidRPr="00791BBF">
        <w:rPr>
          <w:rFonts w:ascii="Calibri" w:hAnsi="Calibri" w:cs="Calibri"/>
          <w:sz w:val="24"/>
          <w:szCs w:val="24"/>
        </w:rPr>
        <w:t>Vaccinio</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uliginosi</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Betuletum</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pubescentis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Vaccinio</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uliginosi</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Pinetum</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Pino</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mugo-Sphagnetum</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Sphagno</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girgensohnii-Piceetum</w:t>
      </w:r>
      <w:proofErr w:type="spellEnd"/>
      <w:r w:rsidRPr="00791BBF">
        <w:rPr>
          <w:rFonts w:ascii="Calibri" w:hAnsi="Calibri" w:cs="Calibri"/>
          <w:sz w:val="24"/>
          <w:szCs w:val="24"/>
        </w:rPr>
        <w:t xml:space="preserve">) i brzozowo-sosnowe bagienne lasy borealne, </w:t>
      </w:r>
      <w:r w:rsidRPr="00791BBF">
        <w:rPr>
          <w:rFonts w:ascii="Calibri" w:hAnsi="Calibri" w:cs="Calibri"/>
          <w:sz w:val="24"/>
          <w:szCs w:val="24"/>
        </w:rPr>
        <w:lastRenderedPageBreak/>
        <w:t>91E0 Łęgi wierzbowe, topolowe, olszowe i jesionowe (</w:t>
      </w:r>
      <w:proofErr w:type="spellStart"/>
      <w:r w:rsidRPr="00791BBF">
        <w:rPr>
          <w:rFonts w:ascii="Calibri" w:hAnsi="Calibri" w:cs="Calibri"/>
          <w:sz w:val="24"/>
          <w:szCs w:val="24"/>
        </w:rPr>
        <w:t>Salicetum</w:t>
      </w:r>
      <w:proofErr w:type="spellEnd"/>
      <w:r w:rsidRPr="00791BBF">
        <w:rPr>
          <w:rFonts w:ascii="Calibri" w:hAnsi="Calibri" w:cs="Calibri"/>
          <w:sz w:val="24"/>
          <w:szCs w:val="24"/>
        </w:rPr>
        <w:t xml:space="preserve"> albo-</w:t>
      </w:r>
      <w:proofErr w:type="spellStart"/>
      <w:r w:rsidRPr="00791BBF">
        <w:rPr>
          <w:rFonts w:ascii="Calibri" w:hAnsi="Calibri" w:cs="Calibri"/>
          <w:sz w:val="24"/>
          <w:szCs w:val="24"/>
        </w:rPr>
        <w:t>fragilis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Populetum</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albae</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Alnenion</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glutinoso-incanae</w:t>
      </w:r>
      <w:proofErr w:type="spellEnd"/>
      <w:r w:rsidRPr="00791BBF">
        <w:rPr>
          <w:rFonts w:ascii="Calibri" w:hAnsi="Calibri" w:cs="Calibri"/>
          <w:sz w:val="24"/>
          <w:szCs w:val="24"/>
        </w:rPr>
        <w:t>) i olsy źródliskowe, 91F0 Łęgowe lasy dębowo-wiązowo-jesionowe (</w:t>
      </w:r>
      <w:proofErr w:type="spellStart"/>
      <w:r w:rsidRPr="00791BBF">
        <w:rPr>
          <w:rFonts w:ascii="Calibri" w:hAnsi="Calibri" w:cs="Calibri"/>
          <w:sz w:val="24"/>
          <w:szCs w:val="24"/>
        </w:rPr>
        <w:t>Ficario-Ulmetum</w:t>
      </w:r>
      <w:proofErr w:type="spellEnd"/>
      <w:r w:rsidRPr="00791BBF">
        <w:rPr>
          <w:rFonts w:ascii="Calibri" w:hAnsi="Calibri" w:cs="Calibri"/>
          <w:sz w:val="24"/>
          <w:szCs w:val="24"/>
        </w:rPr>
        <w:t xml:space="preserve">). Natomiast gatunków zwierząt innych niż ptaki, które zostały uznane za przedmioty ochrony obszaru Natura 2000 wskazano 15 są to: 1130 </w:t>
      </w:r>
      <w:proofErr w:type="spellStart"/>
      <w:r w:rsidRPr="00791BBF">
        <w:rPr>
          <w:rFonts w:ascii="Calibri" w:hAnsi="Calibri" w:cs="Calibri"/>
          <w:sz w:val="24"/>
          <w:szCs w:val="24"/>
        </w:rPr>
        <w:t>boleń</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Aspius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aspius</w:t>
      </w:r>
      <w:proofErr w:type="spellEnd"/>
      <w:r w:rsidRPr="00791BBF">
        <w:rPr>
          <w:rFonts w:ascii="Calibri" w:hAnsi="Calibri" w:cs="Calibri"/>
          <w:sz w:val="24"/>
          <w:szCs w:val="24"/>
        </w:rPr>
        <w:t xml:space="preserve">, 1337 bóbr europejski </w:t>
      </w:r>
      <w:proofErr w:type="spellStart"/>
      <w:r w:rsidRPr="00791BBF">
        <w:rPr>
          <w:rFonts w:ascii="Calibri" w:hAnsi="Calibri" w:cs="Calibri"/>
          <w:sz w:val="24"/>
          <w:szCs w:val="24"/>
        </w:rPr>
        <w:t>Castor</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fiber</w:t>
      </w:r>
      <w:proofErr w:type="spellEnd"/>
      <w:r w:rsidRPr="00791BBF">
        <w:rPr>
          <w:rFonts w:ascii="Calibri" w:hAnsi="Calibri" w:cs="Calibri"/>
          <w:sz w:val="24"/>
          <w:szCs w:val="24"/>
        </w:rPr>
        <w:t xml:space="preserve">, 1060 czerwończyk nieparek </w:t>
      </w:r>
      <w:proofErr w:type="spellStart"/>
      <w:r w:rsidRPr="00791BBF">
        <w:rPr>
          <w:rFonts w:ascii="Calibri" w:hAnsi="Calibri" w:cs="Calibri"/>
          <w:sz w:val="24"/>
          <w:szCs w:val="24"/>
        </w:rPr>
        <w:t>Lycaena</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dispar</w:t>
      </w:r>
      <w:proofErr w:type="spellEnd"/>
      <w:r w:rsidRPr="00791BBF">
        <w:rPr>
          <w:rFonts w:ascii="Calibri" w:hAnsi="Calibri" w:cs="Calibri"/>
          <w:sz w:val="24"/>
          <w:szCs w:val="24"/>
        </w:rPr>
        <w:t xml:space="preserve">, 1163 głowacz </w:t>
      </w:r>
      <w:proofErr w:type="spellStart"/>
      <w:r w:rsidRPr="00791BBF">
        <w:rPr>
          <w:rFonts w:ascii="Calibri" w:hAnsi="Calibri" w:cs="Calibri"/>
          <w:sz w:val="24"/>
          <w:szCs w:val="24"/>
        </w:rPr>
        <w:t>białopłetwy</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Cottus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gobio</w:t>
      </w:r>
      <w:proofErr w:type="spellEnd"/>
      <w:r w:rsidRPr="00791BBF">
        <w:rPr>
          <w:rFonts w:ascii="Calibri" w:hAnsi="Calibri" w:cs="Calibri"/>
          <w:sz w:val="24"/>
          <w:szCs w:val="24"/>
        </w:rPr>
        <w:t xml:space="preserve">, 1149 koza </w:t>
      </w:r>
      <w:proofErr w:type="spellStart"/>
      <w:r w:rsidRPr="00791BBF">
        <w:rPr>
          <w:rFonts w:ascii="Calibri" w:hAnsi="Calibri" w:cs="Calibri"/>
          <w:sz w:val="24"/>
          <w:szCs w:val="24"/>
        </w:rPr>
        <w:t>Cobitis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taenia</w:t>
      </w:r>
      <w:proofErr w:type="spellEnd"/>
      <w:r w:rsidRPr="00791BBF">
        <w:rPr>
          <w:rFonts w:ascii="Calibri" w:hAnsi="Calibri" w:cs="Calibri"/>
          <w:sz w:val="24"/>
          <w:szCs w:val="24"/>
        </w:rPr>
        <w:t xml:space="preserve">, 1188 kumak nizinny </w:t>
      </w:r>
      <w:proofErr w:type="spellStart"/>
      <w:r w:rsidRPr="00791BBF">
        <w:rPr>
          <w:rFonts w:ascii="Calibri" w:hAnsi="Calibri" w:cs="Calibri"/>
          <w:sz w:val="24"/>
          <w:szCs w:val="24"/>
        </w:rPr>
        <w:t>Bombina</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bombina</w:t>
      </w:r>
      <w:proofErr w:type="spellEnd"/>
      <w:r w:rsidRPr="00791BBF">
        <w:rPr>
          <w:rFonts w:ascii="Calibri" w:hAnsi="Calibri" w:cs="Calibri"/>
          <w:sz w:val="24"/>
          <w:szCs w:val="24"/>
        </w:rPr>
        <w:t xml:space="preserve">, 1099 minóg rzeczny </w:t>
      </w:r>
      <w:proofErr w:type="spellStart"/>
      <w:r w:rsidRPr="00791BBF">
        <w:rPr>
          <w:rFonts w:ascii="Calibri" w:hAnsi="Calibri" w:cs="Calibri"/>
          <w:sz w:val="24"/>
          <w:szCs w:val="24"/>
        </w:rPr>
        <w:t>Lampetra</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fuviatilis</w:t>
      </w:r>
      <w:proofErr w:type="spellEnd"/>
      <w:r w:rsidRPr="00791BBF">
        <w:rPr>
          <w:rFonts w:ascii="Calibri" w:hAnsi="Calibri" w:cs="Calibri"/>
          <w:sz w:val="24"/>
          <w:szCs w:val="24"/>
        </w:rPr>
        <w:t xml:space="preserve">, 1096 minóg strumieniowy </w:t>
      </w:r>
      <w:proofErr w:type="spellStart"/>
      <w:r w:rsidRPr="00791BBF">
        <w:rPr>
          <w:rFonts w:ascii="Calibri" w:hAnsi="Calibri" w:cs="Calibri"/>
          <w:sz w:val="24"/>
          <w:szCs w:val="24"/>
        </w:rPr>
        <w:t>Lampetra</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planeri</w:t>
      </w:r>
      <w:proofErr w:type="spellEnd"/>
      <w:r w:rsidRPr="00791BBF">
        <w:rPr>
          <w:rFonts w:ascii="Calibri" w:hAnsi="Calibri" w:cs="Calibri"/>
          <w:sz w:val="24"/>
          <w:szCs w:val="24"/>
        </w:rPr>
        <w:t xml:space="preserve">,  1145 piskorz </w:t>
      </w:r>
      <w:proofErr w:type="spellStart"/>
      <w:r w:rsidRPr="00791BBF">
        <w:rPr>
          <w:rFonts w:ascii="Calibri" w:hAnsi="Calibri" w:cs="Calibri"/>
          <w:sz w:val="24"/>
          <w:szCs w:val="24"/>
        </w:rPr>
        <w:t>Misgurnus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fossilis</w:t>
      </w:r>
      <w:proofErr w:type="spellEnd"/>
      <w:r w:rsidRPr="00791BBF">
        <w:rPr>
          <w:rFonts w:ascii="Calibri" w:hAnsi="Calibri" w:cs="Calibri"/>
          <w:sz w:val="24"/>
          <w:szCs w:val="24"/>
        </w:rPr>
        <w:t xml:space="preserve">, 5339 różanka </w:t>
      </w:r>
      <w:proofErr w:type="spellStart"/>
      <w:r w:rsidRPr="00791BBF">
        <w:rPr>
          <w:rFonts w:ascii="Calibri" w:hAnsi="Calibri" w:cs="Calibri"/>
          <w:sz w:val="24"/>
          <w:szCs w:val="24"/>
        </w:rPr>
        <w:t>Rhodeus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sericeus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amarus</w:t>
      </w:r>
      <w:proofErr w:type="spellEnd"/>
      <w:r w:rsidRPr="00791BBF">
        <w:rPr>
          <w:rFonts w:ascii="Calibri" w:hAnsi="Calibri" w:cs="Calibri"/>
          <w:sz w:val="24"/>
          <w:szCs w:val="24"/>
        </w:rPr>
        <w:t xml:space="preserve">, 1032 skójka </w:t>
      </w:r>
      <w:proofErr w:type="spellStart"/>
      <w:r w:rsidRPr="00791BBF">
        <w:rPr>
          <w:rFonts w:ascii="Calibri" w:hAnsi="Calibri" w:cs="Calibri"/>
          <w:sz w:val="24"/>
          <w:szCs w:val="24"/>
        </w:rPr>
        <w:t>gruboskorupowa</w:t>
      </w:r>
      <w:proofErr w:type="spellEnd"/>
      <w:r w:rsidRPr="00791BBF">
        <w:rPr>
          <w:rFonts w:ascii="Calibri" w:hAnsi="Calibri" w:cs="Calibri"/>
          <w:sz w:val="24"/>
          <w:szCs w:val="24"/>
        </w:rPr>
        <w:t xml:space="preserve"> Unio </w:t>
      </w:r>
      <w:proofErr w:type="spellStart"/>
      <w:r w:rsidRPr="00791BBF">
        <w:rPr>
          <w:rFonts w:ascii="Calibri" w:hAnsi="Calibri" w:cs="Calibri"/>
          <w:sz w:val="24"/>
          <w:szCs w:val="24"/>
        </w:rPr>
        <w:t>crassus</w:t>
      </w:r>
      <w:proofErr w:type="spellEnd"/>
      <w:r w:rsidRPr="00791BBF">
        <w:rPr>
          <w:rFonts w:ascii="Calibri" w:hAnsi="Calibri" w:cs="Calibri"/>
          <w:sz w:val="24"/>
          <w:szCs w:val="24"/>
        </w:rPr>
        <w:t xml:space="preserve">, 1166 traszka grzebieniasta </w:t>
      </w:r>
      <w:proofErr w:type="spellStart"/>
      <w:r w:rsidRPr="00791BBF">
        <w:rPr>
          <w:rFonts w:ascii="Calibri" w:hAnsi="Calibri" w:cs="Calibri"/>
          <w:sz w:val="24"/>
          <w:szCs w:val="24"/>
        </w:rPr>
        <w:t>Triturus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cristatus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Triturus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cristatus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cristatus</w:t>
      </w:r>
      <w:proofErr w:type="spellEnd"/>
      <w:r w:rsidRPr="00791BBF">
        <w:rPr>
          <w:rFonts w:ascii="Calibri" w:hAnsi="Calibri" w:cs="Calibri"/>
          <w:sz w:val="24"/>
          <w:szCs w:val="24"/>
        </w:rPr>
        <w:t xml:space="preserve">), 1037 </w:t>
      </w:r>
      <w:proofErr w:type="spellStart"/>
      <w:r w:rsidRPr="00791BBF">
        <w:rPr>
          <w:rFonts w:ascii="Calibri" w:hAnsi="Calibri" w:cs="Calibri"/>
          <w:sz w:val="24"/>
          <w:szCs w:val="24"/>
        </w:rPr>
        <w:t>trzepla</w:t>
      </w:r>
      <w:proofErr w:type="spellEnd"/>
      <w:r w:rsidRPr="00791BBF">
        <w:rPr>
          <w:rFonts w:ascii="Calibri" w:hAnsi="Calibri" w:cs="Calibri"/>
          <w:sz w:val="24"/>
          <w:szCs w:val="24"/>
        </w:rPr>
        <w:t xml:space="preserve"> zielona </w:t>
      </w:r>
      <w:proofErr w:type="spellStart"/>
      <w:r w:rsidRPr="00791BBF">
        <w:rPr>
          <w:rFonts w:ascii="Calibri" w:hAnsi="Calibri" w:cs="Calibri"/>
          <w:sz w:val="24"/>
          <w:szCs w:val="24"/>
        </w:rPr>
        <w:t>Ophiogomphus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cecilia</w:t>
      </w:r>
      <w:proofErr w:type="spellEnd"/>
      <w:r w:rsidRPr="00791BBF">
        <w:rPr>
          <w:rFonts w:ascii="Calibri" w:hAnsi="Calibri" w:cs="Calibri"/>
          <w:sz w:val="24"/>
          <w:szCs w:val="24"/>
        </w:rPr>
        <w:t xml:space="preserve">, 1355 wydra Lutra </w:t>
      </w:r>
      <w:proofErr w:type="spellStart"/>
      <w:r w:rsidRPr="00791BBF">
        <w:rPr>
          <w:rFonts w:ascii="Calibri" w:hAnsi="Calibri" w:cs="Calibri"/>
          <w:sz w:val="24"/>
          <w:szCs w:val="24"/>
        </w:rPr>
        <w:t>lutra</w:t>
      </w:r>
      <w:proofErr w:type="spellEnd"/>
      <w:r w:rsidRPr="00791BBF">
        <w:rPr>
          <w:rFonts w:ascii="Calibri" w:hAnsi="Calibri" w:cs="Calibri"/>
          <w:sz w:val="24"/>
          <w:szCs w:val="24"/>
        </w:rPr>
        <w:t xml:space="preserve">, 1042 zalotka większa </w:t>
      </w:r>
      <w:proofErr w:type="spellStart"/>
      <w:r w:rsidRPr="00791BBF">
        <w:rPr>
          <w:rFonts w:ascii="Calibri" w:hAnsi="Calibri" w:cs="Calibri"/>
          <w:sz w:val="24"/>
          <w:szCs w:val="24"/>
        </w:rPr>
        <w:t>Leucorrhinia</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pectoralis.</w:t>
      </w:r>
      <w:proofErr w:type="spellEnd"/>
    </w:p>
    <w:p w14:paraId="13B715FE"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Zgodnie z opracowaniem pn.: ,,Ekspertyza przyrodnicza dla obszaru Natura 2000 Rzeka Pasłęka PLH280006 dotycząca czerwończyka nieparka (</w:t>
      </w:r>
      <w:proofErr w:type="spellStart"/>
      <w:r w:rsidRPr="00791BBF">
        <w:rPr>
          <w:rFonts w:ascii="Calibri" w:hAnsi="Calibri" w:cs="Calibri"/>
          <w:sz w:val="24"/>
          <w:szCs w:val="24"/>
        </w:rPr>
        <w:t>Lycaena</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dispar</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trzepli</w:t>
      </w:r>
      <w:proofErr w:type="spellEnd"/>
      <w:r w:rsidRPr="00791BBF">
        <w:rPr>
          <w:rFonts w:ascii="Calibri" w:hAnsi="Calibri" w:cs="Calibri"/>
          <w:sz w:val="24"/>
          <w:szCs w:val="24"/>
        </w:rPr>
        <w:t xml:space="preserve"> zielonej (</w:t>
      </w:r>
      <w:proofErr w:type="spellStart"/>
      <w:r w:rsidRPr="00791BBF">
        <w:rPr>
          <w:rFonts w:ascii="Calibri" w:hAnsi="Calibri" w:cs="Calibri"/>
          <w:sz w:val="24"/>
          <w:szCs w:val="24"/>
        </w:rPr>
        <w:t>Ophiogomphus</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cecilia</w:t>
      </w:r>
      <w:proofErr w:type="spellEnd"/>
      <w:r w:rsidRPr="00791BBF">
        <w:rPr>
          <w:rFonts w:ascii="Calibri" w:hAnsi="Calibri" w:cs="Calibri"/>
          <w:sz w:val="24"/>
          <w:szCs w:val="24"/>
        </w:rPr>
        <w:t>), zalotki większej (</w:t>
      </w:r>
      <w:proofErr w:type="spellStart"/>
      <w:r w:rsidRPr="00791BBF">
        <w:rPr>
          <w:rFonts w:ascii="Calibri" w:hAnsi="Calibri" w:cs="Calibri"/>
          <w:sz w:val="24"/>
          <w:szCs w:val="24"/>
        </w:rPr>
        <w:t>Leucorrhinia</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pectoralis</w:t>
      </w:r>
      <w:proofErr w:type="spellEnd"/>
      <w:r w:rsidRPr="00791BBF">
        <w:rPr>
          <w:rFonts w:ascii="Calibri" w:hAnsi="Calibri" w:cs="Calibri"/>
          <w:sz w:val="24"/>
          <w:szCs w:val="24"/>
        </w:rPr>
        <w:t xml:space="preserve">) oraz skójki </w:t>
      </w:r>
      <w:proofErr w:type="spellStart"/>
      <w:r w:rsidRPr="00791BBF">
        <w:rPr>
          <w:rFonts w:ascii="Calibri" w:hAnsi="Calibri" w:cs="Calibri"/>
          <w:sz w:val="24"/>
          <w:szCs w:val="24"/>
        </w:rPr>
        <w:t>gruboskorupowej</w:t>
      </w:r>
      <w:proofErr w:type="spellEnd"/>
      <w:r w:rsidRPr="00791BBF">
        <w:rPr>
          <w:rFonts w:ascii="Calibri" w:hAnsi="Calibri" w:cs="Calibri"/>
          <w:sz w:val="24"/>
          <w:szCs w:val="24"/>
        </w:rPr>
        <w:t xml:space="preserve"> (Unio </w:t>
      </w:r>
      <w:proofErr w:type="spellStart"/>
      <w:r w:rsidRPr="00791BBF">
        <w:rPr>
          <w:rFonts w:ascii="Calibri" w:hAnsi="Calibri" w:cs="Calibri"/>
          <w:sz w:val="24"/>
          <w:szCs w:val="24"/>
        </w:rPr>
        <w:t>crassus</w:t>
      </w:r>
      <w:proofErr w:type="spellEnd"/>
      <w:r w:rsidRPr="00791BBF">
        <w:rPr>
          <w:rFonts w:ascii="Calibri" w:hAnsi="Calibri" w:cs="Calibri"/>
          <w:sz w:val="24"/>
          <w:szCs w:val="24"/>
        </w:rPr>
        <w:t xml:space="preserve">) na potrzeby projektu POIS.02.04.00-00-0191/16 pn. „Inwentaryzacja cennych siedlisk przyrodniczych kraju, gatunków występujących w ich obrębie oraz stworzenie Banku Danych o Zasobach Przyrodniczych” sporządzonym w 2021 r. niewielki odcinek linii znajduje się w obszarze wskazanym w uzupełnieniu stanu wiedzy jako siedlisko gatunku czerwończyka nieparka. Na podstawie warstw </w:t>
      </w:r>
      <w:proofErr w:type="spellStart"/>
      <w:r w:rsidRPr="00791BBF">
        <w:rPr>
          <w:rFonts w:ascii="Calibri" w:hAnsi="Calibri" w:cs="Calibri"/>
          <w:sz w:val="24"/>
          <w:szCs w:val="24"/>
        </w:rPr>
        <w:t>geoprzestrzennych</w:t>
      </w:r>
      <w:proofErr w:type="spellEnd"/>
      <w:r w:rsidRPr="00791BBF">
        <w:rPr>
          <w:rFonts w:ascii="Calibri" w:hAnsi="Calibri" w:cs="Calibri"/>
          <w:sz w:val="24"/>
          <w:szCs w:val="24"/>
        </w:rPr>
        <w:t xml:space="preserve"> z wyników badań w formacie </w:t>
      </w:r>
      <w:proofErr w:type="spellStart"/>
      <w:r w:rsidRPr="00791BBF">
        <w:rPr>
          <w:rFonts w:ascii="Calibri" w:hAnsi="Calibri" w:cs="Calibri"/>
          <w:sz w:val="24"/>
          <w:szCs w:val="24"/>
        </w:rPr>
        <w:t>shp</w:t>
      </w:r>
      <w:proofErr w:type="spellEnd"/>
      <w:r w:rsidRPr="00791BBF">
        <w:rPr>
          <w:rFonts w:ascii="Calibri" w:hAnsi="Calibri" w:cs="Calibri"/>
          <w:sz w:val="24"/>
          <w:szCs w:val="24"/>
        </w:rPr>
        <w:t xml:space="preserve"> ustalono, że na terenie działki inwestycyjnej, ani w bezpośrednim jej sąsiedztwie nie stwierdzono form rozwojowych tego gatunku. Zgodnie z wynikami badań najbliższe stanowisko, na którym stwierdzono obecność czerwończyka nieparka znajduje się w odległości ok. 170 m na wschód od terenu inwestycji. </w:t>
      </w:r>
    </w:p>
    <w:p w14:paraId="7D8EF7F9"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Czerwończyk nieparek </w:t>
      </w:r>
      <w:proofErr w:type="spellStart"/>
      <w:r w:rsidRPr="00791BBF">
        <w:rPr>
          <w:rFonts w:ascii="Calibri" w:hAnsi="Calibri" w:cs="Calibri"/>
          <w:sz w:val="24"/>
          <w:szCs w:val="24"/>
        </w:rPr>
        <w:t>Lycaena</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dispar</w:t>
      </w:r>
      <w:proofErr w:type="spellEnd"/>
      <w:r w:rsidRPr="00791BBF">
        <w:rPr>
          <w:rFonts w:ascii="Calibri" w:hAnsi="Calibri" w:cs="Calibri"/>
          <w:sz w:val="24"/>
          <w:szCs w:val="24"/>
        </w:rPr>
        <w:t xml:space="preserve"> występuje na terenie Polski niemal w całym kraju, za wyjątkiem najwyższych kompleksów górskich (Buszko i Masłowski, 2008). Zgodnie </w:t>
      </w:r>
      <w:r w:rsidRPr="00791BBF">
        <w:rPr>
          <w:rFonts w:ascii="Calibri" w:hAnsi="Calibri" w:cs="Calibri"/>
          <w:sz w:val="24"/>
          <w:szCs w:val="24"/>
        </w:rPr>
        <w:br/>
        <w:t>z informacjami zawartymi w przewodniku metodycznym (</w:t>
      </w:r>
      <w:proofErr w:type="spellStart"/>
      <w:r w:rsidRPr="00791BBF">
        <w:rPr>
          <w:rFonts w:ascii="Calibri" w:hAnsi="Calibri" w:cs="Calibri"/>
          <w:sz w:val="24"/>
          <w:szCs w:val="24"/>
        </w:rPr>
        <w:t>Sielezniew</w:t>
      </w:r>
      <w:proofErr w:type="spellEnd"/>
      <w:r w:rsidRPr="00791BBF">
        <w:rPr>
          <w:rFonts w:ascii="Calibri" w:hAnsi="Calibri" w:cs="Calibri"/>
          <w:sz w:val="24"/>
          <w:szCs w:val="24"/>
        </w:rPr>
        <w:t>, 2015) prawdopodobnie jest on najczęściej notowanym gatunkiem motyla, który został zamieszczony w załączniku II Dyrektywy Siedliskowej.  Preferuje tereny wilgotne, chociaż notowana jest także jego ekspansja w stronę bardziej suchych terenów, a jego występowanie powiązane jest z występowaniem roślin żywicielskich, które charakteryzują się szeroką amplitudą ekologiczną (</w:t>
      </w:r>
      <w:proofErr w:type="spellStart"/>
      <w:r w:rsidRPr="00791BBF">
        <w:rPr>
          <w:rFonts w:ascii="Calibri" w:hAnsi="Calibri" w:cs="Calibri"/>
          <w:sz w:val="24"/>
          <w:szCs w:val="24"/>
        </w:rPr>
        <w:t>Rumex</w:t>
      </w:r>
      <w:proofErr w:type="spellEnd"/>
      <w:r w:rsidRPr="00791BBF">
        <w:rPr>
          <w:rFonts w:ascii="Calibri" w:hAnsi="Calibri" w:cs="Calibri"/>
          <w:sz w:val="24"/>
          <w:szCs w:val="24"/>
        </w:rPr>
        <w:t xml:space="preserve"> </w:t>
      </w:r>
      <w:proofErr w:type="spellStart"/>
      <w:r w:rsidRPr="00791BBF">
        <w:rPr>
          <w:rFonts w:ascii="Calibri" w:hAnsi="Calibri" w:cs="Calibri"/>
          <w:sz w:val="24"/>
          <w:szCs w:val="24"/>
        </w:rPr>
        <w:t>spp</w:t>
      </w:r>
      <w:proofErr w:type="spellEnd"/>
      <w:r w:rsidRPr="00791BBF">
        <w:rPr>
          <w:rFonts w:ascii="Calibri" w:hAnsi="Calibri" w:cs="Calibri"/>
          <w:sz w:val="24"/>
          <w:szCs w:val="24"/>
        </w:rPr>
        <w:t xml:space="preserve">.). Zazwyczaj czerwończyk występuje w znacznym rozproszeniu, rzadko na jednym stanowisku notuje się więcej niż kilka osobników. Teren wskazany jako siedlisko czerwończyka nieparka jest rozległy, a planowana inwestycja na analizowanym odcinku przebiega po istniejącym śladzie </w:t>
      </w:r>
      <w:r w:rsidRPr="00791BBF">
        <w:rPr>
          <w:rFonts w:ascii="Calibri" w:hAnsi="Calibri" w:cs="Calibri"/>
          <w:sz w:val="24"/>
          <w:szCs w:val="24"/>
        </w:rPr>
        <w:lastRenderedPageBreak/>
        <w:t>linii. Ponadto trasa przedsięwzięcia zlokalizowana jest jedynie na skraju siedliska tego gatunku, natomiast stwierdzenie jego występowania odnotowano w znacznej odległości od planowanej inwestycji.</w:t>
      </w:r>
    </w:p>
    <w:p w14:paraId="2E92BCEC"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Uwzględniając biologię czerwończyka nieparka, niewielki zakres przekształcenia terenu oraz fakt, że obszary położone w sąsiedztwie rzeki Pasłęki pozostaną nieprzekształcone, nie przewiduje się znacząco negatywnego oddziaływania przedsięwzięcia na ten gatunek.</w:t>
      </w:r>
    </w:p>
    <w:p w14:paraId="528D5ED5"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W ramach inwestycji planuje się wykonanie fragmentu drogi dojazdowej/technologicznej do stanowiska słupowego nr OL 102 o dł. 20 m.</w:t>
      </w:r>
    </w:p>
    <w:p w14:paraId="2C547D22"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W ramach inwestycji nie planuje się ingerencji w koryto rzeki, prace w bezpośrednim jej sąsiedztwie będą miały charakter krótkotrwały oraz będą dotyczyły niewielkiego obszaru, </w:t>
      </w:r>
      <w:r w:rsidRPr="00791BBF">
        <w:rPr>
          <w:rFonts w:ascii="Calibri" w:hAnsi="Calibri" w:cs="Calibri"/>
          <w:sz w:val="24"/>
          <w:szCs w:val="24"/>
        </w:rPr>
        <w:br/>
        <w:t xml:space="preserve">a inwestycja nie będzie wkraczać na siedliska przyrodnicze będące przedmiotami ochrony. </w:t>
      </w:r>
      <w:r w:rsidRPr="00791BBF">
        <w:rPr>
          <w:rFonts w:ascii="Calibri" w:hAnsi="Calibri" w:cs="Calibri"/>
          <w:sz w:val="24"/>
          <w:szCs w:val="24"/>
        </w:rPr>
        <w:br/>
        <w:t>W związku z tym nie przewiduje się, aby inwestycja znacząco negatywnie oddziaływała na cele, przedmioty ochrony oraz integralność obszaru Natura 2000 Rzeka Pasłęka PLH280006.</w:t>
      </w:r>
    </w:p>
    <w:p w14:paraId="30CF64AF"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Inwestycja przebiegać będzie przez OCHK Puszczy Napiwodzko-</w:t>
      </w:r>
      <w:proofErr w:type="spellStart"/>
      <w:r w:rsidRPr="00791BBF">
        <w:rPr>
          <w:rFonts w:ascii="Calibri" w:hAnsi="Calibri" w:cs="Calibri"/>
          <w:sz w:val="24"/>
          <w:szCs w:val="24"/>
        </w:rPr>
        <w:t>Ramuckiej</w:t>
      </w:r>
      <w:proofErr w:type="spellEnd"/>
      <w:r w:rsidRPr="00791BBF">
        <w:rPr>
          <w:rFonts w:ascii="Calibri" w:hAnsi="Calibri" w:cs="Calibri"/>
          <w:sz w:val="24"/>
          <w:szCs w:val="24"/>
        </w:rPr>
        <w:t xml:space="preserve">, </w:t>
      </w:r>
      <w:r w:rsidRPr="00791BBF">
        <w:rPr>
          <w:rFonts w:ascii="Calibri" w:hAnsi="Calibri" w:cs="Calibri"/>
          <w:sz w:val="24"/>
          <w:szCs w:val="24"/>
        </w:rPr>
        <w:br/>
        <w:t>w stosunku, do którego obowiązują zapisy Uchwały Nr XXX/669/17 Sejmiku Województwa Warmińsko-Mazurskiego z dnia 26 września 2017 r. w sprawie Obszaru Chronionego Krajobrazu Puszczy Napiwodzko-</w:t>
      </w:r>
      <w:proofErr w:type="spellStart"/>
      <w:r w:rsidRPr="00791BBF">
        <w:rPr>
          <w:rFonts w:ascii="Calibri" w:hAnsi="Calibri" w:cs="Calibri"/>
          <w:sz w:val="24"/>
          <w:szCs w:val="24"/>
        </w:rPr>
        <w:t>Ramuckiej</w:t>
      </w:r>
      <w:proofErr w:type="spellEnd"/>
      <w:r w:rsidRPr="00791BBF">
        <w:rPr>
          <w:rFonts w:ascii="Calibri" w:hAnsi="Calibri" w:cs="Calibri"/>
          <w:sz w:val="24"/>
          <w:szCs w:val="24"/>
        </w:rPr>
        <w:t xml:space="preserve"> oraz przez OCHK Dolina Pasłęki, w stosunku, do którego obowiązują zapisy Uchwały Nr XXVI/605/17 Sejmiku Województwa Warmińsko-Mazurskiego </w:t>
      </w:r>
      <w:r w:rsidRPr="00791BBF">
        <w:rPr>
          <w:rFonts w:ascii="Calibri" w:hAnsi="Calibri" w:cs="Calibri"/>
          <w:sz w:val="24"/>
          <w:szCs w:val="24"/>
        </w:rPr>
        <w:br/>
        <w:t xml:space="preserve">z dnia 25 kwietnia 2017 r. w sprawie Obszaru Chronionego Krajobrazu Doliny Pasłęki. </w:t>
      </w:r>
    </w:p>
    <w:p w14:paraId="1CF786FC" w14:textId="77777777" w:rsidR="00791BBF" w:rsidRDefault="00791BBF" w:rsidP="00791BBF">
      <w:pPr>
        <w:widowControl w:val="0"/>
        <w:suppressAutoHyphens/>
        <w:spacing w:after="0" w:line="360" w:lineRule="auto"/>
        <w:rPr>
          <w:rFonts w:ascii="Calibri" w:hAnsi="Calibri" w:cs="Calibri"/>
          <w:sz w:val="24"/>
          <w:szCs w:val="24"/>
        </w:rPr>
      </w:pPr>
      <w:r w:rsidRPr="00791BBF">
        <w:rPr>
          <w:rFonts w:ascii="Calibri" w:hAnsi="Calibri" w:cs="Calibri"/>
          <w:sz w:val="24"/>
          <w:szCs w:val="24"/>
        </w:rPr>
        <w:t xml:space="preserve">Zgodnie z dokumentacją obszar objęty inwestycją obejmuje mozaikę terenów leśnych, zadrzewionych, rolnych oraz fragmentów terenów otwartych o zróżnicowanej rzeźbie. </w:t>
      </w:r>
    </w:p>
    <w:p w14:paraId="0055FF96"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W krajobrazie dominują naturalne komponenty przyrodnicze, zwłaszcza zwarte kompleksy leśne oraz tereny stanowiące część form ochrony przyrody w tym obszarów Natura 2000 oraz rezerwatu przyrody. Przestrzeń ta charakteryzuje się wysoką wartością wizualną oraz relatywnie niewielką liczbą elementów antropogenicznych. Istniejąca linia energetyczna stanowi stały element tej przestrzeni i jest już wizualnie utrwalona w lokalnym krajobrazie. Planowana przebudowa linii realizowana jest, na przeważającym odcinku, w przebiegu istniejącej linii </w:t>
      </w:r>
      <w:proofErr w:type="spellStart"/>
      <w:r w:rsidRPr="00791BBF">
        <w:rPr>
          <w:rFonts w:ascii="Calibri" w:hAnsi="Calibri" w:cs="Calibri"/>
          <w:sz w:val="24"/>
          <w:szCs w:val="24"/>
        </w:rPr>
        <w:t>kV</w:t>
      </w:r>
      <w:proofErr w:type="spellEnd"/>
      <w:r w:rsidRPr="00791BBF">
        <w:rPr>
          <w:rFonts w:ascii="Calibri" w:hAnsi="Calibri" w:cs="Calibri"/>
          <w:sz w:val="24"/>
          <w:szCs w:val="24"/>
        </w:rPr>
        <w:t xml:space="preserve">, co oznacza, że krajobraz na całej długości inwestycji jest już trwale ukształtowany obecnością infrastruktury elektroenergetycznej. Elementy antropogeniczne są obecne w krajobrazie od wielu lat. Odcinkowa budowa linii po nowej trasie, wzdłuż trasy istniejącej, wynika z konieczności zapewnienia ciągłości zasilania. Odcinkowe ,,przesunięcie” linii nie wpłynie w znaczący sposób na krajobraz w stosunku do stanu istniejącego. Zmiany krajobrazu w strefie oddziaływania przedsięwzięcia będą niewielkie. Przebudowa linii nie wprowadza nowej </w:t>
      </w:r>
      <w:r w:rsidRPr="00791BBF">
        <w:rPr>
          <w:rFonts w:ascii="Calibri" w:hAnsi="Calibri" w:cs="Calibri"/>
          <w:sz w:val="24"/>
          <w:szCs w:val="24"/>
        </w:rPr>
        <w:lastRenderedPageBreak/>
        <w:t xml:space="preserve">infrastruktury, a odnawia jedynie i aktualizuje jej elementy techniczne, co znacząco ogranicza potencjalny wpływ zabudowy na krajobraz. Elementy mogące wpływać na odbiór krajobrazowy to: konstrukcje wsporcze (słupy), przewody oraz elementy osprzętu, wycinka drzew i krzewów, a także widoczność dróg dojazdowych i czasowych stref prac. Drogi niezbędne do realizacji zadania zostały zlokalizowane tak, aby maksymalnie ograniczyć ingerencję w krajobraz – w miarę możliwości wykorzystane będą istniejące trasy dojazdowe. Tymczasowe ślady po drogach ulegną zatarciu po zakończeniu prac, a ich docelowy wpływ na krajobraz będzie znikomy po przeprowadzeniu rekultywacji. Znaczniki na przewodach linii będą widoczne z ograniczonych punktów i nie spowodują istotnego obniżenia walorów krajobrazu, również na terenach chronionych. Ich wprowadzenie ma na celu minimalizację oddziaływania na ptaki, a oddziaływanie wizualne będzie niewielkie. Zmiany w roślinności będą ograniczone przestrzennie, a ich wpływ na odbiór krajobrazu pozostanie nieznaczny do umiarkowanego. Przewiduje się, iż ingerencja w spójność krajobrazową obszarów chronionych będzie ograniczona i nie doprowadzi do utraty ich kluczowych walorów. </w:t>
      </w:r>
      <w:r w:rsidRPr="00791BBF">
        <w:rPr>
          <w:rFonts w:ascii="Calibri" w:hAnsi="Calibri" w:cs="Calibri"/>
          <w:sz w:val="24"/>
          <w:szCs w:val="24"/>
        </w:rPr>
        <w:br/>
        <w:t>W kontekście wizualnym linii nie naruszy integralności krajobrazu, w szczególności w obszarach o najwyższej wrażliwości przyrodniczej.</w:t>
      </w:r>
    </w:p>
    <w:p w14:paraId="77BC6DD7"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W ocenie tutejszego Organu wpływ na krajobraz nie będzie znaczący z uwagi na to, że większość inwestycji dotyczy przebudowy istniejącej linii, natomiast odcinek wytyczony po nowym śladzie jest niewielki. Zakres prac w graniach obszarowych form ochrony przyrody został ograniczony do niezbędnego minimum. W celu minimalizacji oddziaływania fazy realizacji na walory krajobrazowe, wycinka drzew i krzewów ograniczona zostanie do niezbędnego minimum, drogi dojazdowe w miarę możliwości wyznaczone zostaną w oparciu o istniejące dukty drogowe. Inwestycja zatem nie będzie zupełnie nowym elementem, a przebieg przez tereny leśne </w:t>
      </w:r>
      <w:r w:rsidRPr="00791BBF">
        <w:rPr>
          <w:rFonts w:ascii="Calibri" w:hAnsi="Calibri" w:cs="Calibri"/>
          <w:sz w:val="24"/>
          <w:szCs w:val="24"/>
        </w:rPr>
        <w:br/>
        <w:t xml:space="preserve">w znacznym stopniu ograniczy widoczność linii w krajobrazie. </w:t>
      </w:r>
    </w:p>
    <w:p w14:paraId="639B4B84"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 xml:space="preserve">W odniesieniu do płazów nie przewiduje się wystąpienia znacząco negatywnego oddziaływania na ich populacje. Realizacja przedsięwzięcia nie będzie wiązała się z ingerencją w miejsca rozrodu płazów, a od jezior, rzek oraz innych siedlisk wodnych zostaną zachowane odpowiednie odległości. Prace prowadzone w sąsiedztwie cieków i zbiorników wodnych będą realizowane pod nadzorem herpetologicznym. Na etapie realizacji przedsięwzięcia nie przewiduje się również istotnego wpływu na gady. Z uwagi na szerokie spektrum siedlisk wykorzystywanych przez tę grupę zwierząt nie można jednak wykluczyć ich okresowego występowania w rejonie prowadzonych prac, co może wiązać się z ryzykiem nieumyślnego zabijania osobników, m.in. w wyniku kolizji ze sprzętem budowlanym. W celu ograniczenia tego ryzyka przewidziano </w:t>
      </w:r>
      <w:r w:rsidRPr="00791BBF">
        <w:rPr>
          <w:rFonts w:ascii="Calibri" w:hAnsi="Calibri" w:cs="Calibri"/>
          <w:sz w:val="24"/>
          <w:szCs w:val="24"/>
        </w:rPr>
        <w:lastRenderedPageBreak/>
        <w:t xml:space="preserve">zastosowanie działań minimalizujących, w tym wykonanie </w:t>
      </w:r>
      <w:proofErr w:type="spellStart"/>
      <w:r w:rsidRPr="00791BBF">
        <w:rPr>
          <w:rFonts w:ascii="Calibri" w:hAnsi="Calibri" w:cs="Calibri"/>
          <w:sz w:val="24"/>
          <w:szCs w:val="24"/>
        </w:rPr>
        <w:t>wygrodzeń</w:t>
      </w:r>
      <w:proofErr w:type="spellEnd"/>
      <w:r w:rsidRPr="00791BBF">
        <w:rPr>
          <w:rFonts w:ascii="Calibri" w:hAnsi="Calibri" w:cs="Calibri"/>
          <w:sz w:val="24"/>
          <w:szCs w:val="24"/>
        </w:rPr>
        <w:t xml:space="preserve"> herpetologicznych na etapie realizacji inwestycji oraz prowadzenie nadzoru przyrodniczego. Przy zastosowaniu wskazanych działań minimalizujących nie przewiduje się znacząco negatywnego oddziaływania przedsięwzięcia na płazy i gady.</w:t>
      </w:r>
    </w:p>
    <w:p w14:paraId="551F6561"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Oddziaływania na ssaki będą miały głównie charakter oddziaływań pośrednich polegających na przekształceniu fragmentów ich siedlisk. Skala tego oddziaływania będzie niewielka, z uwagi na fakt, że ssaki średnie i duże korzystają z areałów siedlisk nieporównywalnie większych niż fragmenty terenu przekształcane lokalnie w ramach inwestycji, ponadto inwestycja idzie w znacznym stopniu po istniejącym śladzie, zatem w obrębie już przekształconego terenu. Oddziaływaniem, na które mogą być narażone ssaki na etapie realizacji i likwidacji może być płoszenie związane z emisją światła i hałasu, a także obecnością ludzi w czasie wykonywania prac. Będzie to oddziaływanie pośrednie i krótkoterminowe, ograniczone do czasu realizacji prac. Ocenia się, że funkcjonowanie linii na ssaki nie będzie mieć charakteru oddziaływań znacząco negatywnych. Rozstaw słupów i wysokość zawieszenia przewodów oraz brak bezpośredniego zagospodarowania terenu pod linią, nie będzie powodować barier w migracji, także gatunków przemieszczających się na duże dystanse, jak łoś lub wilk.</w:t>
      </w:r>
    </w:p>
    <w:p w14:paraId="7053CA14"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Przy zastosowaniu odpowiednich działań minimalizujących (nadzór przyrodniczy), realizacja inwestycji nie będzie mieć znaczącego negatywnego wpływu na nietoperze. Na etapie eksploatacji nie przewiduje się żadnych zagrożeń dla tej grupy zwierząt. Funkcjonowanie linii nie będzie wpływać negatywnie na nietoperze. Nie udokumentowano, by linie negatywnie wpływały na możliwości przemieszczania się nietoperzy - linia nie będzie stanowić bariery w tym zakresie, a wykształcone siedliska przejściowe na odcinkach śródleśnych stanowić mogą dogodne ciągi migracyjne i żerowiska dla nietoperzy.</w:t>
      </w:r>
    </w:p>
    <w:p w14:paraId="6F8B5289"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sz w:val="24"/>
          <w:szCs w:val="24"/>
        </w:rPr>
        <w:t>W celu ograniczenia negatywnego oddziaływania etapu realizacji inwestycji na środowisko przyrodnicze przewiduje się wprowadzenie szeregu działań minimalizujących, które pozwolą na zachowanie istniejącego stanu środowiska. Do takich działań należy m.in.: ograniczenie do minimum obszarów zajmowanych przez obszar budowy, wykorzystanie istniejących dróg w jak największym stopniu jako dróg umożliwiających dojazd do terenu budowy, ograniczenie do minimum wycinki drzew i krzewów, dostosowanie terminów prowadzenia prac do cyklu życiowego poszczególnych grup organizmów. Prace budowlane, jeśli będą wiązać się z emisją światła mogą zaburzać aktywność nietoperzy, co stanowi oddziaływanie pośrednie.</w:t>
      </w:r>
    </w:p>
    <w:p w14:paraId="52B91246" w14:textId="77777777" w:rsidR="00791BBF" w:rsidRDefault="00791BBF" w:rsidP="00791BBF">
      <w:pPr>
        <w:widowControl w:val="0"/>
        <w:suppressAutoHyphens/>
        <w:spacing w:after="0" w:line="360" w:lineRule="auto"/>
        <w:rPr>
          <w:rFonts w:ascii="Calibri" w:hAnsi="Calibri" w:cs="Calibri"/>
          <w:sz w:val="24"/>
          <w:szCs w:val="24"/>
        </w:rPr>
      </w:pPr>
      <w:r w:rsidRPr="00791BBF">
        <w:rPr>
          <w:rFonts w:ascii="Calibri" w:hAnsi="Calibri" w:cs="Calibri"/>
          <w:sz w:val="24"/>
          <w:szCs w:val="24"/>
        </w:rPr>
        <w:t>Inwestycja przebiegać będzie w granicach korytarzy ekologicznych: Puszcza Napiwodzko-</w:t>
      </w:r>
      <w:proofErr w:type="spellStart"/>
      <w:r w:rsidRPr="00791BBF">
        <w:rPr>
          <w:rFonts w:ascii="Calibri" w:hAnsi="Calibri" w:cs="Calibri"/>
          <w:sz w:val="24"/>
          <w:szCs w:val="24"/>
        </w:rPr>
        <w:t>Ramucka</w:t>
      </w:r>
      <w:proofErr w:type="spellEnd"/>
      <w:r w:rsidRPr="00791BBF">
        <w:rPr>
          <w:rFonts w:ascii="Calibri" w:hAnsi="Calibri" w:cs="Calibri"/>
          <w:sz w:val="24"/>
          <w:szCs w:val="24"/>
        </w:rPr>
        <w:t xml:space="preserve"> GKPn-9, Puszcza Napiwodzko-</w:t>
      </w:r>
      <w:proofErr w:type="spellStart"/>
      <w:r w:rsidRPr="00791BBF">
        <w:rPr>
          <w:rFonts w:ascii="Calibri" w:hAnsi="Calibri" w:cs="Calibri"/>
          <w:sz w:val="24"/>
          <w:szCs w:val="24"/>
        </w:rPr>
        <w:t>Ramucka</w:t>
      </w:r>
      <w:proofErr w:type="spellEnd"/>
      <w:r w:rsidRPr="00791BBF">
        <w:rPr>
          <w:rFonts w:ascii="Calibri" w:hAnsi="Calibri" w:cs="Calibri"/>
          <w:sz w:val="24"/>
          <w:szCs w:val="24"/>
        </w:rPr>
        <w:t xml:space="preserve"> GKPn-8C. Oddziaływanie w fazie realizacji </w:t>
      </w:r>
      <w:r w:rsidRPr="00791BBF">
        <w:rPr>
          <w:rFonts w:ascii="Calibri" w:hAnsi="Calibri" w:cs="Calibri"/>
          <w:sz w:val="24"/>
          <w:szCs w:val="24"/>
        </w:rPr>
        <w:lastRenderedPageBreak/>
        <w:t xml:space="preserve">będzie bezpośrednie, krótkoterminowe w stosunku do wycinki tymczasowej oraz trwałe </w:t>
      </w:r>
      <w:r w:rsidRPr="00791BBF">
        <w:rPr>
          <w:rFonts w:ascii="Calibri" w:hAnsi="Calibri" w:cs="Calibri"/>
          <w:sz w:val="24"/>
          <w:szCs w:val="24"/>
        </w:rPr>
        <w:br/>
        <w:t>w przypadku wycinki trwałej oraz chwilowe związane z ruchem maszyn w fazie realizacji. Może to czasowo wpłynąć na migracje zwierząt korzystających z ww. korytarzy, prowadząc do tymczasowej fragmentacji ich siedlisk i czasowych ograniczeń w dobowych wędrówkach średnich i dużych ssaków, zwłaszcza drapieżników, takich jak wilk. Z uwagi na elastyczność, jaką cechują się te gatunki, szacuje się, że oddziaływanie inwestycji będzie średnie, natomiast ponieważ nie będzie to oddziaływanie trwałe i obejmie nieduży obszar w stosunku do powierzchni całych korytarzy ekologicznych, będzie ono nieznaczące. W trakcie eksploatacji planowanego przedsięwzięcia nie przewiduje się wystąpienia trwałego bądź chwilowego, długo- średnio i krótkoterminowego, negatywnego i pośredniego lub bezpośredniego oddziaływania na korytarze ekologiczne. Słupy będą strukturami właściwie punktowymi, nieblokującymi drożności korytarzy ekologicznych. Ich rozstaw będzie wystarczająco duży, by nie oddziaływać barierowo. Słupy nie będą lokowane w korycie cieku, nie będą blokować możliwości migracji brzegami rzeki, stanowiącej główną oś migracji. Również obecność przewodów linii elektroenergetycznej (zawieszonych na znacznej wysokości) nie będzie mieć wpływu na możliwość migracji zwierząt. Realizacja inwestycji nie wpłynie na drożność i funkcjonalność ww. korytarzy ekologicznych.</w:t>
      </w:r>
    </w:p>
    <w:p w14:paraId="225961AE"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Należy jednak wskazać, że brak negatywnego oddziaływania stwierdzono przy założeniu, że inwestycja będzie realizowana zgodnie z założeniami ustawy o ochronie przyrody, która określa zakazy obowiązujące w stosunku do roślin, zwierząt oraz grzybów objętych ochroną gatunkową oraz jasno wskazuje, że wszelkie odstępstwa od wprowadzonych zakazów są możliwe jedynie po uzyskaniu zgody regionalnego dyrektora ochrony środowiska na podstawie:</w:t>
      </w:r>
    </w:p>
    <w:p w14:paraId="65D10932" w14:textId="77777777" w:rsidR="00791BBF" w:rsidRDefault="00791BBF" w:rsidP="00791BBF">
      <w:pPr>
        <w:pStyle w:val="Akapitzlist"/>
        <w:widowControl w:val="0"/>
        <w:numPr>
          <w:ilvl w:val="0"/>
          <w:numId w:val="31"/>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rozporządzenia Ministra Środowiska z dnia 09 października 2014 r. w sprawie ochrony gatunkowej grzybów (Dz. U. z 2014 r., poz. 1408),</w:t>
      </w:r>
    </w:p>
    <w:p w14:paraId="56B7F452" w14:textId="77777777" w:rsidR="00791BBF" w:rsidRDefault="00791BBF" w:rsidP="00791BBF">
      <w:pPr>
        <w:pStyle w:val="Akapitzlist"/>
        <w:widowControl w:val="0"/>
        <w:numPr>
          <w:ilvl w:val="0"/>
          <w:numId w:val="31"/>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rozporządzenia Ministra Środowiska z dnia 09 października 2014 r. w sprawie ochrony gatunkowej roślin (Dz. U. z 2014 r., poz. 1409),</w:t>
      </w:r>
    </w:p>
    <w:p w14:paraId="406E71E1" w14:textId="77777777" w:rsidR="00791BBF" w:rsidRDefault="00791BBF" w:rsidP="00791BBF">
      <w:pPr>
        <w:pStyle w:val="Akapitzlist"/>
        <w:widowControl w:val="0"/>
        <w:numPr>
          <w:ilvl w:val="0"/>
          <w:numId w:val="31"/>
        </w:numPr>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rozporządzenia Ministra Środowiska z dnia 16 grudnia 2016 r. w sprawie ochrony gatunkowej zwierząt (Dz. U. z 2022 r., poz. 2380).</w:t>
      </w:r>
    </w:p>
    <w:p w14:paraId="0E65473A"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W związku z powyższym przed wykonaniem jakichkolwiek prac, które będą się wiązały z niszczeniem siedlisk przyrodniczych, miejsc rozrodu i regularnego przebywania zwierząt, umyślnym zabijaniem osobników, wycinką drzew, zgodnie z art. 56 ustawy o ochronie przyrody należy każdorazowo wystąpić do Regionalnego Dyrektora Ochrony Środowiska w Olsztynie z odpowiednim wnioskiem o wydanie stosownego zezwolenia na wykonanie czynności zabronionych.</w:t>
      </w:r>
    </w:p>
    <w:p w14:paraId="1B44B21E"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lastRenderedPageBreak/>
        <w:t>Planowane przedsięwzięcie nie będzie kwalifikowane jako zakład o zwiększonym albo dużym ryzyku wystąpienia poważnej awarii przemysłowej. Nie przewiduje się również wystąpienia katastrofy budowlanej ani katastrofy naturalnej. Obiekt linii elektroenergetycznej wysokich napięć zostanie odpowiednio zaprojektowany i zabezpieczony. Konstrukcje wsporcze/fundamenty słupów zostaną dostosowane do przewidywanych obciążeń oraz istniejących warunków gruntowych. Przyjęte do zastosowania technologie robót i wyrobów nie stwarzają ryzyka wystąpienia jakichkolwiek awarii, w szczególności poważnej awarii.</w:t>
      </w:r>
    </w:p>
    <w:p w14:paraId="05A3D4C7"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Ponadto stwierdzono, że z uwagi na rodzaj przedsięwzięcia oddziaływania będą miały zasięg lokalny (bez ryzyka transgranicznych oddziaływań) i nie spowodują istotnych zmian </w:t>
      </w:r>
      <w:r w:rsidRPr="00791BBF">
        <w:rPr>
          <w:rFonts w:ascii="Calibri" w:hAnsi="Calibri" w:cs="Calibri"/>
          <w:color w:val="000000"/>
          <w:sz w:val="24"/>
          <w:szCs w:val="24"/>
        </w:rPr>
        <w:br/>
        <w:t xml:space="preserve">w środowisku, jak również nie powinny wpłynąć negatywnie na istniejące walory krajobrazowe. </w:t>
      </w:r>
    </w:p>
    <w:p w14:paraId="132D0760" w14:textId="77777777" w:rsid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 xml:space="preserve">Z uwagi na fakt, że posiadane na etapie niniejszej decyzji informacje na temat przedsięwzięcia pozwalają wystarczająco ocenić jego wpływ na środowisko, realizacja inwestycji nie spowoduje negatywnych skutków dla obszarów Natura 2000 i innych form ochrony przyrody oraz nie istnieje ryzyko kumulowania się oddziaływań, Regionalny Dyrektor Ochrony Środowiska                 w Olsztynie stwierdził, że realizacja przedmiotowego przedsięwzięcia nie wymaga ponownego przeprowadzenia oceny oddziaływania na środowisko. Niemniej jednak, zgodnie z art. 88 ust. 1 ustawy </w:t>
      </w:r>
      <w:proofErr w:type="spellStart"/>
      <w:r w:rsidRPr="00791BBF">
        <w:rPr>
          <w:rFonts w:ascii="Calibri" w:hAnsi="Calibri" w:cs="Calibri"/>
          <w:color w:val="000000"/>
          <w:sz w:val="24"/>
          <w:szCs w:val="24"/>
        </w:rPr>
        <w:t>ooś</w:t>
      </w:r>
      <w:proofErr w:type="spellEnd"/>
      <w:r w:rsidRPr="00791BBF">
        <w:rPr>
          <w:rFonts w:ascii="Calibri" w:hAnsi="Calibri" w:cs="Calibri"/>
          <w:color w:val="000000"/>
          <w:sz w:val="24"/>
          <w:szCs w:val="24"/>
        </w:rPr>
        <w:t xml:space="preserve">, jeżeli organ administracji </w:t>
      </w:r>
      <w:proofErr w:type="spellStart"/>
      <w:r w:rsidRPr="00791BBF">
        <w:rPr>
          <w:rFonts w:ascii="Calibri" w:hAnsi="Calibri" w:cs="Calibri"/>
          <w:color w:val="000000"/>
          <w:sz w:val="24"/>
          <w:szCs w:val="24"/>
        </w:rPr>
        <w:t>architektoniczno</w:t>
      </w:r>
      <w:proofErr w:type="spellEnd"/>
      <w:r w:rsidRPr="00791BBF">
        <w:rPr>
          <w:rFonts w:ascii="Calibri" w:hAnsi="Calibri" w:cs="Calibri"/>
          <w:color w:val="000000"/>
          <w:sz w:val="24"/>
          <w:szCs w:val="24"/>
        </w:rPr>
        <w:t xml:space="preserve"> – budowlanej uzna, że we wniosku </w:t>
      </w:r>
      <w:r w:rsidRPr="00791BBF">
        <w:rPr>
          <w:rFonts w:ascii="Calibri" w:hAnsi="Calibri" w:cs="Calibri"/>
          <w:color w:val="000000"/>
          <w:sz w:val="24"/>
          <w:szCs w:val="24"/>
        </w:rPr>
        <w:br/>
        <w:t>o wydanie pozwolenia na budowę zostały dokonane zmiany w stosunku do wymagań określonych w decyzji o środowiskowych uwarunkowaniach, może stwierdzić o konieczności przeprowadzenia oceny oddziaływania przedsięwzięcia na środowisko i nałożyć na inwestora obowiązek sporządzenia raportu, jednocześnie określając jego zakres.</w:t>
      </w:r>
    </w:p>
    <w:p w14:paraId="029F2770" w14:textId="4180A685" w:rsidR="004E4F5D" w:rsidRPr="00791BBF" w:rsidRDefault="00791BBF" w:rsidP="00791BBF">
      <w:pPr>
        <w:widowControl w:val="0"/>
        <w:suppressAutoHyphens/>
        <w:spacing w:after="0" w:line="360" w:lineRule="auto"/>
        <w:rPr>
          <w:rFonts w:ascii="Calibri" w:hAnsi="Calibri" w:cs="Calibri"/>
          <w:color w:val="000000"/>
          <w:sz w:val="24"/>
          <w:szCs w:val="24"/>
        </w:rPr>
      </w:pPr>
      <w:r w:rsidRPr="00791BBF">
        <w:rPr>
          <w:rFonts w:ascii="Calibri" w:hAnsi="Calibri" w:cs="Calibri"/>
          <w:color w:val="000000"/>
          <w:sz w:val="24"/>
          <w:szCs w:val="24"/>
        </w:rPr>
        <w:t>Z przeprowadzonej analizy oddziaływania planowanej inwestycji na środowisko w zakresie przyrodniczym oraz emisji zanieczyszczeń do powietrza, hałasu, gospodarki wodno-ściekowej  i odpadami wynika, że realizacja przedmiotowego przedsięwzięcia nie powinna negatywnie oddziaływać na środowisko, przy należytym wypełnieniu warunków realizacji wymienionych w niniejszej decyzji.</w:t>
      </w:r>
    </w:p>
    <w:p w14:paraId="5962CA16" w14:textId="1D4DFD3C" w:rsidR="00DC12F7" w:rsidRPr="007C2C60" w:rsidRDefault="00022C4D" w:rsidP="00155A5C">
      <w:pPr>
        <w:spacing w:after="100" w:afterAutospacing="1" w:line="360" w:lineRule="auto"/>
        <w:rPr>
          <w:rFonts w:cstheme="minorHAnsi"/>
          <w:color w:val="00000A"/>
          <w:sz w:val="24"/>
          <w:szCs w:val="24"/>
        </w:rPr>
      </w:pPr>
      <w:r>
        <w:rPr>
          <w:rFonts w:cstheme="minorHAnsi"/>
          <w:color w:val="00000A"/>
          <w:sz w:val="24"/>
          <w:szCs w:val="24"/>
        </w:rPr>
        <w:t>W związku z powyższym, orzeczono</w:t>
      </w:r>
      <w:r w:rsidR="00155A5C" w:rsidRPr="00155A5C">
        <w:rPr>
          <w:rFonts w:cstheme="minorHAnsi"/>
          <w:color w:val="00000A"/>
          <w:sz w:val="24"/>
          <w:szCs w:val="24"/>
        </w:rPr>
        <w:t xml:space="preserve"> jak w sentencji</w:t>
      </w:r>
      <w:r w:rsidR="00DC12F7" w:rsidRPr="005273E6">
        <w:rPr>
          <w:rFonts w:cstheme="minorHAnsi"/>
          <w:sz w:val="24"/>
          <w:szCs w:val="24"/>
        </w:rPr>
        <w:t>.</w:t>
      </w:r>
    </w:p>
    <w:p w14:paraId="28F46DFC" w14:textId="707CE2B2" w:rsidR="00BE7F8E" w:rsidRDefault="00BE7F8E" w:rsidP="00BE7F8E">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Pouczenie</w:t>
      </w:r>
    </w:p>
    <w:p w14:paraId="63E0A49E" w14:textId="77777777" w:rsidR="00022C4D" w:rsidRDefault="00022C4D" w:rsidP="00022C4D">
      <w:pPr>
        <w:spacing w:after="0" w:line="360" w:lineRule="auto"/>
        <w:rPr>
          <w:sz w:val="24"/>
          <w:szCs w:val="24"/>
        </w:rPr>
      </w:pPr>
      <w:r>
        <w:rPr>
          <w:sz w:val="24"/>
          <w:szCs w:val="24"/>
        </w:rPr>
        <w:t>Zgodnie</w:t>
      </w:r>
      <w:r w:rsidRPr="00022C4D">
        <w:t xml:space="preserve"> </w:t>
      </w:r>
      <w:r w:rsidRPr="00022C4D">
        <w:rPr>
          <w:sz w:val="24"/>
          <w:szCs w:val="24"/>
        </w:rPr>
        <w:t>z art. 25 ust. 1 o przygotowaniu i realizacji strategicznych inwestycji w zakresie sieci przesyłowych (Dz.U. z 2024 r. poz. 1199) niniejsza decyzja podlega natychmiastowemu wykonaniu.</w:t>
      </w:r>
    </w:p>
    <w:p w14:paraId="28BE79B1" w14:textId="77777777" w:rsidR="00022C4D" w:rsidRDefault="00022C4D" w:rsidP="00022C4D">
      <w:pPr>
        <w:spacing w:after="0" w:line="360" w:lineRule="auto"/>
        <w:rPr>
          <w:sz w:val="24"/>
          <w:szCs w:val="24"/>
        </w:rPr>
      </w:pPr>
      <w:r w:rsidRPr="00022C4D">
        <w:rPr>
          <w:sz w:val="24"/>
          <w:szCs w:val="24"/>
        </w:rPr>
        <w:lastRenderedPageBreak/>
        <w:t>Od decyzji służy stronom odwołanie do Generalnego Dyrektora Ochrony Środowiska wniesione za pośrednictwem Regionalnego Dyrektora Ochrony Środowiska w Olsztynie w terminie 7 dni od dnia doręczenia decyzji stronie albo w terminie 14 dni od dnia, w którym zawiadomienie o jej wydaniu w drodze obwieszczenia uważa się za dokonane, zgodnie z art. art. 25 ust. 2 ustawy z dnia 24 lipca 2015 r. o przygotowaniu i realizacji strategicznych inwestycji w zakresie sieci przesyłowych.</w:t>
      </w:r>
    </w:p>
    <w:p w14:paraId="03E7FDA8" w14:textId="77777777" w:rsidR="00022C4D" w:rsidRDefault="00022C4D" w:rsidP="00022C4D">
      <w:pPr>
        <w:spacing w:after="0" w:line="360" w:lineRule="auto"/>
        <w:rPr>
          <w:sz w:val="24"/>
          <w:szCs w:val="24"/>
        </w:rPr>
      </w:pPr>
      <w:r w:rsidRPr="00022C4D">
        <w:rPr>
          <w:sz w:val="24"/>
          <w:szCs w:val="24"/>
        </w:rPr>
        <w:t>Zgodnie z art. 25 ust.3 ustawy z dnia 24 lipca 2015 r. o przygotowaniu i realizacji strategicznych inwestycji w zakresie sieci przesyłowych odwołanie od decyzji powinno zawierać zarzuty odnoszące się do decyzji, określać istotę i zakres żądania będącego przedmiotem odwołania oraz wskazywać dowody uzasadniające to żądanie.</w:t>
      </w:r>
    </w:p>
    <w:p w14:paraId="670B7A78" w14:textId="77777777" w:rsidR="00022C4D" w:rsidRDefault="00022C4D" w:rsidP="00022C4D">
      <w:pPr>
        <w:spacing w:after="0" w:line="360" w:lineRule="auto"/>
        <w:rPr>
          <w:sz w:val="24"/>
          <w:szCs w:val="24"/>
        </w:rPr>
      </w:pPr>
      <w:r w:rsidRPr="00022C4D">
        <w:rPr>
          <w:sz w:val="24"/>
          <w:szCs w:val="24"/>
        </w:rPr>
        <w:t>Od niniejszej decyzji, stosownie do art. 127 § 1 i § 2 oraz art. 129 § 1 i § 2 Kodeksu postępowania administracyjnego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jeżeli przed jego upływem pismo zostało m.in.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7BC4D700" w14:textId="2BB797A8" w:rsidR="00E80C24" w:rsidRPr="00FD74C2" w:rsidRDefault="00022C4D" w:rsidP="00022C4D">
      <w:pPr>
        <w:spacing w:after="100" w:afterAutospacing="1" w:line="360" w:lineRule="auto"/>
        <w:rPr>
          <w:sz w:val="24"/>
          <w:szCs w:val="24"/>
        </w:rPr>
      </w:pPr>
      <w:r w:rsidRPr="00022C4D">
        <w:rPr>
          <w:sz w:val="24"/>
          <w:szCs w:val="24"/>
        </w:rPr>
        <w:t>W myśl art. 127a § 1 i § 2 Kodeksu postępowania administracyjnego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r w:rsidR="00BE7F8E" w:rsidRPr="00BE7F8E">
        <w:rPr>
          <w:sz w:val="24"/>
          <w:szCs w:val="24"/>
        </w:rPr>
        <w:t>.</w:t>
      </w:r>
    </w:p>
    <w:p w14:paraId="13FA7F26" w14:textId="77777777" w:rsidR="009F39F1" w:rsidRPr="009F39F1" w:rsidRDefault="009F39F1" w:rsidP="009F39F1">
      <w:pPr>
        <w:spacing w:after="0" w:line="360" w:lineRule="auto"/>
        <w:rPr>
          <w:sz w:val="24"/>
        </w:rPr>
      </w:pPr>
      <w:r w:rsidRPr="009F39F1">
        <w:rPr>
          <w:sz w:val="24"/>
        </w:rPr>
        <w:t>Regionalny Dyrektor</w:t>
      </w:r>
    </w:p>
    <w:p w14:paraId="0D6895FE" w14:textId="0BBC9458" w:rsidR="009F39F1" w:rsidRPr="009F39F1" w:rsidRDefault="009F39F1" w:rsidP="009F39F1">
      <w:pPr>
        <w:spacing w:after="0" w:line="360" w:lineRule="auto"/>
        <w:rPr>
          <w:sz w:val="24"/>
        </w:rPr>
      </w:pPr>
      <w:r w:rsidRPr="009F39F1">
        <w:rPr>
          <w:sz w:val="24"/>
        </w:rPr>
        <w:t>Ochrony Środowiska w Olsztynie</w:t>
      </w:r>
    </w:p>
    <w:p w14:paraId="004EF7B6" w14:textId="77777777" w:rsidR="009F39F1" w:rsidRPr="009F39F1" w:rsidRDefault="009F39F1" w:rsidP="009F39F1">
      <w:pPr>
        <w:spacing w:after="0" w:line="360" w:lineRule="auto"/>
        <w:rPr>
          <w:sz w:val="24"/>
        </w:rPr>
      </w:pPr>
      <w:r w:rsidRPr="009F39F1">
        <w:rPr>
          <w:sz w:val="24"/>
        </w:rPr>
        <w:t>Agata Moździerz</w:t>
      </w:r>
    </w:p>
    <w:p w14:paraId="7081AAB3" w14:textId="77777777" w:rsidR="009F39F1" w:rsidRPr="009F39F1" w:rsidRDefault="009F39F1" w:rsidP="00FD74C2">
      <w:pPr>
        <w:spacing w:after="100" w:afterAutospacing="1" w:line="360" w:lineRule="auto"/>
        <w:rPr>
          <w:sz w:val="24"/>
        </w:rPr>
      </w:pPr>
      <w:r w:rsidRPr="009F39F1">
        <w:rPr>
          <w:sz w:val="24"/>
        </w:rPr>
        <w:lastRenderedPageBreak/>
        <w:t>/podpis elektroniczny/</w:t>
      </w:r>
    </w:p>
    <w:p w14:paraId="4D1A87F1" w14:textId="11A6E099" w:rsidR="00FD74C2" w:rsidRPr="00FD74C2" w:rsidRDefault="00FD74C2" w:rsidP="00FD74C2">
      <w:pPr>
        <w:spacing w:after="0" w:line="360" w:lineRule="auto"/>
        <w:rPr>
          <w:sz w:val="24"/>
        </w:rPr>
      </w:pPr>
      <w:r w:rsidRPr="00FD74C2">
        <w:rPr>
          <w:sz w:val="24"/>
        </w:rPr>
        <w:t>Załącznik</w:t>
      </w:r>
      <w:r w:rsidR="007C2C60">
        <w:rPr>
          <w:sz w:val="24"/>
        </w:rPr>
        <w:t>:</w:t>
      </w:r>
    </w:p>
    <w:p w14:paraId="3C3ACF4C" w14:textId="5ABFA3CE" w:rsidR="00FD74C2" w:rsidRPr="00EA1ABA" w:rsidRDefault="00FD74C2" w:rsidP="00022C4D">
      <w:pPr>
        <w:numPr>
          <w:ilvl w:val="0"/>
          <w:numId w:val="6"/>
        </w:numPr>
        <w:spacing w:after="100" w:afterAutospacing="1" w:line="360" w:lineRule="auto"/>
        <w:ind w:left="714" w:hanging="357"/>
        <w:rPr>
          <w:sz w:val="24"/>
          <w:u w:val="single"/>
        </w:rPr>
      </w:pPr>
      <w:r w:rsidRPr="00FD74C2">
        <w:rPr>
          <w:sz w:val="24"/>
        </w:rPr>
        <w:t xml:space="preserve">Charakterystyka </w:t>
      </w:r>
      <w:r w:rsidR="007C2C60">
        <w:rPr>
          <w:sz w:val="24"/>
        </w:rPr>
        <w:t xml:space="preserve">planowanego </w:t>
      </w:r>
      <w:r w:rsidRPr="00FD74C2">
        <w:rPr>
          <w:sz w:val="24"/>
        </w:rPr>
        <w:t>przedsięwzięcia.</w:t>
      </w:r>
    </w:p>
    <w:p w14:paraId="372F62AA" w14:textId="5273D702" w:rsidR="00FD74C2" w:rsidRPr="00FD74C2" w:rsidRDefault="00FD74C2" w:rsidP="00FD74C2">
      <w:pPr>
        <w:spacing w:after="0" w:line="360" w:lineRule="auto"/>
        <w:rPr>
          <w:sz w:val="24"/>
        </w:rPr>
      </w:pPr>
      <w:r w:rsidRPr="00FD74C2">
        <w:rPr>
          <w:sz w:val="24"/>
        </w:rPr>
        <w:t>Otrzymuj</w:t>
      </w:r>
      <w:r w:rsidR="007C2C60">
        <w:rPr>
          <w:sz w:val="24"/>
        </w:rPr>
        <w:t>ą</w:t>
      </w:r>
      <w:r w:rsidRPr="00FD74C2">
        <w:rPr>
          <w:sz w:val="24"/>
        </w:rPr>
        <w:t>:</w:t>
      </w:r>
    </w:p>
    <w:p w14:paraId="42DD1F10" w14:textId="77777777" w:rsidR="00022C4D" w:rsidRPr="00022C4D" w:rsidRDefault="00022C4D" w:rsidP="00022C4D">
      <w:pPr>
        <w:numPr>
          <w:ilvl w:val="0"/>
          <w:numId w:val="5"/>
        </w:numPr>
        <w:spacing w:after="0" w:line="360" w:lineRule="auto"/>
        <w:rPr>
          <w:sz w:val="24"/>
        </w:rPr>
      </w:pPr>
      <w:r w:rsidRPr="00022C4D">
        <w:rPr>
          <w:sz w:val="24"/>
        </w:rPr>
        <w:t xml:space="preserve">Magdalena </w:t>
      </w:r>
      <w:proofErr w:type="spellStart"/>
      <w:r w:rsidRPr="00022C4D">
        <w:rPr>
          <w:sz w:val="24"/>
        </w:rPr>
        <w:t>Niśkiewicz</w:t>
      </w:r>
      <w:proofErr w:type="spellEnd"/>
      <w:r w:rsidRPr="00022C4D">
        <w:rPr>
          <w:sz w:val="24"/>
        </w:rPr>
        <w:t xml:space="preserve"> – Pełnomocnik Inwestora </w:t>
      </w:r>
    </w:p>
    <w:p w14:paraId="37FD6E6C" w14:textId="77777777" w:rsidR="00022C4D" w:rsidRPr="00022C4D" w:rsidRDefault="00022C4D" w:rsidP="00022C4D">
      <w:pPr>
        <w:numPr>
          <w:ilvl w:val="0"/>
          <w:numId w:val="5"/>
        </w:numPr>
        <w:spacing w:after="0" w:line="360" w:lineRule="auto"/>
        <w:rPr>
          <w:sz w:val="24"/>
        </w:rPr>
      </w:pPr>
      <w:r w:rsidRPr="00022C4D">
        <w:rPr>
          <w:sz w:val="24"/>
        </w:rPr>
        <w:t>pozostałe strony postępowania zgodnie z art. 49 Kpa – obwieszczenie</w:t>
      </w:r>
    </w:p>
    <w:p w14:paraId="1081F543" w14:textId="77777777" w:rsidR="00022C4D" w:rsidRPr="00022C4D" w:rsidRDefault="00022C4D" w:rsidP="00022C4D">
      <w:pPr>
        <w:numPr>
          <w:ilvl w:val="0"/>
          <w:numId w:val="5"/>
        </w:numPr>
        <w:spacing w:after="0" w:line="360" w:lineRule="auto"/>
        <w:rPr>
          <w:sz w:val="24"/>
        </w:rPr>
      </w:pPr>
      <w:r w:rsidRPr="00022C4D">
        <w:rPr>
          <w:sz w:val="24"/>
        </w:rPr>
        <w:t>aa</w:t>
      </w:r>
    </w:p>
    <w:p w14:paraId="62856CAF" w14:textId="080B79AA" w:rsidR="00FD74C2" w:rsidRPr="00FD74C2" w:rsidRDefault="00FD74C2" w:rsidP="00155A5C">
      <w:pPr>
        <w:spacing w:after="0" w:line="360" w:lineRule="auto"/>
        <w:rPr>
          <w:sz w:val="24"/>
        </w:rPr>
      </w:pPr>
      <w:r w:rsidRPr="00FD74C2">
        <w:rPr>
          <w:sz w:val="24"/>
        </w:rPr>
        <w:t>Do wiadomości</w:t>
      </w:r>
      <w:r w:rsidR="007C2C60">
        <w:rPr>
          <w:sz w:val="24"/>
        </w:rPr>
        <w:t xml:space="preserve"> </w:t>
      </w:r>
    </w:p>
    <w:p w14:paraId="335F5FCD" w14:textId="77777777" w:rsidR="00022C4D" w:rsidRDefault="00022C4D" w:rsidP="00022C4D">
      <w:pPr>
        <w:pStyle w:val="Akapitzlist"/>
        <w:numPr>
          <w:ilvl w:val="0"/>
          <w:numId w:val="32"/>
        </w:numPr>
        <w:spacing w:after="0" w:line="360" w:lineRule="auto"/>
        <w:rPr>
          <w:rFonts w:ascii="Calibri" w:hAnsi="Calibri" w:cs="Calibri"/>
          <w:sz w:val="24"/>
          <w:szCs w:val="24"/>
          <w:lang w:eastAsia="zh-CN"/>
        </w:rPr>
      </w:pPr>
      <w:r w:rsidRPr="00022C4D">
        <w:rPr>
          <w:rFonts w:ascii="Calibri" w:hAnsi="Calibri" w:cs="Calibri"/>
          <w:sz w:val="24"/>
          <w:szCs w:val="24"/>
          <w:lang w:eastAsia="zh-CN"/>
        </w:rPr>
        <w:t>Państwowe Gospodarstwo Wodne Wody Polskie, Zarząd Zlewni w Elblągu</w:t>
      </w:r>
    </w:p>
    <w:p w14:paraId="0F83E7EC" w14:textId="77777777" w:rsidR="00022C4D" w:rsidRDefault="00022C4D" w:rsidP="00022C4D">
      <w:pPr>
        <w:pStyle w:val="Akapitzlist"/>
        <w:numPr>
          <w:ilvl w:val="0"/>
          <w:numId w:val="32"/>
        </w:numPr>
        <w:spacing w:after="100" w:afterAutospacing="1" w:line="360" w:lineRule="auto"/>
        <w:ind w:left="714" w:hanging="357"/>
        <w:rPr>
          <w:rFonts w:ascii="Calibri" w:hAnsi="Calibri" w:cs="Calibri"/>
          <w:sz w:val="24"/>
          <w:szCs w:val="24"/>
          <w:lang w:eastAsia="zh-CN"/>
        </w:rPr>
      </w:pPr>
      <w:r w:rsidRPr="00022C4D">
        <w:rPr>
          <w:rFonts w:ascii="Calibri" w:hAnsi="Calibri" w:cs="Calibri"/>
          <w:sz w:val="24"/>
          <w:szCs w:val="24"/>
          <w:lang w:eastAsia="zh-CN"/>
        </w:rPr>
        <w:t xml:space="preserve">Państwowy Powiatowy Inspektor Sanitarny w Olsztynie </w:t>
      </w:r>
    </w:p>
    <w:p w14:paraId="7322C203" w14:textId="7E795467" w:rsidR="00554D62" w:rsidRPr="00022C4D" w:rsidRDefault="007C2C60" w:rsidP="00022C4D">
      <w:pPr>
        <w:spacing w:after="0" w:line="360" w:lineRule="auto"/>
        <w:rPr>
          <w:rFonts w:ascii="Calibri" w:hAnsi="Calibri" w:cs="Calibri"/>
          <w:sz w:val="24"/>
          <w:szCs w:val="24"/>
          <w:lang w:eastAsia="zh-CN"/>
        </w:rPr>
      </w:pPr>
      <w:r w:rsidRPr="00022C4D">
        <w:rPr>
          <w:rFonts w:ascii="Calibri" w:hAnsi="Calibri" w:cs="Calibri"/>
          <w:sz w:val="24"/>
          <w:szCs w:val="24"/>
          <w:lang w:eastAsia="zh-CN"/>
        </w:rPr>
        <w:t xml:space="preserve">Na podstawie </w:t>
      </w:r>
      <w:r w:rsidR="00022C4D" w:rsidRPr="00022C4D">
        <w:rPr>
          <w:rFonts w:ascii="Calibri" w:hAnsi="Calibri" w:cs="Calibri"/>
          <w:sz w:val="24"/>
          <w:szCs w:val="24"/>
          <w:lang w:eastAsia="zh-CN"/>
        </w:rPr>
        <w:t>części I ust. 45 oraz części IV załącznika do ustawy z dnia 16 listopada 2006 r.  o opłacie skarbowej (Dz. U. z 2023 r. poz.2111 ze zm.) wnioskodawca uiścił opłatę skarbową w wysokości 222,0 zł (w tym 205 zł za wydanie decyzji o środowiskowych uwarunkowaniach oraz 17 zł za pełnomocnictwo).</w:t>
      </w:r>
    </w:p>
    <w:sectPr w:rsidR="00554D62" w:rsidRPr="00022C4D"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tarSymbol">
    <w:altName w:val="Calibri"/>
    <w:charset w:val="EE"/>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39A0AC2"/>
    <w:name w:val="WWNum6"/>
    <w:lvl w:ilvl="0">
      <w:start w:val="1"/>
      <w:numFmt w:val="decimal"/>
      <w:lvlText w:val="%1."/>
      <w:lvlJc w:val="left"/>
      <w:pPr>
        <w:tabs>
          <w:tab w:val="num" w:pos="0"/>
        </w:tabs>
        <w:ind w:left="720" w:hanging="360"/>
      </w:pPr>
      <w:rPr>
        <w:rFonts w:ascii="Arial" w:hAnsi="Arial" w:cs="Arial" w:hint="default"/>
        <w:sz w:val="18"/>
        <w:szCs w:val="1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15:restartNumberingAfterBreak="0">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3" w15:restartNumberingAfterBreak="0">
    <w:nsid w:val="00887E15"/>
    <w:multiLevelType w:val="multilevel"/>
    <w:tmpl w:val="894A6A4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F05DDC"/>
    <w:multiLevelType w:val="multilevel"/>
    <w:tmpl w:val="1E9003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C83694"/>
    <w:multiLevelType w:val="hybridMultilevel"/>
    <w:tmpl w:val="017437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D3670B3"/>
    <w:multiLevelType w:val="multilevel"/>
    <w:tmpl w:val="A70AD9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763B90"/>
    <w:multiLevelType w:val="hybridMultilevel"/>
    <w:tmpl w:val="A718C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995B9E"/>
    <w:multiLevelType w:val="hybridMultilevel"/>
    <w:tmpl w:val="0C569684"/>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7CC1A5A"/>
    <w:multiLevelType w:val="hybridMultilevel"/>
    <w:tmpl w:val="573635C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E7492D"/>
    <w:multiLevelType w:val="hybridMultilevel"/>
    <w:tmpl w:val="5CE41520"/>
    <w:lvl w:ilvl="0" w:tplc="FFFFFFFF">
      <w:start w:val="1"/>
      <w:numFmt w:val="lowerLetter"/>
      <w:lvlText w:val="%1)"/>
      <w:lvlJc w:val="left"/>
      <w:pPr>
        <w:ind w:left="1434" w:hanging="360"/>
      </w:pPr>
    </w:lvl>
    <w:lvl w:ilvl="1" w:tplc="FFFFFFFF" w:tentative="1">
      <w:start w:val="1"/>
      <w:numFmt w:val="lowerLetter"/>
      <w:lvlText w:val="%2."/>
      <w:lvlJc w:val="left"/>
      <w:pPr>
        <w:ind w:left="2154" w:hanging="360"/>
      </w:pPr>
    </w:lvl>
    <w:lvl w:ilvl="2" w:tplc="FFFFFFFF" w:tentative="1">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2" w15:restartNumberingAfterBreak="0">
    <w:nsid w:val="1E1D6CD7"/>
    <w:multiLevelType w:val="multilevel"/>
    <w:tmpl w:val="A70AD97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B521F6"/>
    <w:multiLevelType w:val="hybridMultilevel"/>
    <w:tmpl w:val="169CE5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5F71F0"/>
    <w:multiLevelType w:val="hybridMultilevel"/>
    <w:tmpl w:val="E1946E86"/>
    <w:lvl w:ilvl="0" w:tplc="C394A610">
      <w:start w:val="1"/>
      <w:numFmt w:val="decimal"/>
      <w:pStyle w:val="N3pz"/>
      <w:lvlText w:val="%1."/>
      <w:lvlJc w:val="left"/>
      <w:pPr>
        <w:tabs>
          <w:tab w:val="num" w:pos="851"/>
        </w:tabs>
        <w:ind w:left="851" w:hanging="425"/>
      </w:pPr>
      <w:rPr>
        <w:rFonts w:hint="default"/>
        <w:b/>
      </w:rPr>
    </w:lvl>
    <w:lvl w:ilvl="1" w:tplc="4D16AB0C">
      <w:start w:val="1"/>
      <w:numFmt w:val="lowerLetter"/>
      <w:lvlText w:val="%2."/>
      <w:lvlJc w:val="left"/>
      <w:pPr>
        <w:tabs>
          <w:tab w:val="num" w:pos="1582"/>
        </w:tabs>
        <w:ind w:left="1582" w:hanging="360"/>
      </w:pPr>
    </w:lvl>
    <w:lvl w:ilvl="2" w:tplc="947E3B12" w:tentative="1">
      <w:start w:val="1"/>
      <w:numFmt w:val="lowerRoman"/>
      <w:lvlText w:val="%3."/>
      <w:lvlJc w:val="right"/>
      <w:pPr>
        <w:tabs>
          <w:tab w:val="num" w:pos="2302"/>
        </w:tabs>
        <w:ind w:left="2302" w:hanging="180"/>
      </w:pPr>
    </w:lvl>
    <w:lvl w:ilvl="3" w:tplc="7794D9A8" w:tentative="1">
      <w:start w:val="1"/>
      <w:numFmt w:val="decimal"/>
      <w:lvlText w:val="%4."/>
      <w:lvlJc w:val="left"/>
      <w:pPr>
        <w:tabs>
          <w:tab w:val="num" w:pos="3022"/>
        </w:tabs>
        <w:ind w:left="3022" w:hanging="360"/>
      </w:pPr>
    </w:lvl>
    <w:lvl w:ilvl="4" w:tplc="B85AFD00" w:tentative="1">
      <w:start w:val="1"/>
      <w:numFmt w:val="lowerLetter"/>
      <w:lvlText w:val="%5."/>
      <w:lvlJc w:val="left"/>
      <w:pPr>
        <w:tabs>
          <w:tab w:val="num" w:pos="3742"/>
        </w:tabs>
        <w:ind w:left="3742" w:hanging="360"/>
      </w:pPr>
    </w:lvl>
    <w:lvl w:ilvl="5" w:tplc="6C80DBD6" w:tentative="1">
      <w:start w:val="1"/>
      <w:numFmt w:val="lowerRoman"/>
      <w:lvlText w:val="%6."/>
      <w:lvlJc w:val="right"/>
      <w:pPr>
        <w:tabs>
          <w:tab w:val="num" w:pos="4462"/>
        </w:tabs>
        <w:ind w:left="4462" w:hanging="180"/>
      </w:pPr>
    </w:lvl>
    <w:lvl w:ilvl="6" w:tplc="21481F28" w:tentative="1">
      <w:start w:val="1"/>
      <w:numFmt w:val="decimal"/>
      <w:lvlText w:val="%7."/>
      <w:lvlJc w:val="left"/>
      <w:pPr>
        <w:tabs>
          <w:tab w:val="num" w:pos="5182"/>
        </w:tabs>
        <w:ind w:left="5182" w:hanging="360"/>
      </w:pPr>
    </w:lvl>
    <w:lvl w:ilvl="7" w:tplc="866661DC" w:tentative="1">
      <w:start w:val="1"/>
      <w:numFmt w:val="lowerLetter"/>
      <w:lvlText w:val="%8."/>
      <w:lvlJc w:val="left"/>
      <w:pPr>
        <w:tabs>
          <w:tab w:val="num" w:pos="5902"/>
        </w:tabs>
        <w:ind w:left="5902" w:hanging="360"/>
      </w:pPr>
    </w:lvl>
    <w:lvl w:ilvl="8" w:tplc="8B54777A" w:tentative="1">
      <w:start w:val="1"/>
      <w:numFmt w:val="lowerRoman"/>
      <w:lvlText w:val="%9."/>
      <w:lvlJc w:val="right"/>
      <w:pPr>
        <w:tabs>
          <w:tab w:val="num" w:pos="6622"/>
        </w:tabs>
        <w:ind w:left="6622" w:hanging="180"/>
      </w:pPr>
    </w:lvl>
  </w:abstractNum>
  <w:abstractNum w:abstractNumId="15" w15:restartNumberingAfterBreak="0">
    <w:nsid w:val="2FE46F98"/>
    <w:multiLevelType w:val="hybridMultilevel"/>
    <w:tmpl w:val="BC6633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7109B9"/>
    <w:multiLevelType w:val="hybridMultilevel"/>
    <w:tmpl w:val="5CE41520"/>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7" w15:restartNumberingAfterBreak="0">
    <w:nsid w:val="370A455B"/>
    <w:multiLevelType w:val="hybridMultilevel"/>
    <w:tmpl w:val="CADE22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6563E0"/>
    <w:multiLevelType w:val="hybridMultilevel"/>
    <w:tmpl w:val="9D0C3CD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BF85984"/>
    <w:multiLevelType w:val="multilevel"/>
    <w:tmpl w:val="C94A982A"/>
    <w:styleLink w:val="ListaNienumerowana"/>
    <w:lvl w:ilvl="0">
      <w:start w:val="1"/>
      <w:numFmt w:val="bullet"/>
      <w:pStyle w:val="071ListaPoziom1"/>
      <w:lvlText w:val=""/>
      <w:lvlJc w:val="left"/>
      <w:pPr>
        <w:ind w:left="284" w:hanging="284"/>
      </w:pPr>
      <w:rPr>
        <w:rFonts w:ascii="Symbol" w:hAnsi="Symbol" w:hint="default"/>
        <w:color w:val="44546A" w:themeColor="text2"/>
      </w:rPr>
    </w:lvl>
    <w:lvl w:ilvl="1">
      <w:start w:val="1"/>
      <w:numFmt w:val="bullet"/>
      <w:pStyle w:val="072ListaPoziom2"/>
      <w:lvlText w:val=""/>
      <w:lvlJc w:val="left"/>
      <w:pPr>
        <w:ind w:left="681" w:hanging="284"/>
      </w:pPr>
      <w:rPr>
        <w:rFonts w:ascii="Symbol" w:hAnsi="Symbol" w:hint="default"/>
        <w:color w:val="44546A" w:themeColor="text2"/>
        <w:sz w:val="16"/>
      </w:rPr>
    </w:lvl>
    <w:lvl w:ilvl="2">
      <w:start w:val="1"/>
      <w:numFmt w:val="bullet"/>
      <w:pStyle w:val="073ListaPoziom3"/>
      <w:lvlText w:val=""/>
      <w:lvlJc w:val="left"/>
      <w:pPr>
        <w:ind w:left="1078" w:hanging="284"/>
      </w:pPr>
      <w:rPr>
        <w:rFonts w:ascii="Symbol" w:hAnsi="Symbol" w:hint="default"/>
        <w:color w:val="44546A" w:themeColor="text2"/>
        <w:sz w:val="10"/>
      </w:rPr>
    </w:lvl>
    <w:lvl w:ilvl="3">
      <w:start w:val="1"/>
      <w:numFmt w:val="bullet"/>
      <w:lvlText w:val=""/>
      <w:lvlJc w:val="left"/>
      <w:pPr>
        <w:ind w:left="1475" w:hanging="284"/>
      </w:pPr>
      <w:rPr>
        <w:rFonts w:ascii="Symbol" w:hAnsi="Symbol" w:hint="default"/>
        <w:sz w:val="6"/>
      </w:rPr>
    </w:lvl>
    <w:lvl w:ilvl="4">
      <w:start w:val="1"/>
      <w:numFmt w:val="lowerLetter"/>
      <w:lvlText w:val="(%5)"/>
      <w:lvlJc w:val="left"/>
      <w:pPr>
        <w:ind w:left="1872" w:hanging="284"/>
      </w:pPr>
      <w:rPr>
        <w:rFonts w:hint="default"/>
      </w:rPr>
    </w:lvl>
    <w:lvl w:ilvl="5">
      <w:start w:val="1"/>
      <w:numFmt w:val="lowerRoman"/>
      <w:lvlText w:val="(%6)"/>
      <w:lvlJc w:val="left"/>
      <w:pPr>
        <w:ind w:left="2269" w:hanging="284"/>
      </w:pPr>
      <w:rPr>
        <w:rFonts w:hint="default"/>
      </w:rPr>
    </w:lvl>
    <w:lvl w:ilvl="6">
      <w:start w:val="1"/>
      <w:numFmt w:val="decimal"/>
      <w:lvlText w:val="%7."/>
      <w:lvlJc w:val="left"/>
      <w:pPr>
        <w:ind w:left="2666" w:hanging="284"/>
      </w:pPr>
      <w:rPr>
        <w:rFonts w:hint="default"/>
      </w:rPr>
    </w:lvl>
    <w:lvl w:ilvl="7">
      <w:start w:val="1"/>
      <w:numFmt w:val="lowerLetter"/>
      <w:lvlText w:val="%8."/>
      <w:lvlJc w:val="left"/>
      <w:pPr>
        <w:ind w:left="3063" w:hanging="284"/>
      </w:pPr>
      <w:rPr>
        <w:rFonts w:hint="default"/>
      </w:rPr>
    </w:lvl>
    <w:lvl w:ilvl="8">
      <w:start w:val="1"/>
      <w:numFmt w:val="lowerRoman"/>
      <w:lvlText w:val="%9."/>
      <w:lvlJc w:val="left"/>
      <w:pPr>
        <w:ind w:left="3460" w:hanging="284"/>
      </w:pPr>
      <w:rPr>
        <w:rFonts w:hint="default"/>
      </w:rPr>
    </w:lvl>
  </w:abstractNum>
  <w:abstractNum w:abstractNumId="20" w15:restartNumberingAfterBreak="0">
    <w:nsid w:val="3D7E3E3A"/>
    <w:multiLevelType w:val="hybridMultilevel"/>
    <w:tmpl w:val="DB54A4F2"/>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1" w15:restartNumberingAfterBreak="0">
    <w:nsid w:val="3EA333D3"/>
    <w:multiLevelType w:val="hybridMultilevel"/>
    <w:tmpl w:val="6EE8159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4158079B"/>
    <w:multiLevelType w:val="hybridMultilevel"/>
    <w:tmpl w:val="0B589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6315E5"/>
    <w:multiLevelType w:val="multilevel"/>
    <w:tmpl w:val="C94A982A"/>
    <w:numStyleLink w:val="ListaNienumerowana"/>
  </w:abstractNum>
  <w:abstractNum w:abstractNumId="24" w15:restartNumberingAfterBreak="0">
    <w:nsid w:val="4D753D02"/>
    <w:multiLevelType w:val="multilevel"/>
    <w:tmpl w:val="911C85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7A50ADE"/>
    <w:multiLevelType w:val="multilevel"/>
    <w:tmpl w:val="48CAEC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C02DEF"/>
    <w:multiLevelType w:val="hybridMultilevel"/>
    <w:tmpl w:val="DCEE4DD6"/>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C8109D8"/>
    <w:multiLevelType w:val="hybridMultilevel"/>
    <w:tmpl w:val="A2C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AB4FE7"/>
    <w:multiLevelType w:val="hybridMultilevel"/>
    <w:tmpl w:val="368C26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7D2A4A"/>
    <w:multiLevelType w:val="hybridMultilevel"/>
    <w:tmpl w:val="3C1414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27D673E"/>
    <w:multiLevelType w:val="hybridMultilevel"/>
    <w:tmpl w:val="A9D26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61E312B"/>
    <w:multiLevelType w:val="hybridMultilevel"/>
    <w:tmpl w:val="0B46F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89E2A36"/>
    <w:multiLevelType w:val="hybridMultilevel"/>
    <w:tmpl w:val="42340F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99522D7"/>
    <w:multiLevelType w:val="hybridMultilevel"/>
    <w:tmpl w:val="82940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4699873">
    <w:abstractNumId w:val="14"/>
  </w:num>
  <w:num w:numId="2" w16cid:durableId="2046367127">
    <w:abstractNumId w:val="19"/>
  </w:num>
  <w:num w:numId="3" w16cid:durableId="418067519">
    <w:abstractNumId w:val="23"/>
  </w:num>
  <w:num w:numId="4" w16cid:durableId="1264650419">
    <w:abstractNumId w:val="2"/>
    <w:lvlOverride w:ilvl="0">
      <w:startOverride w:val="1"/>
    </w:lvlOverride>
  </w:num>
  <w:num w:numId="5" w16cid:durableId="2100565419">
    <w:abstractNumId w:val="33"/>
  </w:num>
  <w:num w:numId="6" w16cid:durableId="1480876913">
    <w:abstractNumId w:val="22"/>
  </w:num>
  <w:num w:numId="7" w16cid:durableId="1280793923">
    <w:abstractNumId w:val="12"/>
  </w:num>
  <w:num w:numId="8" w16cid:durableId="2019504968">
    <w:abstractNumId w:val="7"/>
  </w:num>
  <w:num w:numId="9" w16cid:durableId="715741844">
    <w:abstractNumId w:val="16"/>
  </w:num>
  <w:num w:numId="10" w16cid:durableId="1714882113">
    <w:abstractNumId w:val="8"/>
  </w:num>
  <w:num w:numId="11" w16cid:durableId="444276416">
    <w:abstractNumId w:val="11"/>
  </w:num>
  <w:num w:numId="12" w16cid:durableId="1727802519">
    <w:abstractNumId w:val="26"/>
  </w:num>
  <w:num w:numId="13" w16cid:durableId="1737825061">
    <w:abstractNumId w:val="13"/>
  </w:num>
  <w:num w:numId="14" w16cid:durableId="1475835491">
    <w:abstractNumId w:val="4"/>
  </w:num>
  <w:num w:numId="15" w16cid:durableId="207228606">
    <w:abstractNumId w:val="18"/>
  </w:num>
  <w:num w:numId="16" w16cid:durableId="87771046">
    <w:abstractNumId w:val="3"/>
  </w:num>
  <w:num w:numId="17" w16cid:durableId="1414159306">
    <w:abstractNumId w:val="15"/>
  </w:num>
  <w:num w:numId="18" w16cid:durableId="2047368690">
    <w:abstractNumId w:val="28"/>
  </w:num>
  <w:num w:numId="19" w16cid:durableId="818232364">
    <w:abstractNumId w:val="24"/>
  </w:num>
  <w:num w:numId="20" w16cid:durableId="102962191">
    <w:abstractNumId w:val="20"/>
  </w:num>
  <w:num w:numId="21" w16cid:durableId="77362797">
    <w:abstractNumId w:val="25"/>
  </w:num>
  <w:num w:numId="22" w16cid:durableId="427190708">
    <w:abstractNumId w:val="29"/>
  </w:num>
  <w:num w:numId="23" w16cid:durableId="552228743">
    <w:abstractNumId w:val="10"/>
  </w:num>
  <w:num w:numId="24" w16cid:durableId="1883201377">
    <w:abstractNumId w:val="9"/>
  </w:num>
  <w:num w:numId="25" w16cid:durableId="227544308">
    <w:abstractNumId w:val="17"/>
  </w:num>
  <w:num w:numId="26" w16cid:durableId="1267467037">
    <w:abstractNumId w:val="5"/>
  </w:num>
  <w:num w:numId="27" w16cid:durableId="1656762983">
    <w:abstractNumId w:val="21"/>
  </w:num>
  <w:num w:numId="28" w16cid:durableId="155851513">
    <w:abstractNumId w:val="30"/>
  </w:num>
  <w:num w:numId="29" w16cid:durableId="1419598589">
    <w:abstractNumId w:val="31"/>
  </w:num>
  <w:num w:numId="30" w16cid:durableId="1403599754">
    <w:abstractNumId w:val="27"/>
  </w:num>
  <w:num w:numId="31" w16cid:durableId="1812288970">
    <w:abstractNumId w:val="32"/>
  </w:num>
  <w:num w:numId="32" w16cid:durableId="114631308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172A5"/>
    <w:rsid w:val="00022C4D"/>
    <w:rsid w:val="00036FD4"/>
    <w:rsid w:val="000528E7"/>
    <w:rsid w:val="00075C4A"/>
    <w:rsid w:val="00080B48"/>
    <w:rsid w:val="000824D2"/>
    <w:rsid w:val="000A6144"/>
    <w:rsid w:val="000B373D"/>
    <w:rsid w:val="000E4460"/>
    <w:rsid w:val="00127971"/>
    <w:rsid w:val="00155A5C"/>
    <w:rsid w:val="00160CD2"/>
    <w:rsid w:val="00163ED1"/>
    <w:rsid w:val="001947A7"/>
    <w:rsid w:val="001A0328"/>
    <w:rsid w:val="001B438A"/>
    <w:rsid w:val="001B44C4"/>
    <w:rsid w:val="001B5B56"/>
    <w:rsid w:val="001C51E6"/>
    <w:rsid w:val="001E67FD"/>
    <w:rsid w:val="0020327C"/>
    <w:rsid w:val="0026188F"/>
    <w:rsid w:val="00267220"/>
    <w:rsid w:val="002C59D4"/>
    <w:rsid w:val="002E129B"/>
    <w:rsid w:val="003226DE"/>
    <w:rsid w:val="00324FDD"/>
    <w:rsid w:val="00380D99"/>
    <w:rsid w:val="00384379"/>
    <w:rsid w:val="003A51F9"/>
    <w:rsid w:val="003B53A8"/>
    <w:rsid w:val="003B5565"/>
    <w:rsid w:val="003C3DE9"/>
    <w:rsid w:val="003D0F6B"/>
    <w:rsid w:val="003D1849"/>
    <w:rsid w:val="00403DE4"/>
    <w:rsid w:val="00414A88"/>
    <w:rsid w:val="00433620"/>
    <w:rsid w:val="0044167F"/>
    <w:rsid w:val="004449FF"/>
    <w:rsid w:val="00463EB7"/>
    <w:rsid w:val="00495993"/>
    <w:rsid w:val="004D7E42"/>
    <w:rsid w:val="004E4F5D"/>
    <w:rsid w:val="005042FE"/>
    <w:rsid w:val="005257A1"/>
    <w:rsid w:val="00525E0D"/>
    <w:rsid w:val="005273E6"/>
    <w:rsid w:val="00554D62"/>
    <w:rsid w:val="00565A42"/>
    <w:rsid w:val="005726A9"/>
    <w:rsid w:val="00586F86"/>
    <w:rsid w:val="00592F40"/>
    <w:rsid w:val="006021BE"/>
    <w:rsid w:val="00651531"/>
    <w:rsid w:val="00662809"/>
    <w:rsid w:val="00665B79"/>
    <w:rsid w:val="0068663F"/>
    <w:rsid w:val="006C552A"/>
    <w:rsid w:val="006E0E17"/>
    <w:rsid w:val="006E48A8"/>
    <w:rsid w:val="00716102"/>
    <w:rsid w:val="007352DF"/>
    <w:rsid w:val="0073533C"/>
    <w:rsid w:val="00753934"/>
    <w:rsid w:val="0077526D"/>
    <w:rsid w:val="00791BBF"/>
    <w:rsid w:val="007C2C60"/>
    <w:rsid w:val="007D755D"/>
    <w:rsid w:val="0081118A"/>
    <w:rsid w:val="008159C8"/>
    <w:rsid w:val="00824D9D"/>
    <w:rsid w:val="00825D9D"/>
    <w:rsid w:val="008324E5"/>
    <w:rsid w:val="008448DF"/>
    <w:rsid w:val="00857867"/>
    <w:rsid w:val="00886839"/>
    <w:rsid w:val="0088776C"/>
    <w:rsid w:val="008C033D"/>
    <w:rsid w:val="008D1C53"/>
    <w:rsid w:val="008E1960"/>
    <w:rsid w:val="008E3B98"/>
    <w:rsid w:val="008F64EA"/>
    <w:rsid w:val="0090144B"/>
    <w:rsid w:val="009102F7"/>
    <w:rsid w:val="00921D97"/>
    <w:rsid w:val="00927E2C"/>
    <w:rsid w:val="009F0EDF"/>
    <w:rsid w:val="009F39F1"/>
    <w:rsid w:val="00A402BA"/>
    <w:rsid w:val="00A55D8E"/>
    <w:rsid w:val="00A60DBD"/>
    <w:rsid w:val="00A64CDD"/>
    <w:rsid w:val="00A760B7"/>
    <w:rsid w:val="00A77D11"/>
    <w:rsid w:val="00A94971"/>
    <w:rsid w:val="00AA7734"/>
    <w:rsid w:val="00AA7C36"/>
    <w:rsid w:val="00AD624D"/>
    <w:rsid w:val="00AF1399"/>
    <w:rsid w:val="00B03E7A"/>
    <w:rsid w:val="00B1496E"/>
    <w:rsid w:val="00B675D6"/>
    <w:rsid w:val="00BB7E65"/>
    <w:rsid w:val="00BE7F8E"/>
    <w:rsid w:val="00C34241"/>
    <w:rsid w:val="00C369D0"/>
    <w:rsid w:val="00C503ED"/>
    <w:rsid w:val="00C576CD"/>
    <w:rsid w:val="00C73352"/>
    <w:rsid w:val="00C806FA"/>
    <w:rsid w:val="00C81923"/>
    <w:rsid w:val="00C83D6B"/>
    <w:rsid w:val="00C87EA9"/>
    <w:rsid w:val="00CA0865"/>
    <w:rsid w:val="00CA5A82"/>
    <w:rsid w:val="00CF17CB"/>
    <w:rsid w:val="00D0663F"/>
    <w:rsid w:val="00D233B4"/>
    <w:rsid w:val="00D52BB0"/>
    <w:rsid w:val="00D84FB0"/>
    <w:rsid w:val="00D9304D"/>
    <w:rsid w:val="00DC12F7"/>
    <w:rsid w:val="00DD1A15"/>
    <w:rsid w:val="00DD7440"/>
    <w:rsid w:val="00DF5721"/>
    <w:rsid w:val="00DF6D00"/>
    <w:rsid w:val="00E00B34"/>
    <w:rsid w:val="00E07FC4"/>
    <w:rsid w:val="00E15AB9"/>
    <w:rsid w:val="00E25E5A"/>
    <w:rsid w:val="00E57CEC"/>
    <w:rsid w:val="00E72C2D"/>
    <w:rsid w:val="00E74C48"/>
    <w:rsid w:val="00E80C24"/>
    <w:rsid w:val="00EA1ABA"/>
    <w:rsid w:val="00ED29E2"/>
    <w:rsid w:val="00F04060"/>
    <w:rsid w:val="00F20082"/>
    <w:rsid w:val="00F25CD7"/>
    <w:rsid w:val="00F40174"/>
    <w:rsid w:val="00F4298F"/>
    <w:rsid w:val="00F432E6"/>
    <w:rsid w:val="00F56E82"/>
    <w:rsid w:val="00F67E14"/>
    <w:rsid w:val="00F83E03"/>
    <w:rsid w:val="00F852C0"/>
    <w:rsid w:val="00FA64F5"/>
    <w:rsid w:val="00FA6BFF"/>
    <w:rsid w:val="00FC21B9"/>
    <w:rsid w:val="00FD20E3"/>
    <w:rsid w:val="00FD74C2"/>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C12F7"/>
    <w:pPr>
      <w:keepNext/>
      <w:keepLines/>
      <w:spacing w:before="40" w:after="0"/>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gwek4">
    <w:name w:val="heading 4"/>
    <w:basedOn w:val="Normalny"/>
    <w:link w:val="Nagwek4Znak"/>
    <w:uiPriority w:val="9"/>
    <w:qFormat/>
    <w:rsid w:val="00DC12F7"/>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customStyle="1" w:styleId="Teksttreci">
    <w:name w:val="Tekst treści_"/>
    <w:basedOn w:val="Domylnaczcionkaakapitu"/>
    <w:link w:val="Teksttreci0"/>
    <w:locked/>
    <w:rsid w:val="003B5565"/>
    <w:rPr>
      <w:rFonts w:ascii="Arial" w:eastAsia="Arial" w:hAnsi="Arial" w:cs="Arial"/>
    </w:rPr>
  </w:style>
  <w:style w:type="paragraph" w:customStyle="1" w:styleId="Teksttreci0">
    <w:name w:val="Tekst treści"/>
    <w:basedOn w:val="Normalny"/>
    <w:link w:val="Teksttreci"/>
    <w:rsid w:val="003B5565"/>
    <w:pPr>
      <w:widowControl w:val="0"/>
      <w:spacing w:after="100" w:line="276" w:lineRule="auto"/>
    </w:pPr>
    <w:rPr>
      <w:rFonts w:ascii="Arial" w:eastAsia="Arial" w:hAnsi="Arial" w:cs="Arial"/>
    </w:rPr>
  </w:style>
  <w:style w:type="character" w:customStyle="1" w:styleId="cf01">
    <w:name w:val="cf01"/>
    <w:basedOn w:val="Domylnaczcionkaakapitu"/>
    <w:rsid w:val="00FD20E3"/>
    <w:rPr>
      <w:rFonts w:ascii="Segoe UI" w:hAnsi="Segoe UI" w:cs="Segoe UI" w:hint="default"/>
      <w:sz w:val="18"/>
      <w:szCs w:val="18"/>
    </w:rPr>
  </w:style>
  <w:style w:type="character" w:customStyle="1" w:styleId="Nagwek3Znak">
    <w:name w:val="Nagłówek 3 Znak"/>
    <w:basedOn w:val="Domylnaczcionkaakapitu"/>
    <w:link w:val="Nagwek3"/>
    <w:uiPriority w:val="9"/>
    <w:rsid w:val="00DC12F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gwek4Znak">
    <w:name w:val="Nagłówek 4 Znak"/>
    <w:basedOn w:val="Domylnaczcionkaakapitu"/>
    <w:link w:val="Nagwek4"/>
    <w:uiPriority w:val="9"/>
    <w:rsid w:val="00DC12F7"/>
    <w:rPr>
      <w:rFonts w:ascii="Times New Roman" w:eastAsia="Times New Roman" w:hAnsi="Times New Roman" w:cs="Times New Roman"/>
      <w:b/>
      <w:bCs/>
      <w:sz w:val="24"/>
      <w:szCs w:val="24"/>
      <w:lang w:eastAsia="pl-PL"/>
    </w:rPr>
  </w:style>
  <w:style w:type="paragraph" w:customStyle="1" w:styleId="Normalnywcity">
    <w:name w:val="Normalny wcięty"/>
    <w:basedOn w:val="Normalny"/>
    <w:link w:val="NormalnywcityZnak"/>
    <w:qFormat/>
    <w:rsid w:val="00DC12F7"/>
    <w:pPr>
      <w:spacing w:after="0" w:line="240" w:lineRule="auto"/>
      <w:ind w:firstLine="567"/>
      <w:jc w:val="both"/>
    </w:pPr>
    <w:rPr>
      <w:rFonts w:ascii="Arial" w:eastAsia="Times New Roman" w:hAnsi="Arial" w:cs="Times New Roman"/>
      <w:sz w:val="24"/>
      <w:szCs w:val="20"/>
      <w:lang w:eastAsia="pl-PL"/>
    </w:rPr>
  </w:style>
  <w:style w:type="character" w:customStyle="1" w:styleId="NormalnywcityZnak">
    <w:name w:val="Normalny wcięty Znak"/>
    <w:basedOn w:val="Domylnaczcionkaakapitu"/>
    <w:link w:val="Normalnywcity"/>
    <w:locked/>
    <w:rsid w:val="00DC12F7"/>
    <w:rPr>
      <w:rFonts w:ascii="Arial" w:eastAsia="Times New Roman" w:hAnsi="Arial" w:cs="Times New Roman"/>
      <w:sz w:val="24"/>
      <w:szCs w:val="20"/>
      <w:lang w:eastAsia="pl-PL"/>
    </w:rPr>
  </w:style>
  <w:style w:type="paragraph" w:styleId="Nagwek">
    <w:name w:val="header"/>
    <w:basedOn w:val="Normalny"/>
    <w:link w:val="Nagwek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NagwekZnak">
    <w:name w:val="Nagłówek Znak"/>
    <w:basedOn w:val="Domylnaczcionkaakapitu"/>
    <w:link w:val="Nagwek"/>
    <w:uiPriority w:val="99"/>
    <w:rsid w:val="00DC12F7"/>
    <w:rPr>
      <w:kern w:val="2"/>
      <w14:ligatures w14:val="standardContextual"/>
    </w:rPr>
  </w:style>
  <w:style w:type="paragraph" w:styleId="Stopka">
    <w:name w:val="footer"/>
    <w:basedOn w:val="Normalny"/>
    <w:link w:val="Stopka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StopkaZnak">
    <w:name w:val="Stopka Znak"/>
    <w:basedOn w:val="Domylnaczcionkaakapitu"/>
    <w:link w:val="Stopka"/>
    <w:uiPriority w:val="99"/>
    <w:rsid w:val="00DC12F7"/>
    <w:rPr>
      <w:kern w:val="2"/>
      <w14:ligatures w14:val="standardContextual"/>
    </w:rPr>
  </w:style>
  <w:style w:type="paragraph" w:customStyle="1" w:styleId="Default">
    <w:name w:val="Default"/>
    <w:link w:val="DefaultZnak"/>
    <w:qFormat/>
    <w:rsid w:val="00DC12F7"/>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Tekstprzypisukocowego">
    <w:name w:val="endnote text"/>
    <w:basedOn w:val="Normalny"/>
    <w:link w:val="TekstprzypisukocowegoZnak"/>
    <w:uiPriority w:val="99"/>
    <w:semiHidden/>
    <w:unhideWhenUsed/>
    <w:rsid w:val="00DC12F7"/>
    <w:pPr>
      <w:spacing w:after="0" w:line="240" w:lineRule="auto"/>
    </w:pPr>
    <w:rPr>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DC12F7"/>
    <w:rPr>
      <w:kern w:val="2"/>
      <w:sz w:val="20"/>
      <w:szCs w:val="20"/>
      <w14:ligatures w14:val="standardContextual"/>
    </w:rPr>
  </w:style>
  <w:style w:type="character" w:styleId="Odwoanieprzypisukocowego">
    <w:name w:val="endnote reference"/>
    <w:basedOn w:val="Domylnaczcionkaakapitu"/>
    <w:uiPriority w:val="99"/>
    <w:semiHidden/>
    <w:unhideWhenUsed/>
    <w:rsid w:val="00DC12F7"/>
    <w:rPr>
      <w:vertAlign w:val="superscript"/>
    </w:rPr>
  </w:style>
  <w:style w:type="character" w:styleId="Uwydatnienie">
    <w:name w:val="Emphasis"/>
    <w:basedOn w:val="Domylnaczcionkaakapitu"/>
    <w:uiPriority w:val="20"/>
    <w:qFormat/>
    <w:rsid w:val="00DC12F7"/>
    <w:rPr>
      <w:i/>
      <w:iCs/>
    </w:rPr>
  </w:style>
  <w:style w:type="character" w:customStyle="1" w:styleId="Nierozpoznanawzmianka1">
    <w:name w:val="Nierozpoznana wzmianka1"/>
    <w:basedOn w:val="Domylnaczcionkaakapitu"/>
    <w:uiPriority w:val="99"/>
    <w:semiHidden/>
    <w:unhideWhenUsed/>
    <w:rsid w:val="00DC12F7"/>
    <w:rPr>
      <w:color w:val="605E5C"/>
      <w:shd w:val="clear" w:color="auto" w:fill="E1DFDD"/>
    </w:rPr>
  </w:style>
  <w:style w:type="paragraph" w:styleId="Tekstkomentarza">
    <w:name w:val="annotation text"/>
    <w:basedOn w:val="Normalny"/>
    <w:link w:val="TekstkomentarzaZnak"/>
    <w:uiPriority w:val="99"/>
    <w:unhideWhenUsed/>
    <w:rsid w:val="00DC12F7"/>
    <w:pPr>
      <w:suppressAutoHyphens/>
      <w:spacing w:after="0" w:line="240" w:lineRule="auto"/>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rsid w:val="00DC12F7"/>
    <w:rPr>
      <w:rFonts w:ascii="Times New Roman" w:eastAsia="Times New Roman" w:hAnsi="Times New Roman" w:cs="Times New Roman"/>
      <w:sz w:val="20"/>
      <w:szCs w:val="20"/>
      <w:lang w:eastAsia="zh-CN"/>
    </w:rPr>
  </w:style>
  <w:style w:type="character" w:styleId="Odwoaniedokomentarza">
    <w:name w:val="annotation reference"/>
    <w:basedOn w:val="Domylnaczcionkaakapitu"/>
    <w:uiPriority w:val="99"/>
    <w:semiHidden/>
    <w:unhideWhenUsed/>
    <w:rsid w:val="00DC12F7"/>
    <w:rPr>
      <w:sz w:val="16"/>
      <w:szCs w:val="16"/>
    </w:rPr>
  </w:style>
  <w:style w:type="character" w:customStyle="1" w:styleId="FontStyle22">
    <w:name w:val="Font Style22"/>
    <w:basedOn w:val="Domylnaczcionkaakapitu"/>
    <w:uiPriority w:val="99"/>
    <w:rsid w:val="00DC12F7"/>
    <w:rPr>
      <w:rFonts w:ascii="Times New Roman" w:hAnsi="Times New Roman" w:cs="Times New Roman" w:hint="default"/>
      <w:sz w:val="22"/>
      <w:szCs w:val="22"/>
    </w:rPr>
  </w:style>
  <w:style w:type="paragraph" w:styleId="Bezodstpw">
    <w:name w:val="No Spacing"/>
    <w:aliases w:val="1."/>
    <w:link w:val="BezodstpwZnak"/>
    <w:uiPriority w:val="1"/>
    <w:qFormat/>
    <w:rsid w:val="00DC12F7"/>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aliases w:val="1. Znak"/>
    <w:link w:val="Bezodstpw"/>
    <w:uiPriority w:val="1"/>
    <w:rsid w:val="00DC12F7"/>
    <w:rPr>
      <w:rFonts w:ascii="Times New Roman" w:eastAsia="Times New Roman" w:hAnsi="Times New Roman" w:cs="Times New Roman"/>
      <w:sz w:val="24"/>
      <w:szCs w:val="24"/>
      <w:lang w:eastAsia="pl-PL"/>
    </w:rPr>
  </w:style>
  <w:style w:type="table" w:styleId="Tabela-Siatka">
    <w:name w:val="Table Grid"/>
    <w:aliases w:val="Pole tekstowe - kratka,Pole tekstowe - kratka10,Pole tekstowe - kratka12,Table Grid SW,Table long document"/>
    <w:basedOn w:val="Standardowy"/>
    <w:uiPriority w:val="59"/>
    <w:rsid w:val="00DC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ee">
    <w:name w:val="Ansee"/>
    <w:basedOn w:val="Normalny"/>
    <w:link w:val="AnseeZnak"/>
    <w:qFormat/>
    <w:rsid w:val="00DC12F7"/>
    <w:pPr>
      <w:widowControl w:val="0"/>
      <w:tabs>
        <w:tab w:val="left" w:pos="1800"/>
        <w:tab w:val="left" w:pos="2660"/>
        <w:tab w:val="left" w:pos="3080"/>
        <w:tab w:val="left" w:pos="4640"/>
        <w:tab w:val="left" w:pos="5880"/>
        <w:tab w:val="left" w:pos="6280"/>
        <w:tab w:val="left" w:pos="7340"/>
        <w:tab w:val="left" w:pos="8360"/>
      </w:tabs>
      <w:suppressAutoHyphens/>
      <w:spacing w:before="3" w:after="0" w:line="360" w:lineRule="auto"/>
      <w:ind w:firstLine="708"/>
      <w:jc w:val="both"/>
    </w:pPr>
    <w:rPr>
      <w:rFonts w:ascii="Times New Roman" w:eastAsia="MS Mincho" w:hAnsi="Times New Roman" w:cs="Calibri"/>
      <w:kern w:val="1"/>
      <w:sz w:val="24"/>
      <w:szCs w:val="24"/>
      <w:lang w:eastAsia="hi-IN" w:bidi="hi-IN"/>
    </w:rPr>
  </w:style>
  <w:style w:type="character" w:customStyle="1" w:styleId="AnseeZnak">
    <w:name w:val="Ansee Znak"/>
    <w:link w:val="Ansee"/>
    <w:rsid w:val="00DC12F7"/>
    <w:rPr>
      <w:rFonts w:ascii="Times New Roman" w:eastAsia="MS Mincho" w:hAnsi="Times New Roman" w:cs="Calibri"/>
      <w:kern w:val="1"/>
      <w:sz w:val="24"/>
      <w:szCs w:val="24"/>
      <w:lang w:eastAsia="hi-IN" w:bidi="hi-IN"/>
    </w:rPr>
  </w:style>
  <w:style w:type="paragraph" w:styleId="Tekstpodstawowy">
    <w:name w:val="Body Text"/>
    <w:basedOn w:val="Normalny"/>
    <w:link w:val="TekstpodstawowyZnak"/>
    <w:uiPriority w:val="99"/>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C12F7"/>
    <w:rPr>
      <w:rFonts w:ascii="Times New Roman" w:eastAsia="Times New Roman" w:hAnsi="Times New Roman" w:cs="Times New Roman"/>
      <w:sz w:val="24"/>
      <w:szCs w:val="24"/>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locked/>
    <w:rsid w:val="00DC12F7"/>
  </w:style>
  <w:style w:type="paragraph" w:customStyle="1" w:styleId="Zwykytekst2">
    <w:name w:val="Zwykły tekst2"/>
    <w:basedOn w:val="Normalny"/>
    <w:rsid w:val="00DC12F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pl-PL"/>
    </w:rPr>
  </w:style>
  <w:style w:type="paragraph" w:customStyle="1" w:styleId="N3pz">
    <w:name w:val="N 3 pz"/>
    <w:basedOn w:val="Normalny"/>
    <w:rsid w:val="00DC12F7"/>
    <w:pPr>
      <w:numPr>
        <w:numId w:val="1"/>
      </w:numPr>
      <w:tabs>
        <w:tab w:val="left" w:pos="0"/>
      </w:tabs>
      <w:overflowPunct w:val="0"/>
      <w:autoSpaceDE w:val="0"/>
      <w:autoSpaceDN w:val="0"/>
      <w:adjustRightInd w:val="0"/>
      <w:spacing w:after="80" w:line="300" w:lineRule="exact"/>
      <w:jc w:val="both"/>
      <w:textAlignment w:val="baseline"/>
    </w:pPr>
    <w:rPr>
      <w:rFonts w:ascii="Arial" w:eastAsia="Times New Roman" w:hAnsi="Arial" w:cs="Times New Roman"/>
      <w:sz w:val="24"/>
      <w:szCs w:val="20"/>
      <w:lang w:eastAsia="zh-CN"/>
    </w:rPr>
  </w:style>
  <w:style w:type="character" w:customStyle="1" w:styleId="Poziom1Znak3">
    <w:name w:val="Poziom 1 Znak3"/>
    <w:aliases w:val="2 pz Znak3"/>
    <w:rsid w:val="00DC12F7"/>
    <w:rPr>
      <w:rFonts w:ascii="Arial" w:hAnsi="Arial"/>
      <w:sz w:val="22"/>
    </w:rPr>
  </w:style>
  <w:style w:type="character" w:customStyle="1" w:styleId="WW8Num56z0">
    <w:name w:val="WW8Num56z0"/>
    <w:rsid w:val="00DC12F7"/>
    <w:rPr>
      <w:rFonts w:ascii="Symbol" w:hAnsi="Symbol" w:cs="StarSymbol"/>
      <w:color w:val="000000"/>
      <w:sz w:val="20"/>
      <w:szCs w:val="23"/>
    </w:rPr>
  </w:style>
  <w:style w:type="character" w:customStyle="1" w:styleId="DefaultZnak">
    <w:name w:val="Default Znak"/>
    <w:link w:val="Default"/>
    <w:rsid w:val="00DC12F7"/>
    <w:rPr>
      <w:rFonts w:ascii="Calibri" w:hAnsi="Calibri" w:cs="Calibri"/>
      <w:color w:val="000000"/>
      <w:sz w:val="24"/>
      <w:szCs w:val="24"/>
      <w14:ligatures w14:val="standardContextual"/>
    </w:rPr>
  </w:style>
  <w:style w:type="paragraph" w:styleId="Lista2">
    <w:name w:val="List 2"/>
    <w:basedOn w:val="Normalny"/>
    <w:uiPriority w:val="99"/>
    <w:unhideWhenUsed/>
    <w:rsid w:val="00DC12F7"/>
    <w:pPr>
      <w:widowControl w:val="0"/>
      <w:suppressAutoHyphens/>
      <w:spacing w:after="0" w:line="240" w:lineRule="auto"/>
      <w:ind w:left="566" w:hanging="283"/>
      <w:contextualSpacing/>
      <w:jc w:val="both"/>
    </w:pPr>
    <w:rPr>
      <w:rFonts w:ascii="Times New Roman" w:eastAsia="SimSun" w:hAnsi="Times New Roman" w:cs="Mangal"/>
      <w:kern w:val="1"/>
      <w:sz w:val="21"/>
      <w:szCs w:val="20"/>
      <w:lang w:val="en-US" w:eastAsia="hi-IN" w:bidi="hi-IN"/>
    </w:rPr>
  </w:style>
  <w:style w:type="character" w:customStyle="1" w:styleId="markedcontent">
    <w:name w:val="markedcontent"/>
    <w:basedOn w:val="Domylnaczcionkaakapitu"/>
    <w:rsid w:val="00DC12F7"/>
  </w:style>
  <w:style w:type="paragraph" w:customStyle="1" w:styleId="standard">
    <w:name w:val="standard"/>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podstawowa">
    <w:name w:val="Tabela_podstawowa"/>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paragraph" w:customStyle="1" w:styleId="Tekstakapitu">
    <w:name w:val="Tekst akapitu"/>
    <w:basedOn w:val="Normalny"/>
    <w:link w:val="TekstakapituZnak"/>
    <w:qFormat/>
    <w:rsid w:val="00DC12F7"/>
    <w:pPr>
      <w:overflowPunct w:val="0"/>
      <w:autoSpaceDE w:val="0"/>
      <w:autoSpaceDN w:val="0"/>
      <w:adjustRightInd w:val="0"/>
      <w:spacing w:after="0" w:line="276" w:lineRule="auto"/>
      <w:ind w:firstLine="567"/>
      <w:jc w:val="both"/>
      <w:textAlignment w:val="baseline"/>
    </w:pPr>
    <w:rPr>
      <w:rFonts w:ascii="Cambria" w:eastAsia="Times New Roman" w:hAnsi="Cambria" w:cs="Times New Roman"/>
      <w:sz w:val="20"/>
      <w:szCs w:val="20"/>
    </w:rPr>
  </w:style>
  <w:style w:type="character" w:customStyle="1" w:styleId="TekstakapituZnak">
    <w:name w:val="Tekst akapitu Znak"/>
    <w:link w:val="Tekstakapitu"/>
    <w:rsid w:val="00DC12F7"/>
    <w:rPr>
      <w:rFonts w:ascii="Cambria" w:eastAsia="Times New Roman" w:hAnsi="Cambria" w:cs="Times New Roman"/>
      <w:sz w:val="20"/>
      <w:szCs w:val="20"/>
    </w:rPr>
  </w:style>
  <w:style w:type="numbering" w:customStyle="1" w:styleId="ListaNienumerowana">
    <w:name w:val="Lista_Nienumerowana"/>
    <w:basedOn w:val="Bezlisty"/>
    <w:uiPriority w:val="99"/>
    <w:rsid w:val="00DC12F7"/>
    <w:pPr>
      <w:numPr>
        <w:numId w:val="2"/>
      </w:numPr>
    </w:pPr>
  </w:style>
  <w:style w:type="paragraph" w:customStyle="1" w:styleId="071ListaPoziom1">
    <w:name w:val="071_Lista_Poziom_1"/>
    <w:basedOn w:val="Akapitzlist"/>
    <w:link w:val="071ListaPoziom1Char"/>
    <w:qFormat/>
    <w:rsid w:val="00DC12F7"/>
    <w:pPr>
      <w:numPr>
        <w:numId w:val="3"/>
      </w:numPr>
      <w:spacing w:after="0" w:line="264" w:lineRule="auto"/>
      <w:jc w:val="both"/>
    </w:pPr>
    <w:rPr>
      <w:rFonts w:ascii="Cambria" w:eastAsiaTheme="minorEastAsia" w:hAnsi="Cambria"/>
      <w:sz w:val="20"/>
    </w:rPr>
  </w:style>
  <w:style w:type="paragraph" w:customStyle="1" w:styleId="072ListaPoziom2">
    <w:name w:val="072_Lista_Poziom_2"/>
    <w:basedOn w:val="071ListaPoziom1"/>
    <w:rsid w:val="00DC12F7"/>
    <w:pPr>
      <w:numPr>
        <w:ilvl w:val="1"/>
      </w:numPr>
      <w:tabs>
        <w:tab w:val="num" w:pos="360"/>
      </w:tabs>
      <w:ind w:left="1080" w:hanging="360"/>
    </w:pPr>
  </w:style>
  <w:style w:type="character" w:customStyle="1" w:styleId="071ListaPoziom1Char">
    <w:name w:val="071_Lista_Poziom_1 Char"/>
    <w:basedOn w:val="Domylnaczcionkaakapitu"/>
    <w:link w:val="071ListaPoziom1"/>
    <w:rsid w:val="00DC12F7"/>
    <w:rPr>
      <w:rFonts w:ascii="Cambria" w:eastAsiaTheme="minorEastAsia" w:hAnsi="Cambria"/>
      <w:sz w:val="20"/>
    </w:rPr>
  </w:style>
  <w:style w:type="paragraph" w:customStyle="1" w:styleId="073ListaPoziom3">
    <w:name w:val="073_Lista_Poziom_3"/>
    <w:basedOn w:val="072ListaPoziom2"/>
    <w:rsid w:val="00DC12F7"/>
    <w:pPr>
      <w:numPr>
        <w:ilvl w:val="2"/>
      </w:numPr>
      <w:tabs>
        <w:tab w:val="num" w:pos="360"/>
      </w:tabs>
      <w:ind w:left="1800" w:hanging="180"/>
    </w:pPr>
  </w:style>
  <w:style w:type="table" w:customStyle="1" w:styleId="Tabelapodstawowa3">
    <w:name w:val="Tabela_podstawowa3"/>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character" w:customStyle="1" w:styleId="default-value">
    <w:name w:val="default-value"/>
    <w:basedOn w:val="Domylnaczcionkaakapitu"/>
    <w:rsid w:val="00DC12F7"/>
  </w:style>
  <w:style w:type="paragraph" w:styleId="Tekstpodstawowy2">
    <w:name w:val="Body Text 2"/>
    <w:basedOn w:val="Normalny"/>
    <w:link w:val="Tekstpodstawowy2Znak"/>
    <w:uiPriority w:val="99"/>
    <w:semiHidden/>
    <w:unhideWhenUsed/>
    <w:rsid w:val="00DC12F7"/>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DC12F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DC12F7"/>
    <w:pPr>
      <w:suppressAutoHyphens w:val="0"/>
    </w:pPr>
    <w:rPr>
      <w:b/>
      <w:bCs/>
      <w:lang w:eastAsia="pl-PL"/>
    </w:rPr>
  </w:style>
  <w:style w:type="character" w:customStyle="1" w:styleId="TematkomentarzaZnak">
    <w:name w:val="Temat komentarza Znak"/>
    <w:basedOn w:val="TekstkomentarzaZnak"/>
    <w:link w:val="Tematkomentarza"/>
    <w:uiPriority w:val="99"/>
    <w:semiHidden/>
    <w:rsid w:val="00DC12F7"/>
    <w:rPr>
      <w:rFonts w:ascii="Times New Roman" w:eastAsia="Times New Roman" w:hAnsi="Times New Roman" w:cs="Times New Roman"/>
      <w:b/>
      <w:bCs/>
      <w:sz w:val="20"/>
      <w:szCs w:val="20"/>
      <w:lang w:eastAsia="pl-PL"/>
    </w:rPr>
  </w:style>
  <w:style w:type="paragraph" w:styleId="Poprawka">
    <w:name w:val="Revision"/>
    <w:hidden/>
    <w:uiPriority w:val="99"/>
    <w:semiHidden/>
    <w:rsid w:val="00DC12F7"/>
    <w:pPr>
      <w:spacing w:after="0" w:line="240" w:lineRule="auto"/>
    </w:pPr>
    <w:rPr>
      <w:rFonts w:ascii="Times New Roman" w:eastAsia="Times New Roman" w:hAnsi="Times New Roman" w:cs="Times New Roman"/>
      <w:sz w:val="24"/>
      <w:szCs w:val="24"/>
      <w:lang w:eastAsia="pl-PL"/>
    </w:rPr>
  </w:style>
  <w:style w:type="paragraph" w:customStyle="1" w:styleId="1wyliczenieROOS">
    <w:name w:val="1_wyliczenie _ROOS"/>
    <w:basedOn w:val="Normalny"/>
    <w:qFormat/>
    <w:rsid w:val="00DC12F7"/>
    <w:pPr>
      <w:numPr>
        <w:numId w:val="4"/>
      </w:numPr>
      <w:spacing w:after="0" w:line="240" w:lineRule="auto"/>
    </w:pPr>
    <w:rPr>
      <w:rFonts w:ascii="Arial" w:hAnsi="Arial" w:cs="Arial"/>
      <w:sz w:val="20"/>
      <w:szCs w:val="20"/>
      <w:lang w:eastAsia="zh-CN"/>
    </w:rPr>
  </w:style>
  <w:style w:type="character" w:customStyle="1" w:styleId="Inne">
    <w:name w:val="Inne_"/>
    <w:basedOn w:val="Domylnaczcionkaakapitu"/>
    <w:link w:val="Inne0"/>
    <w:locked/>
    <w:rsid w:val="00DC12F7"/>
    <w:rPr>
      <w:rFonts w:ascii="Arial" w:eastAsia="Arial" w:hAnsi="Arial" w:cs="Arial"/>
    </w:rPr>
  </w:style>
  <w:style w:type="paragraph" w:customStyle="1" w:styleId="Inne0">
    <w:name w:val="Inne"/>
    <w:basedOn w:val="Normalny"/>
    <w:link w:val="Inne"/>
    <w:rsid w:val="00DC12F7"/>
    <w:pPr>
      <w:widowControl w:val="0"/>
      <w:spacing w:after="100" w:line="276" w:lineRule="auto"/>
    </w:pPr>
    <w:rPr>
      <w:rFonts w:ascii="Arial" w:eastAsia="Arial" w:hAnsi="Arial" w:cs="Arial"/>
    </w:rPr>
  </w:style>
  <w:style w:type="paragraph" w:styleId="Tekstprzypisudolnego">
    <w:name w:val="footnote text"/>
    <w:aliases w:val="Tekst przypisu,Podrozdział,Podrozdzia3,-E Fuﬂnotentext,Fuﬂnotentext Ursprung,Fußnotentext Ursprung,-E Fußnotentext,Footnote text,Tekst przypisu Znak Znak Znak Znak,Tekst przypisu Znak Znak Znak Znak Znak,footnote text,Fußnote,fn,F"/>
    <w:basedOn w:val="Normalny"/>
    <w:link w:val="TekstprzypisudolnegoZnak"/>
    <w:uiPriority w:val="99"/>
    <w:unhideWhenUsed/>
    <w:qFormat/>
    <w:rsid w:val="00DC12F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Podrozdział Znak,Podrozdzia3 Znak,-E Fuﬂnotentext Znak,Fuﬂnotentext Ursprung Znak,Fußnotentext Ursprung Znak,-E Fußnotentext Znak,Footnote text Znak,Tekst przypisu Znak Znak Znak Znak Znak1,Fußnote Znak"/>
    <w:basedOn w:val="Domylnaczcionkaakapitu"/>
    <w:link w:val="Tekstprzypisudolnego"/>
    <w:uiPriority w:val="99"/>
    <w:rsid w:val="00DC12F7"/>
    <w:rPr>
      <w:rFonts w:ascii="Times New Roman" w:eastAsia="Times New Roman" w:hAnsi="Times New Roman" w:cs="Times New Roman"/>
      <w:sz w:val="20"/>
      <w:szCs w:val="20"/>
      <w:lang w:eastAsia="pl-PL"/>
    </w:rPr>
  </w:style>
  <w:style w:type="character" w:styleId="Odwoanieprzypisudolnego">
    <w:name w:val="footnote reference"/>
    <w:aliases w:val="Odwołanie przypisu,Footnote Reference Number,EN Footnote Reference,Times 10 Point,Exposant 3 Point,Footnote symbol,Footnote reference number,note TESI,fr,Odwo³anie przypisu,stylish,-E Fußnotenzeichen,16 Point,Superscript 6 Poi"/>
    <w:basedOn w:val="Domylnaczcionkaakapitu"/>
    <w:uiPriority w:val="99"/>
    <w:unhideWhenUsed/>
    <w:qFormat/>
    <w:rsid w:val="00DC12F7"/>
    <w:rPr>
      <w:vertAlign w:val="superscript"/>
    </w:rPr>
  </w:style>
  <w:style w:type="character" w:customStyle="1" w:styleId="Podpistabeli">
    <w:name w:val="Podpis tabeli_"/>
    <w:basedOn w:val="Domylnaczcionkaakapitu"/>
    <w:link w:val="Podpistabeli0"/>
    <w:rsid w:val="00DC12F7"/>
    <w:rPr>
      <w:rFonts w:ascii="Calibri" w:eastAsia="Calibri" w:hAnsi="Calibri" w:cs="Calibri"/>
      <w:sz w:val="18"/>
      <w:szCs w:val="18"/>
    </w:rPr>
  </w:style>
  <w:style w:type="paragraph" w:customStyle="1" w:styleId="Podpistabeli0">
    <w:name w:val="Podpis tabeli"/>
    <w:basedOn w:val="Normalny"/>
    <w:link w:val="Podpistabeli"/>
    <w:rsid w:val="00DC12F7"/>
    <w:pPr>
      <w:widowControl w:val="0"/>
      <w:spacing w:after="0" w:line="240" w:lineRule="auto"/>
    </w:pPr>
    <w:rPr>
      <w:rFonts w:ascii="Calibri" w:eastAsia="Calibri" w:hAnsi="Calibri" w:cs="Calibri"/>
      <w:sz w:val="18"/>
      <w:szCs w:val="18"/>
    </w:rPr>
  </w:style>
  <w:style w:type="paragraph" w:customStyle="1" w:styleId="pf0">
    <w:name w:val="pf0"/>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DC12F7"/>
    <w:pPr>
      <w:spacing w:after="120" w:line="480" w:lineRule="auto"/>
      <w:ind w:left="283"/>
    </w:pPr>
    <w:rPr>
      <w:rFonts w:ascii="Calibri" w:eastAsia="Calibri" w:hAnsi="Calibri" w:cs="Times New Roman"/>
    </w:rPr>
  </w:style>
  <w:style w:type="character" w:customStyle="1" w:styleId="Tekstpodstawowywcity2Znak">
    <w:name w:val="Tekst podstawowy wcięty 2 Znak"/>
    <w:basedOn w:val="Domylnaczcionkaakapitu"/>
    <w:link w:val="Tekstpodstawowywcity2"/>
    <w:uiPriority w:val="99"/>
    <w:rsid w:val="00DC12F7"/>
    <w:rPr>
      <w:rFonts w:ascii="Calibri" w:eastAsia="Calibri" w:hAnsi="Calibri" w:cs="Times New Roman"/>
    </w:rPr>
  </w:style>
  <w:style w:type="paragraph" w:styleId="NormalnyWeb">
    <w:name w:val="Normal (Web)"/>
    <w:basedOn w:val="Normalny"/>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rzypisudolnegoZnak1">
    <w:name w:val="Tekst przypisu dolnego Znak1"/>
    <w:basedOn w:val="Domylnaczcionkaakapitu"/>
    <w:uiPriority w:val="99"/>
    <w:semiHidden/>
    <w:rsid w:val="00DC12F7"/>
    <w:rPr>
      <w:lang w:eastAsia="en-US"/>
    </w:rPr>
  </w:style>
  <w:style w:type="character" w:styleId="Nierozpoznanawzmianka">
    <w:name w:val="Unresolved Mention"/>
    <w:uiPriority w:val="99"/>
    <w:unhideWhenUsed/>
    <w:rsid w:val="00DC12F7"/>
    <w:rPr>
      <w:color w:val="605E5C"/>
      <w:shd w:val="clear" w:color="auto" w:fill="E1DFDD"/>
    </w:rPr>
  </w:style>
  <w:style w:type="table" w:customStyle="1" w:styleId="TableGrid">
    <w:name w:val="TableGrid"/>
    <w:rsid w:val="00DC12F7"/>
    <w:pPr>
      <w:spacing w:after="0" w:line="240" w:lineRule="auto"/>
    </w:pPr>
    <w:rPr>
      <w:rFonts w:ascii="Calibri" w:eastAsia="Times New Roman" w:hAnsi="Calibri" w:cs="Times New Roman"/>
      <w:kern w:val="2"/>
      <w:sz w:val="24"/>
      <w:szCs w:val="24"/>
      <w:lang w:eastAsia="pl-PL"/>
    </w:rPr>
    <w:tblPr>
      <w:tblCellMar>
        <w:top w:w="0" w:type="dxa"/>
        <w:left w:w="0" w:type="dxa"/>
        <w:bottom w:w="0" w:type="dxa"/>
        <w:right w:w="0" w:type="dxa"/>
      </w:tblCellMar>
    </w:tblPr>
  </w:style>
  <w:style w:type="paragraph" w:customStyle="1" w:styleId="Standard0">
    <w:name w:val="Standard"/>
    <w:rsid w:val="00DC12F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styleId="Pogrubienie">
    <w:name w:val="Strong"/>
    <w:aliases w:val="Pogrubiony,żródło,BOLD HIGHLIGHT CPK"/>
    <w:uiPriority w:val="22"/>
    <w:qFormat/>
    <w:rsid w:val="00DC12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37</Pages>
  <Words>13518</Words>
  <Characters>81114</Characters>
  <Application>Microsoft Office Word</Application>
  <DocSecurity>0</DocSecurity>
  <Lines>675</Lines>
  <Paragraphs>188</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94444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6</cp:revision>
  <dcterms:created xsi:type="dcterms:W3CDTF">2026-03-27T11:49:00Z</dcterms:created>
  <dcterms:modified xsi:type="dcterms:W3CDTF">2026-07-30T11:45:00Z</dcterms:modified>
</cp:coreProperties>
</file>