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07A0D687" w:rsidR="007A19C5" w:rsidRPr="00FC1849" w:rsidRDefault="00FC2CCA">
      <w:pPr>
        <w:spacing w:after="168" w:line="249" w:lineRule="auto"/>
        <w:ind w:left="-4" w:right="3344" w:hanging="10"/>
        <w:rPr>
          <w:color w:val="EE0000"/>
        </w:rPr>
      </w:pPr>
      <w:r w:rsidRPr="00FC1849">
        <w:rPr>
          <w:b/>
          <w:color w:val="EE0000"/>
        </w:rPr>
        <w:t xml:space="preserve">Ogłoszenie nr: </w:t>
      </w:r>
      <w:r w:rsidR="00342971">
        <w:rPr>
          <w:b/>
          <w:color w:val="EE0000"/>
        </w:rPr>
        <w:t>20</w:t>
      </w:r>
      <w:r w:rsidR="00FC1849" w:rsidRPr="00FC1849">
        <w:rPr>
          <w:b/>
          <w:color w:val="EE0000"/>
        </w:rPr>
        <w:t>/2026</w:t>
      </w:r>
    </w:p>
    <w:p w14:paraId="1A435529" w14:textId="091E2487" w:rsidR="00DF05A6" w:rsidRDefault="00FC2CCA">
      <w:pPr>
        <w:spacing w:after="5" w:line="401" w:lineRule="auto"/>
        <w:ind w:left="11" w:right="4017" w:hanging="10"/>
      </w:pPr>
      <w:r>
        <w:t xml:space="preserve">Data ukazania się ogłoszenia: </w:t>
      </w:r>
      <w:r w:rsidR="009F56F3">
        <w:t>07</w:t>
      </w:r>
      <w:r w:rsidR="0094759B">
        <w:t>.0</w:t>
      </w:r>
      <w:r w:rsidR="009F56F3">
        <w:t>5</w:t>
      </w:r>
      <w:r w:rsidR="0094759B">
        <w:t>.2026 r.</w:t>
      </w:r>
    </w:p>
    <w:p w14:paraId="25E82CEB" w14:textId="7F8C59B3" w:rsidR="007A19C5" w:rsidRDefault="00FC2CCA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235AFA">
        <w:t xml:space="preserve"> K/M</w:t>
      </w:r>
      <w:r>
        <w:t xml:space="preserve">: </w:t>
      </w:r>
    </w:p>
    <w:p w14:paraId="570FFEBF" w14:textId="5BFC2E45" w:rsidR="007A19C5" w:rsidRDefault="00A10460">
      <w:pPr>
        <w:ind w:left="1"/>
      </w:pPr>
      <w:r>
        <w:rPr>
          <w:b/>
          <w:color w:val="2E74B5"/>
        </w:rPr>
        <w:t>Główna Księgowa</w:t>
      </w:r>
      <w:r w:rsidR="00235AFA">
        <w:rPr>
          <w:b/>
          <w:color w:val="2E74B5"/>
        </w:rPr>
        <w:t>/Główny Księgowy</w:t>
      </w:r>
    </w:p>
    <w:p w14:paraId="1BACDB40" w14:textId="77777777" w:rsidR="007A19C5" w:rsidRDefault="00FC2CCA">
      <w:pPr>
        <w:spacing w:after="5" w:line="400" w:lineRule="auto"/>
        <w:ind w:left="11" w:right="6832" w:hanging="10"/>
      </w:pPr>
      <w:r>
        <w:rPr>
          <w:b/>
        </w:rPr>
        <w:t xml:space="preserve">Wymiar etatu: 1 </w:t>
      </w:r>
      <w:r>
        <w:t xml:space="preserve">Liczba stanowisk pracy: 1 </w:t>
      </w:r>
    </w:p>
    <w:p w14:paraId="5163F560" w14:textId="77777777" w:rsidR="007A19C5" w:rsidRDefault="00FC2CCA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FC2CCA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5C87670E" w14:textId="79599328" w:rsidR="007A19C5" w:rsidRPr="00284261" w:rsidRDefault="00FC2CCA" w:rsidP="003958CF">
      <w:pPr>
        <w:spacing w:after="168" w:line="249" w:lineRule="auto"/>
        <w:ind w:left="-4" w:right="3344" w:hanging="10"/>
        <w:rPr>
          <w:color w:val="215E99" w:themeColor="text2" w:themeTint="BF"/>
        </w:rPr>
      </w:pPr>
      <w:r>
        <w:rPr>
          <w:b/>
        </w:rPr>
        <w:t>Miejsce wykonywania pracy</w:t>
      </w:r>
      <w:r>
        <w:t xml:space="preserve">: </w:t>
      </w:r>
      <w:r w:rsidR="003958CF" w:rsidRPr="00284261">
        <w:rPr>
          <w:b/>
          <w:bCs/>
          <w:color w:val="215E99" w:themeColor="text2" w:themeTint="BF"/>
        </w:rPr>
        <w:t>Oddział terenowy</w:t>
      </w:r>
      <w:r w:rsidR="003958CF" w:rsidRPr="00284261">
        <w:rPr>
          <w:b/>
          <w:color w:val="215E99" w:themeColor="text2" w:themeTint="BF"/>
        </w:rPr>
        <w:t xml:space="preserve"> w Warszawie</w:t>
      </w:r>
      <w:r w:rsidR="003958CF" w:rsidRPr="00284261">
        <w:rPr>
          <w:color w:val="215E99" w:themeColor="text2" w:themeTint="BF"/>
        </w:rPr>
        <w:t xml:space="preserve"> </w:t>
      </w:r>
      <w:r w:rsidR="000B1229" w:rsidRPr="00284261">
        <w:rPr>
          <w:b/>
          <w:bCs/>
          <w:color w:val="215E99" w:themeColor="text2" w:themeTint="BF"/>
        </w:rPr>
        <w:t xml:space="preserve">Departament Finansowo – Ekonomiczny,  </w:t>
      </w:r>
    </w:p>
    <w:p w14:paraId="51896BB6" w14:textId="77777777" w:rsidR="007A19C5" w:rsidRDefault="00FC2CCA">
      <w:pPr>
        <w:spacing w:after="194" w:line="249" w:lineRule="auto"/>
        <w:ind w:left="-4" w:right="3344" w:hanging="10"/>
      </w:pPr>
      <w:r>
        <w:rPr>
          <w:b/>
        </w:rPr>
        <w:t xml:space="preserve">Zakres zadań wykonywanych na stanowisku pracy: </w:t>
      </w:r>
    </w:p>
    <w:p w14:paraId="3FD9D53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wykonuje przepisy ustawy o rachunkowości oraz obowiązki określone w ustawie o finansach publicznych;</w:t>
      </w:r>
    </w:p>
    <w:p w14:paraId="22D68E6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opracowuje projekty regulacji wewnętrznych dotyczących prowadzenia rachunkowości;</w:t>
      </w:r>
    </w:p>
    <w:p w14:paraId="1C22E2D0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opracowuje plany finansowe i aktualizuje je na bieżąco, na bieżąco angażuje i uwalnia środki finansowe;</w:t>
      </w:r>
    </w:p>
    <w:p w14:paraId="0163F8AB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prowadzi nadzór nad wykorzystaniem i rozliczeniem rezerw celowych, funduszy unijnych oraz środków pozyskanych z innych źródeł;</w:t>
      </w:r>
    </w:p>
    <w:p w14:paraId="734766F3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realizuje czynności związane z zarządzaniem środkami pieniężnymi i wykonywaniem dyspozycji środkami pieniężnymi;</w:t>
      </w:r>
    </w:p>
    <w:p w14:paraId="15456647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organizowaniu gospodarki finansowej i nadzorze nad jej sprawnym funkcjonowaniem;</w:t>
      </w:r>
    </w:p>
    <w:p w14:paraId="22716353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nadzoruje prawidłowy przebieg przekazywania składników majątkowych oraz zasad inwentaryzacji i likwidacji środków trwałych i wyposażenia, prowadzi, weryfikuje i przechowuje ewidencję i księgi inwentarzowe w zakresie składników majątkowych, zgodnie z obowiązującymi przepisami, rozlicza inwentaryzację;</w:t>
      </w:r>
    </w:p>
    <w:p w14:paraId="72FC1D19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dokonuje kontroli zgodności operacji gospodarczych i finansowych z planem finansowym;</w:t>
      </w:r>
    </w:p>
    <w:p w14:paraId="4CF53FE4" w14:textId="5A9E9921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analizuje wykorzystani</w:t>
      </w:r>
      <w:r w:rsidR="006A4856">
        <w:t>e</w:t>
      </w:r>
      <w:r>
        <w:t xml:space="preserve"> środków będących w dyspozycji Agencji i podejmowanie działań na rzecz zagospodarowania przejściowo wolnych zasobów finansowych z uwzględnieniem zapewnienia krótkoterminowej płynności finansowej;</w:t>
      </w:r>
    </w:p>
    <w:p w14:paraId="77A0F8BF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sprawuje wewnętrzną kontrole finansową;</w:t>
      </w:r>
    </w:p>
    <w:p w14:paraId="7573BF4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przygotowuje sprawozdania finansowe, budżetowe i statystyczne oraz je terminowo przekazuje;</w:t>
      </w:r>
    </w:p>
    <w:p w14:paraId="747F005B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opracowywaniu planów dochodów i wydatków budżetowych jednostki;</w:t>
      </w:r>
    </w:p>
    <w:p w14:paraId="473D87FD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opiniowaniu projektów aktów prawnych w zakresie właściwym dla pełnionej funkcji;</w:t>
      </w:r>
    </w:p>
    <w:p w14:paraId="5E1C2E56" w14:textId="1E96C22A" w:rsidR="00FA3D8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wykonuje czynności z zakresu kontroli zarządczej.</w:t>
      </w:r>
    </w:p>
    <w:p w14:paraId="4E536756" w14:textId="77777777" w:rsidR="00FA3D89" w:rsidRDefault="00FA3D89" w:rsidP="00FA3D89">
      <w:pPr>
        <w:spacing w:after="5" w:line="249" w:lineRule="auto"/>
      </w:pPr>
    </w:p>
    <w:p w14:paraId="30F8EE4F" w14:textId="77777777" w:rsidR="00CC4CE7" w:rsidRDefault="00CC4CE7" w:rsidP="00CC4CE7">
      <w:pPr>
        <w:spacing w:after="5" w:line="249" w:lineRule="auto"/>
        <w:ind w:left="1054"/>
      </w:pPr>
    </w:p>
    <w:p w14:paraId="52D57C3A" w14:textId="71B8C135" w:rsidR="007A19C5" w:rsidRDefault="00FC2CCA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lastRenderedPageBreak/>
        <w:t xml:space="preserve">niezbędne: </w:t>
      </w:r>
      <w:r w:rsidR="00DF05A6" w:rsidRPr="0019637E">
        <w:rPr>
          <w:b/>
        </w:rPr>
        <w:t xml:space="preserve"> </w:t>
      </w:r>
    </w:p>
    <w:p w14:paraId="23B1C348" w14:textId="7E0008BA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wyższe lub średnie zgodnie z art. 54 ust. 2 pkt 5 ustawy o finansach publicznych;</w:t>
      </w:r>
    </w:p>
    <w:p w14:paraId="759D715D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Doświadczenie zawodowe zgodnie z art. 54 ust. 2 pkt 5 ustawy o finansach publicznych</w:t>
      </w:r>
    </w:p>
    <w:p w14:paraId="3412FAEE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bardzo dobra znajomość przepisów z zakresu rachunkowości, finansów publicznych, podatków;</w:t>
      </w:r>
    </w:p>
    <w:p w14:paraId="57313B2D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o rachunkowości;</w:t>
      </w:r>
    </w:p>
    <w:p w14:paraId="16B80877" w14:textId="60740D5A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2699"/>
        <w:rPr>
          <w:bCs/>
        </w:rPr>
      </w:pPr>
      <w:r w:rsidRPr="006E7755">
        <w:rPr>
          <w:bCs/>
        </w:rPr>
        <w:t>znajomość ustawy o finansach publicznych oraz aktów wykonawczych do ustawy ( m.in. rozporządzeń Ministra</w:t>
      </w:r>
    </w:p>
    <w:p w14:paraId="291DA9B4" w14:textId="7D2AF8D3" w:rsidR="006E7755" w:rsidRPr="006E7755" w:rsidRDefault="006E7755" w:rsidP="006E7755">
      <w:pPr>
        <w:pStyle w:val="Akapitzlist"/>
        <w:spacing w:after="168" w:line="240" w:lineRule="auto"/>
        <w:ind w:right="3344"/>
        <w:rPr>
          <w:bCs/>
        </w:rPr>
      </w:pPr>
      <w:r w:rsidRPr="006E7755">
        <w:rPr>
          <w:bCs/>
        </w:rPr>
        <w:t>Fin</w:t>
      </w:r>
      <w:r>
        <w:rPr>
          <w:bCs/>
        </w:rPr>
        <w:t xml:space="preserve">ansów </w:t>
      </w:r>
      <w:r w:rsidRPr="006E7755">
        <w:rPr>
          <w:bCs/>
        </w:rPr>
        <w:t>w sprawie klasyfikacji budżetowej,</w:t>
      </w:r>
      <w:r>
        <w:rPr>
          <w:bCs/>
        </w:rPr>
        <w:t xml:space="preserve"> s</w:t>
      </w:r>
      <w:r w:rsidRPr="006E7755">
        <w:rPr>
          <w:bCs/>
        </w:rPr>
        <w:t>prawozdawczości budżetowej, wzoru oświadczenia o stanie kontroli</w:t>
      </w:r>
      <w:r>
        <w:rPr>
          <w:bCs/>
        </w:rPr>
        <w:t xml:space="preserve"> z</w:t>
      </w:r>
      <w:r w:rsidRPr="006E7755">
        <w:rPr>
          <w:bCs/>
        </w:rPr>
        <w:t>arządczej oraz w sprawie planu działalności i sprawozdania z jego wykonania);</w:t>
      </w:r>
    </w:p>
    <w:p w14:paraId="720432FB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o odpowiedzialności za naruszenie dyscypliny finansów publicznych;</w:t>
      </w:r>
    </w:p>
    <w:p w14:paraId="42273C17" w14:textId="2624CA29" w:rsidR="00DF05A6" w:rsidRPr="0019637E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prawo zamówień publicznych;</w:t>
      </w:r>
      <w:r w:rsidR="00D4649E" w:rsidRPr="0019637E">
        <w:rPr>
          <w:bCs/>
        </w:rPr>
        <w:t xml:space="preserve"> </w:t>
      </w:r>
    </w:p>
    <w:p w14:paraId="320199E9" w14:textId="7EA3B690" w:rsidR="007A19C5" w:rsidRDefault="00FC2CCA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365F2E8B" w14:textId="71DCDA34" w:rsid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Doświadczenie zawodowe 5 lat doświadczenia w pracy w rachunkowości w jednostkach budżetowych lub 2 lata pracy na</w:t>
      </w:r>
      <w:r>
        <w:rPr>
          <w:bCs/>
        </w:rPr>
        <w:t xml:space="preserve"> </w:t>
      </w:r>
      <w:r w:rsidRPr="006E7755">
        <w:rPr>
          <w:bCs/>
        </w:rPr>
        <w:t>stanowisku Głównego Księgowego w jednostkach budżetowych</w:t>
      </w:r>
      <w:r>
        <w:rPr>
          <w:bCs/>
        </w:rPr>
        <w:t>;</w:t>
      </w:r>
    </w:p>
    <w:p w14:paraId="7C894C81" w14:textId="77777777" w:rsid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przeszkolenie z zakresu finansowej obsługi projektów współfinansowanych ze środków UE;</w:t>
      </w:r>
    </w:p>
    <w:p w14:paraId="3A48F20A" w14:textId="77777777" w:rsidR="006E7755" w:rsidRP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obsługi programów finansowo-księgowych;</w:t>
      </w:r>
    </w:p>
    <w:p w14:paraId="43D5C4B6" w14:textId="1B7A492B" w:rsidR="006E7755" w:rsidRPr="006E7755" w:rsidRDefault="006E7755" w:rsidP="006E7755">
      <w:pPr>
        <w:pStyle w:val="Akapitzlist"/>
        <w:numPr>
          <w:ilvl w:val="0"/>
          <w:numId w:val="2"/>
        </w:numPr>
        <w:spacing w:after="168" w:line="240" w:lineRule="auto"/>
        <w:ind w:right="3344" w:hanging="360"/>
        <w:rPr>
          <w:bCs/>
        </w:rPr>
      </w:pPr>
      <w:r w:rsidRPr="006E7755">
        <w:rPr>
          <w:bCs/>
        </w:rPr>
        <w:t>znajomość programu TREZOR</w:t>
      </w:r>
    </w:p>
    <w:p w14:paraId="79D7E9D4" w14:textId="6A1BB403" w:rsidR="006E7755" w:rsidRPr="00D45903" w:rsidRDefault="006E7755" w:rsidP="006E7755">
      <w:pPr>
        <w:pStyle w:val="Akapitzlist"/>
        <w:numPr>
          <w:ilvl w:val="0"/>
          <w:numId w:val="2"/>
        </w:numPr>
        <w:spacing w:after="168" w:line="240" w:lineRule="auto"/>
        <w:ind w:right="3344" w:hanging="360"/>
        <w:rPr>
          <w:bCs/>
        </w:rPr>
      </w:pPr>
      <w:bookmarkStart w:id="0" w:name="_Hlk225954284"/>
      <w:r>
        <w:t>znajomość</w:t>
      </w:r>
      <w:bookmarkEnd w:id="0"/>
      <w:r>
        <w:t xml:space="preserve"> programu QNT, </w:t>
      </w:r>
    </w:p>
    <w:p w14:paraId="606E3C78" w14:textId="77777777" w:rsidR="00826A69" w:rsidRPr="00826A69" w:rsidRDefault="00826A69" w:rsidP="00826A69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>
        <w:t>znajomość ustawy o Polskiej Agencji Kosmicznej,</w:t>
      </w:r>
    </w:p>
    <w:p w14:paraId="2AD083E2" w14:textId="1425279E" w:rsidR="00F90DA4" w:rsidRDefault="00F90DA4">
      <w:pPr>
        <w:numPr>
          <w:ilvl w:val="0"/>
          <w:numId w:val="2"/>
        </w:numPr>
        <w:spacing w:after="5" w:line="249" w:lineRule="auto"/>
        <w:ind w:hanging="360"/>
      </w:pPr>
      <w:r>
        <w:t xml:space="preserve">poświadczenie bezpieczeństwa </w:t>
      </w:r>
      <w:r w:rsidR="00D4649E" w:rsidRPr="00D4649E">
        <w:t>uprawniającego do dostępu do informacji niejawnych oznaczonych klauzulą „</w:t>
      </w:r>
      <w:r w:rsidR="00D4649E">
        <w:t>poufne</w:t>
      </w:r>
      <w:r w:rsidR="00D4649E" w:rsidRPr="00D4649E">
        <w:t>”</w:t>
      </w:r>
      <w:r w:rsidR="00D4649E">
        <w:t xml:space="preserve"> </w:t>
      </w:r>
    </w:p>
    <w:p w14:paraId="6BD1C47E" w14:textId="77777777" w:rsidR="007A09FE" w:rsidRDefault="007A09FE" w:rsidP="007A09FE">
      <w:pPr>
        <w:spacing w:after="5" w:line="249" w:lineRule="auto"/>
        <w:ind w:left="706"/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27FB615B" w14:textId="77777777" w:rsidR="007A09FE" w:rsidRPr="001C1B5E" w:rsidRDefault="007A09FE" w:rsidP="007A09FE">
      <w:pPr>
        <w:numPr>
          <w:ilvl w:val="0"/>
          <w:numId w:val="5"/>
        </w:numPr>
        <w:spacing w:after="4" w:line="283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kopii poświadczenia bezpieczeństwa uprawniającego do dostępu do informacji </w:t>
      </w:r>
      <w:r w:rsidRPr="0006717F">
        <w:rPr>
          <w:rFonts w:asciiTheme="majorHAnsi" w:eastAsia="Times New Roman" w:hAnsiTheme="majorHAnsi" w:cstheme="majorHAnsi"/>
          <w:sz w:val="20"/>
        </w:rPr>
        <w:t xml:space="preserve">niejawnych lub oświadczenia o wyrażeniu zgody </w:t>
      </w:r>
      <w:r w:rsidRPr="001C1B5E">
        <w:rPr>
          <w:rFonts w:asciiTheme="majorHAnsi" w:eastAsia="Times New Roman" w:hAnsiTheme="majorHAnsi" w:cstheme="majorHAnsi"/>
          <w:sz w:val="20"/>
        </w:rPr>
        <w:t xml:space="preserve">na przeprowadzenie postępowania sprawdzającego zgodnie z ustawą z dnia 5 sierpnia 2010 r. o ochronie informacji niejawnych (tj.: Dz.U.2024 poz. 632 ze zm.). </w:t>
      </w:r>
    </w:p>
    <w:p w14:paraId="505C2EC3" w14:textId="0C75A155" w:rsidR="007A19C5" w:rsidRDefault="007A19C5">
      <w:pPr>
        <w:spacing w:after="0"/>
        <w:ind w:left="721"/>
      </w:pPr>
    </w:p>
    <w:p w14:paraId="0D48524A" w14:textId="2FB78433" w:rsidR="007A19C5" w:rsidRPr="00483DBB" w:rsidRDefault="00FC2CCA">
      <w:pPr>
        <w:spacing w:after="5" w:line="269" w:lineRule="auto"/>
        <w:ind w:left="11" w:hanging="10"/>
        <w:rPr>
          <w:b/>
          <w:bCs/>
        </w:rPr>
      </w:pPr>
      <w:r w:rsidRPr="00483DBB">
        <w:rPr>
          <w:b/>
          <w:bCs/>
          <w:sz w:val="20"/>
        </w:rPr>
        <w:t>Wynagrodzenie zasadnicze dla pełnego wymiaru etatu na stanowisku</w:t>
      </w:r>
      <w:r w:rsidR="008C3E21" w:rsidRPr="00483DBB">
        <w:rPr>
          <w:b/>
          <w:bCs/>
          <w:sz w:val="20"/>
        </w:rPr>
        <w:t xml:space="preserve"> </w:t>
      </w:r>
      <w:r w:rsidR="00E4296F" w:rsidRPr="00483DBB">
        <w:rPr>
          <w:b/>
          <w:bCs/>
          <w:sz w:val="20"/>
        </w:rPr>
        <w:t>ok. 27.500</w:t>
      </w:r>
      <w:r w:rsidR="00A10460" w:rsidRPr="00483DBB">
        <w:rPr>
          <w:b/>
          <w:bCs/>
          <w:sz w:val="20"/>
        </w:rPr>
        <w:t xml:space="preserve"> zł. </w:t>
      </w:r>
      <w:r w:rsidR="00E4296F" w:rsidRPr="00483DBB">
        <w:rPr>
          <w:b/>
          <w:bCs/>
          <w:sz w:val="20"/>
        </w:rPr>
        <w:t>b</w:t>
      </w:r>
      <w:r w:rsidRPr="00483DBB">
        <w:rPr>
          <w:b/>
          <w:bCs/>
          <w:sz w:val="20"/>
        </w:rPr>
        <w:t xml:space="preserve">rutto. </w:t>
      </w:r>
    </w:p>
    <w:p w14:paraId="7A38A8A9" w14:textId="68183831" w:rsidR="007A19C5" w:rsidRDefault="00FC2CCA" w:rsidP="00D15C67">
      <w:pPr>
        <w:spacing w:after="1"/>
        <w:ind w:left="1"/>
      </w:pPr>
      <w:r>
        <w:rPr>
          <w:sz w:val="20"/>
        </w:rPr>
        <w:t xml:space="preserve"> POLSA zastrzega sobie prawo do kontaktowania się tylko z wybranymi kandydatami</w:t>
      </w:r>
      <w:r w:rsidR="00B17FD5">
        <w:rPr>
          <w:sz w:val="20"/>
        </w:rPr>
        <w:t>.</w:t>
      </w:r>
      <w:r>
        <w:rPr>
          <w:sz w:val="20"/>
        </w:rPr>
        <w:t xml:space="preserve"> </w:t>
      </w:r>
    </w:p>
    <w:p w14:paraId="6AAB5932" w14:textId="77777777" w:rsidR="007A19C5" w:rsidRDefault="00FC2CCA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FC2CCA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5F912677" w:rsidR="007A19C5" w:rsidRDefault="001726F2">
      <w:pPr>
        <w:spacing w:after="5" w:line="249" w:lineRule="auto"/>
        <w:ind w:left="11" w:hanging="10"/>
      </w:pPr>
      <w:r w:rsidRPr="007F1B28">
        <w:rPr>
          <w:b/>
          <w:bCs/>
          <w:color w:val="EE0000"/>
        </w:rPr>
        <w:t>d</w:t>
      </w:r>
      <w:r w:rsidR="002149A3" w:rsidRPr="007F1B28">
        <w:rPr>
          <w:b/>
          <w:bCs/>
          <w:color w:val="EE0000"/>
        </w:rPr>
        <w:t xml:space="preserve">o </w:t>
      </w:r>
      <w:r w:rsidR="009F56F3">
        <w:rPr>
          <w:b/>
          <w:bCs/>
          <w:color w:val="EE0000"/>
        </w:rPr>
        <w:t>17</w:t>
      </w:r>
      <w:r w:rsidR="007F1B28">
        <w:rPr>
          <w:b/>
          <w:bCs/>
          <w:color w:val="EE0000"/>
        </w:rPr>
        <w:t>.05</w:t>
      </w:r>
      <w:r w:rsidR="002149A3" w:rsidRPr="007F1B28">
        <w:rPr>
          <w:b/>
          <w:bCs/>
          <w:color w:val="EE0000"/>
        </w:rPr>
        <w:t xml:space="preserve">.2026 r. </w:t>
      </w:r>
      <w:r w:rsidRPr="00483DBB">
        <w:t>(d</w:t>
      </w:r>
      <w:r>
        <w:t xml:space="preserve">ecyduje data wpływu do Polskiej Agencji Kosmicznej). </w:t>
      </w:r>
    </w:p>
    <w:p w14:paraId="7AECF0FD" w14:textId="77777777" w:rsidR="007A19C5" w:rsidRDefault="00FC2CCA">
      <w:pPr>
        <w:spacing w:after="0"/>
        <w:ind w:left="1"/>
      </w:pPr>
      <w:r>
        <w:t xml:space="preserve"> </w:t>
      </w:r>
    </w:p>
    <w:p w14:paraId="6EE60A00" w14:textId="0593DEAF" w:rsidR="007A19C5" w:rsidRDefault="00FC2CCA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FC2CCA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1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1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327DC4A7" w:rsidR="002149A3" w:rsidRDefault="002149A3" w:rsidP="002149A3">
      <w:pPr>
        <w:spacing w:after="0"/>
        <w:ind w:left="1"/>
      </w:pPr>
      <w:r w:rsidRPr="00D15C67">
        <w:t>z dopiskiem:</w:t>
      </w:r>
      <w:r>
        <w:rPr>
          <w:u w:val="single" w:color="FF0000"/>
        </w:rPr>
        <w:t xml:space="preserve"> </w:t>
      </w:r>
      <w:r w:rsidR="00676510" w:rsidRPr="00676510">
        <w:rPr>
          <w:b/>
          <w:bCs/>
          <w:color w:val="EE0000"/>
          <w:u w:val="single" w:color="FF0000"/>
        </w:rPr>
        <w:t xml:space="preserve">ogłoszenie nr </w:t>
      </w:r>
      <w:r w:rsidR="00483DBB">
        <w:rPr>
          <w:b/>
          <w:bCs/>
          <w:color w:val="EE0000"/>
          <w:u w:val="single" w:color="FF0000"/>
        </w:rPr>
        <w:t>20</w:t>
      </w:r>
      <w:r w:rsidR="00676510" w:rsidRPr="00676510">
        <w:rPr>
          <w:b/>
          <w:bCs/>
          <w:color w:val="EE0000"/>
          <w:u w:val="single" w:color="FF0000"/>
        </w:rPr>
        <w:t>/2026</w:t>
      </w:r>
      <w:r w:rsidRPr="00676510">
        <w:rPr>
          <w:b/>
          <w:bCs/>
          <w:color w:val="EE0000"/>
          <w:u w:val="single" w:color="FF0000"/>
        </w:rPr>
        <w:t xml:space="preserve">  </w:t>
      </w:r>
      <w:r w:rsidRPr="00676510">
        <w:rPr>
          <w:b/>
          <w:bCs/>
          <w:color w:val="FF0000"/>
          <w:u w:val="single" w:color="FF0000"/>
        </w:rPr>
        <w:t xml:space="preserve">– </w:t>
      </w:r>
      <w:r w:rsidR="00A03F9F" w:rsidRPr="00676510">
        <w:rPr>
          <w:b/>
          <w:bCs/>
          <w:color w:val="FF0000"/>
          <w:u w:val="single" w:color="FF0000"/>
        </w:rPr>
        <w:t>Główny</w:t>
      </w:r>
      <w:r w:rsidR="00A03F9F">
        <w:rPr>
          <w:b/>
          <w:color w:val="FF0000"/>
          <w:u w:val="single" w:color="FF0000"/>
        </w:rPr>
        <w:t xml:space="preserve"> Księgowy</w:t>
      </w:r>
      <w:r w:rsidR="00B17FD5">
        <w:rPr>
          <w:b/>
          <w:color w:val="FF0000"/>
          <w:u w:val="single" w:color="FF0000"/>
        </w:rPr>
        <w:t>/ Główna Księgowa</w:t>
      </w:r>
      <w:r w:rsidR="00A03F9F">
        <w:rPr>
          <w:b/>
          <w:color w:val="FF0000"/>
          <w:u w:val="single" w:color="FF0000"/>
        </w:rPr>
        <w:t xml:space="preserve"> 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2416A291" w14:textId="77777777" w:rsidR="00D4649E" w:rsidRPr="002149A3" w:rsidRDefault="00D4649E" w:rsidP="00D4649E">
      <w:pPr>
        <w:spacing w:after="4" w:line="283" w:lineRule="auto"/>
        <w:ind w:left="-15" w:right="-11"/>
        <w:jc w:val="both"/>
        <w:rPr>
          <w:rFonts w:asciiTheme="majorHAnsi" w:hAnsiTheme="majorHAnsi" w:cs="Calibri Light"/>
        </w:rPr>
      </w:pPr>
      <w:r w:rsidRPr="002149A3">
        <w:rPr>
          <w:rFonts w:asciiTheme="majorHAnsi" w:eastAsia="Times New Roman" w:hAnsiTheme="majorHAnsi" w:cs="Calibri Light"/>
          <w:sz w:val="20"/>
        </w:rPr>
        <w:t xml:space="preserve">Dokumenty można przesłać drogą elektroniczną na adres rekrutacja@polsa.gov.pl (wówczas dokumenty należy podpisać uwierzytelnionym podpisem elektronicznym). W tytule wiadomości mailowej należy podać numer naboru. 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FC2CCA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FC2CCA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709100CD" w14:textId="77777777" w:rsidR="007A19C5" w:rsidRDefault="00FC2CCA" w:rsidP="002149A3">
      <w:pPr>
        <w:spacing w:after="0"/>
        <w:ind w:left="1"/>
        <w:jc w:val="both"/>
      </w:pPr>
      <w:r>
        <w:rPr>
          <w:b/>
          <w:sz w:val="18"/>
        </w:rPr>
        <w:t xml:space="preserve"> </w:t>
      </w:r>
    </w:p>
    <w:p w14:paraId="05D8B3E2" w14:textId="77777777" w:rsidR="007A19C5" w:rsidRDefault="00FC2CCA">
      <w:pPr>
        <w:spacing w:after="0"/>
        <w:ind w:left="-4" w:hanging="10"/>
      </w:pPr>
      <w:r>
        <w:rPr>
          <w:b/>
          <w:sz w:val="18"/>
        </w:rPr>
        <w:t xml:space="preserve">Inne informacje:  </w:t>
      </w:r>
    </w:p>
    <w:p w14:paraId="65799EDF" w14:textId="77777777" w:rsidR="007A19C5" w:rsidRDefault="00FC2CCA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FC2CCA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31795BE5" w14:textId="77777777" w:rsidR="007A19C5" w:rsidRDefault="00FC2CCA">
      <w:pPr>
        <w:spacing w:after="0"/>
        <w:ind w:left="1"/>
      </w:pPr>
      <w:r>
        <w:rPr>
          <w:b/>
          <w:sz w:val="18"/>
        </w:rPr>
        <w:t xml:space="preserve"> </w:t>
      </w:r>
    </w:p>
    <w:p w14:paraId="17C72787" w14:textId="77777777" w:rsidR="007A19C5" w:rsidRDefault="00FC2CCA">
      <w:pPr>
        <w:spacing w:after="0"/>
        <w:ind w:left="-4" w:hanging="10"/>
      </w:pPr>
      <w:r>
        <w:rPr>
          <w:b/>
          <w:sz w:val="18"/>
        </w:rPr>
        <w:t xml:space="preserve">Uwaga!  </w:t>
      </w:r>
    </w:p>
    <w:p w14:paraId="4E441685" w14:textId="77777777" w:rsidR="007A19C5" w:rsidRDefault="00FC2CCA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FC2CCA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FC2CCA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FC2CCA">
      <w:pPr>
        <w:spacing w:after="0"/>
        <w:ind w:left="1"/>
      </w:pPr>
      <w:r>
        <w:lastRenderedPageBreak/>
        <w:t xml:space="preserve"> </w:t>
      </w:r>
    </w:p>
    <w:sectPr w:rsidR="007A19C5">
      <w:footerReference w:type="even" r:id="rId8"/>
      <w:footerReference w:type="default" r:id="rId9"/>
      <w:footerReference w:type="first" r:id="rId10"/>
      <w:pgSz w:w="11906" w:h="16838"/>
      <w:pgMar w:top="1459" w:right="1413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A862" w14:textId="77777777" w:rsidR="00541D1A" w:rsidRDefault="00541D1A">
      <w:pPr>
        <w:spacing w:after="0" w:line="240" w:lineRule="auto"/>
      </w:pPr>
      <w:r>
        <w:separator/>
      </w:r>
    </w:p>
  </w:endnote>
  <w:endnote w:type="continuationSeparator" w:id="0">
    <w:p w14:paraId="03D10531" w14:textId="77777777" w:rsidR="00541D1A" w:rsidRDefault="0054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FC2CCA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FC2CCA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FC2CCA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FC2CCA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FC2CCA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FC2CCA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9DD1" w14:textId="77777777" w:rsidR="00541D1A" w:rsidRDefault="00541D1A">
      <w:pPr>
        <w:spacing w:after="0" w:line="240" w:lineRule="auto"/>
      </w:pPr>
      <w:r>
        <w:separator/>
      </w:r>
    </w:p>
  </w:footnote>
  <w:footnote w:type="continuationSeparator" w:id="0">
    <w:p w14:paraId="64E4033A" w14:textId="77777777" w:rsidR="00541D1A" w:rsidRDefault="00541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909B7"/>
    <w:multiLevelType w:val="hybridMultilevel"/>
    <w:tmpl w:val="E9EA7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3ADF"/>
    <w:multiLevelType w:val="hybridMultilevel"/>
    <w:tmpl w:val="2FB8FD00"/>
    <w:lvl w:ilvl="0" w:tplc="77A2FFAE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7D60BA"/>
    <w:multiLevelType w:val="hybridMultilevel"/>
    <w:tmpl w:val="20861434"/>
    <w:lvl w:ilvl="0" w:tplc="0D086F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1005">
    <w:abstractNumId w:val="7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8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6"/>
  </w:num>
  <w:num w:numId="9" w16cid:durableId="550850449">
    <w:abstractNumId w:val="5"/>
  </w:num>
  <w:num w:numId="10" w16cid:durableId="1825514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31652"/>
    <w:rsid w:val="000437A6"/>
    <w:rsid w:val="000B1229"/>
    <w:rsid w:val="000B68DC"/>
    <w:rsid w:val="001726F2"/>
    <w:rsid w:val="00191866"/>
    <w:rsid w:val="0019637E"/>
    <w:rsid w:val="001B565A"/>
    <w:rsid w:val="0021281F"/>
    <w:rsid w:val="002149A3"/>
    <w:rsid w:val="00235AFA"/>
    <w:rsid w:val="00284006"/>
    <w:rsid w:val="00284261"/>
    <w:rsid w:val="002D6370"/>
    <w:rsid w:val="002D661B"/>
    <w:rsid w:val="00336CBA"/>
    <w:rsid w:val="003405A3"/>
    <w:rsid w:val="00342971"/>
    <w:rsid w:val="003575DE"/>
    <w:rsid w:val="003958CF"/>
    <w:rsid w:val="003E1252"/>
    <w:rsid w:val="003F06BA"/>
    <w:rsid w:val="003F53A7"/>
    <w:rsid w:val="004308D9"/>
    <w:rsid w:val="00473F55"/>
    <w:rsid w:val="00483DBB"/>
    <w:rsid w:val="004A11D9"/>
    <w:rsid w:val="004E37AD"/>
    <w:rsid w:val="00515BF9"/>
    <w:rsid w:val="00525E9D"/>
    <w:rsid w:val="00541D1A"/>
    <w:rsid w:val="005B3CE3"/>
    <w:rsid w:val="00676510"/>
    <w:rsid w:val="006A4856"/>
    <w:rsid w:val="006B1C12"/>
    <w:rsid w:val="006B761E"/>
    <w:rsid w:val="006E7755"/>
    <w:rsid w:val="00724D41"/>
    <w:rsid w:val="007515E8"/>
    <w:rsid w:val="007803E8"/>
    <w:rsid w:val="0079376B"/>
    <w:rsid w:val="007A09FE"/>
    <w:rsid w:val="007A19C5"/>
    <w:rsid w:val="007B7E6B"/>
    <w:rsid w:val="007C4C07"/>
    <w:rsid w:val="007F1B28"/>
    <w:rsid w:val="00812CE6"/>
    <w:rsid w:val="00826A69"/>
    <w:rsid w:val="00840928"/>
    <w:rsid w:val="00854D9F"/>
    <w:rsid w:val="008926BB"/>
    <w:rsid w:val="008A773F"/>
    <w:rsid w:val="008C3E21"/>
    <w:rsid w:val="0094759B"/>
    <w:rsid w:val="009658D6"/>
    <w:rsid w:val="00993C58"/>
    <w:rsid w:val="009E28F6"/>
    <w:rsid w:val="009F56F3"/>
    <w:rsid w:val="00A03F9F"/>
    <w:rsid w:val="00A06D65"/>
    <w:rsid w:val="00A10460"/>
    <w:rsid w:val="00A129E8"/>
    <w:rsid w:val="00A12BBD"/>
    <w:rsid w:val="00A20959"/>
    <w:rsid w:val="00A516D8"/>
    <w:rsid w:val="00A80B83"/>
    <w:rsid w:val="00B17FD5"/>
    <w:rsid w:val="00B34111"/>
    <w:rsid w:val="00B47794"/>
    <w:rsid w:val="00BD24C2"/>
    <w:rsid w:val="00C24D18"/>
    <w:rsid w:val="00C35FB5"/>
    <w:rsid w:val="00C4135B"/>
    <w:rsid w:val="00C53802"/>
    <w:rsid w:val="00C93E52"/>
    <w:rsid w:val="00CC4CE7"/>
    <w:rsid w:val="00D11CB1"/>
    <w:rsid w:val="00D15C67"/>
    <w:rsid w:val="00D3154A"/>
    <w:rsid w:val="00D45903"/>
    <w:rsid w:val="00D4649E"/>
    <w:rsid w:val="00D863B0"/>
    <w:rsid w:val="00D93C45"/>
    <w:rsid w:val="00D9479B"/>
    <w:rsid w:val="00DF05A6"/>
    <w:rsid w:val="00E257C7"/>
    <w:rsid w:val="00E4296F"/>
    <w:rsid w:val="00E46A04"/>
    <w:rsid w:val="00E61269"/>
    <w:rsid w:val="00E8390F"/>
    <w:rsid w:val="00EA0B9E"/>
    <w:rsid w:val="00ED0AEC"/>
    <w:rsid w:val="00EF5745"/>
    <w:rsid w:val="00F227D8"/>
    <w:rsid w:val="00F84DEF"/>
    <w:rsid w:val="00F90DA4"/>
    <w:rsid w:val="00FA3D89"/>
    <w:rsid w:val="00FC0285"/>
    <w:rsid w:val="00FC1849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2</cp:revision>
  <dcterms:created xsi:type="dcterms:W3CDTF">2026-05-07T12:15:00Z</dcterms:created>
  <dcterms:modified xsi:type="dcterms:W3CDTF">2026-05-07T12:15:00Z</dcterms:modified>
</cp:coreProperties>
</file>