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AD6F1F" w:rsidP="001257FD">
            <w:pPr>
              <w:spacing w:line="264" w:lineRule="auto"/>
              <w:rPr>
                <w:rFonts w:ascii="Arial" w:hAnsi="Arial" w:cs="Arial"/>
                <w:sz w:val="20"/>
                <w:szCs w:val="20"/>
              </w:rPr>
            </w:pPr>
            <w:r>
              <w:rPr>
                <w:rFonts w:ascii="Arial" w:hAnsi="Arial" w:cs="Arial"/>
                <w:sz w:val="22"/>
                <w:szCs w:val="22"/>
              </w:rPr>
              <w:t xml:space="preserve">SWT Kacper 1.8/14, </w:t>
            </w:r>
            <w:proofErr w:type="gramStart"/>
            <w:r>
              <w:rPr>
                <w:rFonts w:ascii="Arial" w:hAnsi="Arial" w:cs="Arial"/>
                <w:sz w:val="22"/>
                <w:szCs w:val="22"/>
              </w:rPr>
              <w:t>o</w:t>
            </w:r>
            <w:proofErr w:type="gramEnd"/>
            <w:r>
              <w:rPr>
                <w:rFonts w:ascii="Arial" w:hAnsi="Arial" w:cs="Arial"/>
                <w:sz w:val="22"/>
                <w:szCs w:val="22"/>
              </w:rPr>
              <w:t xml:space="preserve"> nr fabrycznym LW-10/16</w:t>
            </w:r>
          </w:p>
        </w:tc>
        <w:tc>
          <w:tcPr>
            <w:tcW w:w="3118" w:type="dxa"/>
            <w:vAlign w:val="center"/>
            <w:hideMark/>
          </w:tcPr>
          <w:p w:rsidR="006A4DD1" w:rsidRPr="001257FD" w:rsidRDefault="00C17851" w:rsidP="00C165A0">
            <w:pPr>
              <w:spacing w:line="264" w:lineRule="auto"/>
              <w:rPr>
                <w:rFonts w:ascii="Arial" w:hAnsi="Arial" w:cs="Arial"/>
                <w:bCs/>
                <w:snapToGrid w:val="0"/>
                <w:color w:val="000000"/>
                <w:sz w:val="20"/>
                <w:szCs w:val="20"/>
              </w:rPr>
            </w:pPr>
            <w:r>
              <w:rPr>
                <w:rFonts w:ascii="Arial" w:eastAsiaTheme="minorHAnsi" w:hAnsi="Arial" w:cs="Arial"/>
                <w:b/>
                <w:bCs/>
                <w:sz w:val="22"/>
                <w:szCs w:val="22"/>
                <w:lang w:eastAsia="en-US"/>
              </w:rPr>
              <w:t xml:space="preserve">69 048,75 zł brutto </w:t>
            </w:r>
            <w:r>
              <w:rPr>
                <w:rFonts w:ascii="Arial" w:eastAsiaTheme="minorHAnsi" w:hAnsi="Arial" w:cs="Arial"/>
                <w:sz w:val="22"/>
                <w:szCs w:val="22"/>
                <w:lang w:eastAsia="en-US"/>
              </w:rPr>
              <w:t>(słownie: sześćdziesiąt dziewięć tysięcy czterdzieści osiem 75/100)</w:t>
            </w:r>
            <w:bookmarkStart w:id="0" w:name="_GoBack"/>
            <w:bookmarkEnd w:id="0"/>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w:t>
      </w:r>
      <w:proofErr w:type="gramStart"/>
      <w:r w:rsidRPr="007445B6">
        <w:rPr>
          <w:rFonts w:ascii="Arial" w:hAnsi="Arial" w:cs="Arial"/>
          <w:b/>
          <w:sz w:val="24"/>
          <w:szCs w:val="24"/>
        </w:rPr>
        <w:t>przetarg</w:t>
      </w:r>
      <w:proofErr w:type="gramEnd"/>
      <w:r w:rsidRPr="007445B6">
        <w:rPr>
          <w:rFonts w:ascii="Arial" w:hAnsi="Arial" w:cs="Arial"/>
          <w:b/>
          <w:sz w:val="24"/>
          <w:szCs w:val="24"/>
        </w:rPr>
        <w:t xml:space="preserve">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CC" w:rsidRDefault="00E508CC" w:rsidP="00CE34AB">
      <w:r>
        <w:separator/>
      </w:r>
    </w:p>
  </w:endnote>
  <w:endnote w:type="continuationSeparator" w:id="0">
    <w:p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CC" w:rsidRDefault="00E508CC" w:rsidP="00CE34AB">
      <w:r>
        <w:separator/>
      </w:r>
    </w:p>
  </w:footnote>
  <w:footnote w:type="continuationSeparator" w:id="0">
    <w:p w:rsidR="00E508CC" w:rsidRDefault="00E508CC"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1409</Words>
  <Characters>8456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16</cp:revision>
  <cp:lastPrinted>2017-12-01T12:56:00Z</cp:lastPrinted>
  <dcterms:created xsi:type="dcterms:W3CDTF">2020-11-26T08:53:00Z</dcterms:created>
  <dcterms:modified xsi:type="dcterms:W3CDTF">2021-09-07T11:52:00Z</dcterms:modified>
</cp:coreProperties>
</file>