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4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595"/>
        <w:gridCol w:w="646"/>
        <w:gridCol w:w="735"/>
        <w:gridCol w:w="569"/>
        <w:gridCol w:w="155"/>
        <w:gridCol w:w="126"/>
        <w:gridCol w:w="444"/>
        <w:gridCol w:w="554"/>
        <w:gridCol w:w="16"/>
        <w:gridCol w:w="269"/>
        <w:gridCol w:w="300"/>
        <w:gridCol w:w="353"/>
        <w:gridCol w:w="217"/>
        <w:gridCol w:w="259"/>
        <w:gridCol w:w="311"/>
        <w:gridCol w:w="80"/>
        <w:gridCol w:w="71"/>
        <w:gridCol w:w="419"/>
        <w:gridCol w:w="113"/>
        <w:gridCol w:w="405"/>
        <w:gridCol w:w="51"/>
        <w:gridCol w:w="251"/>
        <w:gridCol w:w="319"/>
        <w:gridCol w:w="317"/>
        <w:gridCol w:w="253"/>
        <w:gridCol w:w="570"/>
        <w:gridCol w:w="115"/>
        <w:gridCol w:w="1424"/>
        <w:gridCol w:w="10"/>
      </w:tblGrid>
      <w:tr w:rsidR="00654C69" w:rsidRPr="007A465B" w:rsidTr="00B36CEF">
        <w:trPr>
          <w:gridAfter w:val="1"/>
          <w:wAfter w:w="10" w:type="dxa"/>
          <w:trHeight w:val="1611"/>
        </w:trPr>
        <w:tc>
          <w:tcPr>
            <w:tcW w:w="662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0CB2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bookmarkStart w:id="0" w:name="t1"/>
            <w:r w:rsidRPr="00D93F89">
              <w:rPr>
                <w:rFonts w:ascii="Times New Roman" w:hAnsi="Times New Roman"/>
                <w:b/>
              </w:rPr>
              <w:t>Nazwa projektu</w:t>
            </w:r>
          </w:p>
          <w:p w:rsidR="00654C69" w:rsidRPr="009B0692" w:rsidRDefault="009B0692" w:rsidP="000D363B">
            <w:pPr>
              <w:spacing w:line="240" w:lineRule="auto"/>
              <w:ind w:left="38"/>
              <w:jc w:val="both"/>
              <w:rPr>
                <w:rFonts w:ascii="Times New Roman" w:hAnsi="Times New Roman"/>
              </w:rPr>
            </w:pPr>
            <w:r w:rsidRPr="009B0692">
              <w:rPr>
                <w:rFonts w:ascii="Times New Roman" w:hAnsi="Times New Roman"/>
              </w:rPr>
              <w:t>Projekt uchwały Rady Ministrów zmieniającej uchwałę w sprawie zatwierdzenia Programu Ochrony Ludności i Obrony Cywilnej na lata 2025–2026</w:t>
            </w:r>
          </w:p>
          <w:p w:rsidR="004D7F01" w:rsidRPr="00D93F89" w:rsidRDefault="004D7F01" w:rsidP="00656E15">
            <w:pPr>
              <w:spacing w:line="240" w:lineRule="auto"/>
              <w:ind w:hanging="45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>Ministerstwo wiodące i ministerstwa współpracujące</w:t>
            </w:r>
          </w:p>
          <w:bookmarkEnd w:id="0"/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</w:rPr>
              <w:t>Ministerstwo Spraw Wewnętrznych i Administracji</w:t>
            </w: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 xml:space="preserve">Osoba odpowiedzialna za projekt w randze Ministra, Sekretarza Stanu lub Podsekretarza Stanu </w:t>
            </w:r>
          </w:p>
          <w:p w:rsidR="00CC740D" w:rsidRPr="00D93F89" w:rsidRDefault="00CC740D" w:rsidP="00656E15">
            <w:pPr>
              <w:spacing w:line="240" w:lineRule="auto"/>
              <w:ind w:left="38"/>
              <w:jc w:val="both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</w:rPr>
              <w:t xml:space="preserve">Pan Wiesław </w:t>
            </w:r>
            <w:r w:rsidR="00AF3E6C">
              <w:rPr>
                <w:rFonts w:ascii="Times New Roman" w:hAnsi="Times New Roman"/>
              </w:rPr>
              <w:t>Leśniakiewicz</w:t>
            </w:r>
            <w:r w:rsidRPr="00D93F89">
              <w:rPr>
                <w:rFonts w:ascii="Times New Roman" w:hAnsi="Times New Roman"/>
              </w:rPr>
              <w:t xml:space="preserve"> – </w:t>
            </w:r>
            <w:r w:rsidR="00AF3E6C">
              <w:rPr>
                <w:rFonts w:ascii="Times New Roman" w:hAnsi="Times New Roman"/>
              </w:rPr>
              <w:t>Pods</w:t>
            </w:r>
            <w:r w:rsidRPr="00D93F89">
              <w:rPr>
                <w:rFonts w:ascii="Times New Roman" w:hAnsi="Times New Roman"/>
              </w:rPr>
              <w:t>ekretarz Stanu w Ministerstwie Spraw Wewnętrznych i Administracji</w:t>
            </w: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D93F89" w:rsidRDefault="00654C69" w:rsidP="00656E15">
            <w:pPr>
              <w:spacing w:line="240" w:lineRule="auto"/>
              <w:ind w:left="38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>Kontakt do opiekuna merytorycznego projektu</w:t>
            </w:r>
          </w:p>
          <w:p w:rsidR="00654C69" w:rsidRPr="00D93F89" w:rsidRDefault="00CC740D" w:rsidP="002138F7">
            <w:pPr>
              <w:spacing w:after="40" w:line="240" w:lineRule="auto"/>
              <w:ind w:left="38"/>
              <w:rPr>
                <w:rFonts w:ascii="Times New Roman" w:hAnsi="Times New Roman"/>
                <w:highlight w:val="yellow"/>
              </w:rPr>
            </w:pPr>
            <w:r w:rsidRPr="00D93F89">
              <w:rPr>
                <w:rFonts w:ascii="Times New Roman" w:hAnsi="Times New Roman"/>
              </w:rPr>
              <w:t>Pan Michał Pawłowski –</w:t>
            </w:r>
            <w:r w:rsidR="00613275">
              <w:rPr>
                <w:rFonts w:ascii="Times New Roman" w:hAnsi="Times New Roman"/>
              </w:rPr>
              <w:t xml:space="preserve"> </w:t>
            </w:r>
            <w:r w:rsidR="002138F7">
              <w:rPr>
                <w:rFonts w:ascii="Times New Roman" w:hAnsi="Times New Roman"/>
              </w:rPr>
              <w:t>Dyrektor</w:t>
            </w:r>
            <w:r w:rsidRPr="00D93F89">
              <w:rPr>
                <w:rFonts w:ascii="Times New Roman" w:hAnsi="Times New Roman"/>
              </w:rPr>
              <w:t xml:space="preserve"> </w:t>
            </w:r>
            <w:r w:rsidRPr="00D93F89">
              <w:rPr>
                <w:rFonts w:ascii="Times New Roman" w:hAnsi="Times New Roman"/>
              </w:rPr>
              <w:br/>
              <w:t>Departamentu Ochrony Ludności i Zar</w:t>
            </w:r>
            <w:r w:rsidR="002B13EC" w:rsidRPr="00D93F89">
              <w:rPr>
                <w:rFonts w:ascii="Times New Roman" w:hAnsi="Times New Roman"/>
              </w:rPr>
              <w:t xml:space="preserve">ządzania Kryzysowego w MSWiA, </w:t>
            </w:r>
            <w:r w:rsidRPr="00D93F89">
              <w:rPr>
                <w:rFonts w:ascii="Times New Roman" w:hAnsi="Times New Roman"/>
              </w:rPr>
              <w:t>tel. 47 728 52 07 e-mail: sekretariat.dolizk@mswia.gov.pl.</w:t>
            </w:r>
          </w:p>
        </w:tc>
        <w:tc>
          <w:tcPr>
            <w:tcW w:w="4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  <w:b/>
              </w:rPr>
              <w:t>Data sporządzenia</w:t>
            </w:r>
            <w:r w:rsidRPr="00D93F89">
              <w:rPr>
                <w:rFonts w:ascii="Times New Roman" w:hAnsi="Times New Roman"/>
                <w:b/>
              </w:rPr>
              <w:br/>
            </w:r>
            <w:r w:rsidR="00F50268">
              <w:rPr>
                <w:rFonts w:ascii="Times New Roman" w:hAnsi="Times New Roman"/>
              </w:rPr>
              <w:t>29</w:t>
            </w:r>
            <w:r w:rsidR="00CF2D75">
              <w:rPr>
                <w:rFonts w:ascii="Times New Roman" w:hAnsi="Times New Roman"/>
              </w:rPr>
              <w:t xml:space="preserve"> </w:t>
            </w:r>
            <w:r w:rsidR="00F72C18">
              <w:rPr>
                <w:rFonts w:ascii="Times New Roman" w:hAnsi="Times New Roman"/>
              </w:rPr>
              <w:t>września</w:t>
            </w:r>
            <w:r w:rsidR="00D647F6">
              <w:rPr>
                <w:rFonts w:ascii="Times New Roman" w:hAnsi="Times New Roman"/>
              </w:rPr>
              <w:t xml:space="preserve"> </w:t>
            </w:r>
            <w:r w:rsidR="00B67F13">
              <w:rPr>
                <w:rFonts w:ascii="Times New Roman" w:hAnsi="Times New Roman"/>
              </w:rPr>
              <w:t>2026</w:t>
            </w:r>
            <w:r w:rsidRPr="00D93F89">
              <w:rPr>
                <w:rFonts w:ascii="Times New Roman" w:hAnsi="Times New Roman"/>
              </w:rPr>
              <w:t xml:space="preserve"> r.</w:t>
            </w:r>
          </w:p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b/>
                <w:highlight w:val="yellow"/>
              </w:rPr>
            </w:pPr>
          </w:p>
          <w:p w:rsidR="00654C69" w:rsidRPr="00D93F89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D93F89">
              <w:rPr>
                <w:rFonts w:ascii="Times New Roman" w:hAnsi="Times New Roman"/>
                <w:b/>
              </w:rPr>
              <w:t xml:space="preserve">Źródło: </w:t>
            </w:r>
          </w:p>
          <w:p w:rsidR="00654C69" w:rsidRPr="00D93F89" w:rsidRDefault="002E3A9B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</w:rPr>
              <w:t>Inicjatywa własna</w:t>
            </w:r>
            <w:r w:rsidR="009B0692">
              <w:rPr>
                <w:rFonts w:ascii="Times New Roman" w:hAnsi="Times New Roman"/>
              </w:rPr>
              <w:t xml:space="preserve"> </w:t>
            </w:r>
          </w:p>
          <w:p w:rsidR="00654C69" w:rsidRPr="00D647F6" w:rsidRDefault="00EB541A" w:rsidP="00D647F6">
            <w:pPr>
              <w:spacing w:before="240" w:line="240" w:lineRule="auto"/>
              <w:rPr>
                <w:rFonts w:ascii="Times New Roman" w:hAnsi="Times New Roman"/>
                <w:b/>
              </w:rPr>
            </w:pPr>
            <w:r w:rsidRPr="00D93F89">
              <w:rPr>
                <w:rFonts w:ascii="Times New Roman" w:hAnsi="Times New Roman"/>
                <w:b/>
              </w:rPr>
              <w:t>Nr w wykazie prac:</w:t>
            </w:r>
            <w:r w:rsidR="00613275">
              <w:rPr>
                <w:rFonts w:ascii="Times New Roman" w:hAnsi="Times New Roman"/>
                <w:b/>
              </w:rPr>
              <w:t xml:space="preserve"> </w:t>
            </w:r>
            <w:r w:rsidR="000D363B">
              <w:rPr>
                <w:rFonts w:ascii="Times New Roman" w:hAnsi="Times New Roman"/>
                <w:b/>
              </w:rPr>
              <w:t>ID 294</w:t>
            </w:r>
          </w:p>
          <w:p w:rsidR="00654C69" w:rsidRPr="00D93F89" w:rsidRDefault="00654C69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7A465B" w:rsidRDefault="00654C69">
            <w:pPr>
              <w:spacing w:line="240" w:lineRule="auto"/>
              <w:ind w:left="57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z w:val="32"/>
                <w:szCs w:val="32"/>
              </w:rPr>
              <w:t>OCENA SKUTKÓW REGULACJI</w:t>
            </w:r>
          </w:p>
        </w:tc>
      </w:tr>
      <w:tr w:rsidR="00654C69" w:rsidRPr="007A465B" w:rsidTr="006C677B">
        <w:trPr>
          <w:gridAfter w:val="1"/>
          <w:wAfter w:w="10" w:type="dxa"/>
          <w:trHeight w:val="333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Jaki problem jest rozwiązywany?</w:t>
            </w:r>
            <w:bookmarkStart w:id="1" w:name="Wybór1"/>
            <w:bookmarkEnd w:id="1"/>
          </w:p>
        </w:tc>
      </w:tr>
      <w:tr w:rsidR="000B6B8A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bookmarkStart w:id="2" w:name="_GoBack" w:colFirst="0" w:colLast="0"/>
            <w:r>
              <w:rPr>
                <w:rFonts w:ascii="Times New Roman" w:eastAsia="Times New Roman" w:hAnsi="Times New Roman"/>
                <w:lang w:eastAsia="pl-PL"/>
              </w:rPr>
              <w:t>Celem projektu jest nowelizacja uchwały nr 72 Rady Ministrów z dnia 27 maja 2025 r. w sprawie zatwierdzenia Programu Ochrony Ludności i Obrony Cywilnej na lata 2025-2026 (M.P. poz. 541 i 1143).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Bieżący monitoring Programu wykazał wysokie ryzyko niewydatkowania środków w ujęciu rocznym przez województwa i część centralną. Główną przyczyną jest sztywny podział środków finansowych, uniemożliwiający sprawne reagowanie na zjawiska powstające na etapie wydatkowania środków, dotyczące m.in. przebiegu realizacji poszczególnych inwestycji i zakupów. Największe zagrożenie zidentyfikowano w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Obszarze 1 (Obiekty zbiorowej ochrony)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ze względu na czas trwania realizacji inwestycji oraz wymogów formalnych procesu budowlanego.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Na dzień 10 września 2026 r. w Obszarze 1 z przyznanych 1 994 787 695,85 zł zawarto umowy na kwotę 1 205 046 550,83 zł (60,41%), a rzeczywiste wykonanie na podstawie rozliczonych faktur wynosi zaledwie 24 320 897,15 zł.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Przy niecałych 4 miesiącach do końca roku budżetowego, wolne limity (w tym blisko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789,7 mln zł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środków niezakontraktowanych) są zagrożone niewydatkowaniem. Środki te mogą zostać efektywnie wykorzystane w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Obszarze 3 (</w:t>
            </w:r>
            <w:r>
              <w:rPr>
                <w:rFonts w:ascii="Times New Roman" w:hAnsi="Times New Roman"/>
              </w:rPr>
              <w:t>Utrzymanie i rozwój podmiotów ochrony ludności i organizacji pozarządowych, w tym krajowego systemu ratowniczo-gaśniczego, Państwowego Ratownictwa Medycznego i jednostek ochrony przeciwpożarowej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, wykazującym natychmiastową gotowość zakupową deklarowaną przez Państwową Straż Pożarną (PSP), jak również w obszarze 5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(</w:t>
            </w:r>
            <w:r>
              <w:rPr>
                <w:rFonts w:ascii="Times New Roman" w:hAnsi="Times New Roman"/>
              </w:rPr>
              <w:t>Bezpieczna Łączność Państwowa oraz alarmowanie, ostrzeganie i powiadamianie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), w zakresie którego wojewodowie nie otrzymali środków finansowych (ale mogliby je przeznaczyć na zadania w tym obszarze po dokonaniu przesunięć wolnych środków)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oraz w pozostałych obszarach Programu.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Nowy mechanizm pozwoli także wojewodom na bieżące reagowanie na zwroty dotacji celowych przez jednostki samorządu terytorialnego. W przypadku rezygnacji samorządu z realizacji zadania, zwrócone środki nie ulegną zablokowaniu, lecz zostaną niezwłocznie przekierowane na pilne zakupy sprzętowe lub inne priorytetowe działania podmiotów ochrony ludności.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Wdrożenie elastycznego zarządzania przesunięciami pozwoli na natychmiastowe przekierowanie wolnych zasobów do obszarów o najwyższej gotowości realizacyjnej, co zapewni pełne wykorzystanie budżetu usprawni realizację Programu. 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Wprowadzenie elastycznego mechanizmu relokacji nie modyfikuje łącznego limitu wydatków nie zmienia źródeł finansowania Programu, zachowując jego wewnętrzny charakter bezkosztowy. Przesunięcia dotyczą wyłącznie środków niemożliwych do zagospodarowania w 2026 roku z przyczyn proceduralno-budowlanych, co chroni środki przed zwrotem do budżetu państwa.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Druga nowelizacja Programu stanowi odpowiedź na konieczność realizacji zadań związanych z ochroną przed zagrożeniami uderzenia z powietrza, występującymi szczególnie na wschodniej granicy kraju. Wydatkowanie środków na wyposażenie dla Straży Granicznej zostało wprowadzone ustawą o zmianie ustawy o ochronie ludności i obronie cywilnej, która weszła w życie z dniem 29 maja 2026 r.</w:t>
            </w:r>
          </w:p>
        </w:tc>
      </w:tr>
      <w:tr w:rsidR="000B6B8A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0B6B8A" w:rsidRDefault="000B6B8A" w:rsidP="000B6B8A">
            <w:pPr>
              <w:numPr>
                <w:ilvl w:val="0"/>
                <w:numId w:val="16"/>
              </w:numPr>
              <w:spacing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>Rekomendowane rozwiązanie, w tym planowane narzędzia interwencji, i oczekiwany efekt</w:t>
            </w:r>
          </w:p>
        </w:tc>
      </w:tr>
      <w:tr w:rsidR="000B6B8A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Projekt przewiduje nowelizację załącznika do uchwały nr 72 Rady Ministrów z dnia 27 maja 2025 r. przez wprowadzenie systemowego mechanizmu elastycznego przenoszenia środków finansowych w roku budżetowym 2026. </w:t>
            </w:r>
          </w:p>
          <w:p w:rsidR="000B6B8A" w:rsidRDefault="000B6B8A" w:rsidP="000B6B8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Wprowadzona zostanie możliwość dokonywania przesunięć finansowych pomiędzy pięcioma komponentami zadaniowymi Programu: Obszarem 1 (Obiekty zbiorowej ochrony), Obszarem 2 (Zabezpieczenie logistyczne i zapewnienie ciągłości dostaw), Obszarem 3 (Utrzymanie i rozwój podmiotów ochrony ludności i organizacji pozarządowych, w tym krajowego systemu ratowniczo-gaśniczego, Państwowego Ratownictwa Medycznego i jednostek ochrony przeciwpożarowej), Obszarem 4 (Edukacja, szkolenia oraz baza i zaplecze szkoleniowe), Obszarem 5 </w:t>
            </w:r>
            <w:r>
              <w:rPr>
                <w:rFonts w:ascii="Times New Roman" w:eastAsia="Times New Roman" w:hAnsi="Times New Roman"/>
                <w:bCs/>
                <w:lang w:eastAsia="pl-PL"/>
              </w:rPr>
              <w:t>(Bezpieczna Łączność Państwowa oraz alarmowanie, ostrzeganie i powiadamianie)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oraz Obszarem 6 (Korpus obrony cywilnej). Rozwiązanie to zastępuje dotychczasowe ograniczenie dopuszczające relokację środków wyłącznie pomiędzy Obszarem 1 a Obszarem 2.</w:t>
            </w:r>
            <w:r>
              <w:t xml:space="preserve"> </w:t>
            </w:r>
            <w:r>
              <w:rPr>
                <w:rFonts w:ascii="Times New Roman" w:hAnsi="Times New Roman"/>
              </w:rPr>
              <w:t xml:space="preserve">Przesunięcia środków finansowych będą mogły nastąpić wyłącznie w przypadku braku możliwości </w:t>
            </w:r>
            <w:r>
              <w:rPr>
                <w:rFonts w:ascii="Times New Roman" w:hAnsi="Times New Roman"/>
              </w:rPr>
              <w:lastRenderedPageBreak/>
              <w:t xml:space="preserve">wydatkowania ich w obszarze, do którego zostały przypisane i będą dokonywane zgodnie z zasadami i w trybie określonym w ustawie z dnia 27 sierpnia 2009 r. o finansach publicznych. </w:t>
            </w:r>
          </w:p>
          <w:p w:rsidR="000B6B8A" w:rsidRDefault="000B6B8A" w:rsidP="000B6B8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W 2026 r. dopuszcza się przenoszenie środków finansowych pomiędzy obszarami 1–6. Łączna suma przeniesień między obszarami, z wyjątkiem przeniesień z obszaru 1 do obszaru 2, może wynosić nie więcej niż 15% środków finansowych, o których mowa w art. 155 ust. 2 pkt 3 ustawy z dnia 5 grudnia 2024 r. o ochronie ludności i obronie cywilnej. </w:t>
            </w:r>
          </w:p>
          <w:p w:rsidR="000B6B8A" w:rsidRDefault="000B6B8A" w:rsidP="000B6B8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Do podjęcia decyzji o przesunięciu środków między obszarami będzie upoważniony właściwy dysponent. Zakupy inwestycyjne i inwestycje budowlane będą opiniowane zgodnie z dotychczasowymi zasadami Programu, co umożliwi kontrolę zasadności najistotniejszych przesunięć. </w:t>
            </w:r>
          </w:p>
          <w:p w:rsidR="000B6B8A" w:rsidRDefault="000B6B8A" w:rsidP="000B6B8A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Przesunięcia środków nie wpłyną na realizację priorytetów Programu, gdyż przeniesienie środków będzie możliwe jedynie w przypadku braku możliwości wydatkowania ich w 2026 r. w pierwotnie przypisanym obszarze, tak więc przesunięcie będzie następstwem, nie zaś przyczyną braku realizacji części zadań w obszarze.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Proponowana nowelizacja nie modyfikuje łącznego limitu środków przewidzianych na realizację zadań Programu, a jej skutki koncentrują się wyłącznie na optymalizacji wewnętrznych procedur ich wydatkowania z zachowaniem zasad dyscypliny finansów publicznych.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Uelastycznienie zasad dysponowania środkami pozwoli na optymalne zarządzanie budżetem Programu oraz istotnie zwiększy dynamikę i efektywność budowy systemu ochrony ludności. Możliwość sprawnego finansowania zadań wykazujących pełną gotowość realizacyjną zapewni utrzymanie wysokiej gotowości operacyjno-technicznej komponentów sprzętowych oraz logistyczno-magazynowych w województwach. Działania te realnie przełożą się na podniesienie odporności państwa oraz wzrost poziomu bezpieczeństwa obywateli w roku budżetowym 2026.</w:t>
            </w:r>
          </w:p>
          <w:p w:rsidR="000B6B8A" w:rsidRDefault="000B6B8A" w:rsidP="000B6B8A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Dodanie nowego zadania w Obszarze 5 umożliwi realizację przedsięwzięć ochrony infrastruktury, w tym infrastruktury krytycznej, przed zagrożeniami uderzenia z powietrza, w tym użycia bezzałogowych statków powietrznych.</w:t>
            </w:r>
          </w:p>
        </w:tc>
      </w:tr>
      <w:bookmarkEnd w:id="2"/>
      <w:tr w:rsidR="00654C69" w:rsidRPr="007A465B" w:rsidTr="006C677B">
        <w:trPr>
          <w:gridAfter w:val="1"/>
          <w:wAfter w:w="10" w:type="dxa"/>
          <w:trHeight w:val="307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pacing w:val="-2"/>
              </w:rPr>
              <w:lastRenderedPageBreak/>
              <w:t>Jak problem został rozwiązany w innych krajach, w szczególności krajach członkowskich OECD/UE</w:t>
            </w:r>
            <w:r w:rsidRPr="007A465B">
              <w:rPr>
                <w:rFonts w:ascii="Times New Roman" w:hAnsi="Times New Roman"/>
                <w:b/>
              </w:rPr>
              <w:t>?</w:t>
            </w:r>
            <w:r w:rsidRPr="007A465B">
              <w:rPr>
                <w:rFonts w:ascii="Times New Roman" w:hAnsi="Times New Roman"/>
                <w:i/>
              </w:rPr>
              <w:t xml:space="preserve">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541A" w:rsidRPr="009B0692" w:rsidRDefault="00B844A6" w:rsidP="00EB57D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Rozwiązania międzynarodowe pozostają bez wpływu na przedmiotową regulację. </w:t>
            </w:r>
          </w:p>
        </w:tc>
      </w:tr>
      <w:tr w:rsidR="00654C69" w:rsidRPr="007A465B" w:rsidTr="006C677B">
        <w:trPr>
          <w:gridAfter w:val="1"/>
          <w:wAfter w:w="10" w:type="dxa"/>
          <w:trHeight w:val="359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Podmioty, na które oddziałuje projekt</w:t>
            </w:r>
          </w:p>
        </w:tc>
      </w:tr>
      <w:tr w:rsidR="00654C69" w:rsidRPr="007A465B" w:rsidTr="00DA2484">
        <w:trPr>
          <w:gridAfter w:val="1"/>
          <w:wAfter w:w="10" w:type="dxa"/>
          <w:trHeight w:val="142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Grupa</w:t>
            </w:r>
          </w:p>
        </w:tc>
        <w:tc>
          <w:tcPr>
            <w:tcW w:w="2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Wielkość</w:t>
            </w:r>
          </w:p>
        </w:tc>
        <w:tc>
          <w:tcPr>
            <w:tcW w:w="1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 xml:space="preserve">Źródło danych </w:t>
            </w:r>
          </w:p>
        </w:tc>
        <w:tc>
          <w:tcPr>
            <w:tcW w:w="2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before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</w:rPr>
              <w:t>Oddziaływanie</w:t>
            </w:r>
          </w:p>
        </w:tc>
      </w:tr>
      <w:tr w:rsidR="00654C69" w:rsidRPr="007A465B" w:rsidTr="00DA2484">
        <w:trPr>
          <w:gridAfter w:val="1"/>
          <w:wAfter w:w="10" w:type="dxa"/>
          <w:trHeight w:val="142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B43441" w:rsidP="00B43441">
            <w:pPr>
              <w:tabs>
                <w:tab w:val="left" w:pos="1560"/>
              </w:tabs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Podmioty ochrony ludności</w:t>
            </w:r>
          </w:p>
        </w:tc>
        <w:tc>
          <w:tcPr>
            <w:tcW w:w="2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BA5857" w:rsidP="00EB541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Brak danych na poziomie centralnym odnośnie wielkości grupy podmiotów ochrony ludności </w:t>
            </w:r>
          </w:p>
        </w:tc>
        <w:tc>
          <w:tcPr>
            <w:tcW w:w="1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487753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2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B36CEF" w:rsidP="00EB541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Realizacja Programu Ochrony Ludności i Obrony Cywilnej</w:t>
            </w:r>
            <w:r w:rsidR="00663DD5">
              <w:rPr>
                <w:rFonts w:ascii="Times New Roman" w:hAnsi="Times New Roman"/>
              </w:rPr>
              <w:t xml:space="preserve"> </w:t>
            </w:r>
          </w:p>
        </w:tc>
      </w:tr>
      <w:tr w:rsidR="00281A7B" w:rsidRPr="007A465B" w:rsidTr="00DA2484">
        <w:trPr>
          <w:gridAfter w:val="1"/>
          <w:wAfter w:w="10" w:type="dxa"/>
          <w:trHeight w:val="142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A7B" w:rsidRDefault="00B43441" w:rsidP="00EB541A">
            <w:pPr>
              <w:tabs>
                <w:tab w:val="left" w:pos="15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Organy ochrony ludności</w:t>
            </w:r>
          </w:p>
        </w:tc>
        <w:tc>
          <w:tcPr>
            <w:tcW w:w="2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3F89" w:rsidRPr="000D363B" w:rsidRDefault="00BA5857" w:rsidP="00C64056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 w:rsidRPr="000D363B">
              <w:rPr>
                <w:rFonts w:ascii="Times New Roman" w:hAnsi="Times New Roman"/>
                <w:spacing w:val="-2"/>
              </w:rPr>
              <w:t>Wojewodowie – 16, starostowie i prezydenci miast na prawach powiatu – 380,</w:t>
            </w:r>
          </w:p>
          <w:p w:rsidR="008F693E" w:rsidRPr="000D363B" w:rsidRDefault="00BA5857" w:rsidP="00C64056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0D363B">
              <w:rPr>
                <w:rFonts w:ascii="Times New Roman" w:hAnsi="Times New Roman"/>
                <w:spacing w:val="-2"/>
              </w:rPr>
              <w:t xml:space="preserve">wójtowie </w:t>
            </w:r>
            <w:r w:rsidR="00D93F89" w:rsidRPr="000D363B">
              <w:rPr>
                <w:rFonts w:ascii="Times New Roman" w:hAnsi="Times New Roman"/>
                <w:spacing w:val="-2"/>
              </w:rPr>
              <w:t>–</w:t>
            </w:r>
            <w:r w:rsidRPr="000D363B">
              <w:rPr>
                <w:rFonts w:ascii="Times New Roman" w:hAnsi="Times New Roman"/>
                <w:spacing w:val="-2"/>
              </w:rPr>
              <w:t xml:space="preserve"> 2479</w:t>
            </w:r>
            <w:r w:rsidR="008F693E" w:rsidRPr="000D363B">
              <w:rPr>
                <w:rFonts w:ascii="Times New Roman" w:hAnsi="Times New Roman"/>
                <w:spacing w:val="-2"/>
              </w:rPr>
              <w:t xml:space="preserve">, </w:t>
            </w:r>
            <w:r w:rsidR="008F693E" w:rsidRPr="000D363B">
              <w:rPr>
                <w:rFonts w:ascii="Times New Roman" w:hAnsi="Times New Roman"/>
                <w:shd w:val="clear" w:color="auto" w:fill="FFFFFF"/>
              </w:rPr>
              <w:t xml:space="preserve">marszałkowie województwa -16, minister właściwy do spraw wewnętrznych, </w:t>
            </w:r>
            <w:r w:rsidR="008F693E" w:rsidRPr="000D363B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minister kierujący działem administracji rządowej, któremu podlegają lub przez którego są nadzorowane </w:t>
            </w:r>
            <w:r w:rsidR="008F693E" w:rsidRPr="000D363B">
              <w:rPr>
                <w:rFonts w:ascii="Times New Roman" w:eastAsia="Times New Roman" w:hAnsi="Times New Roman"/>
                <w:lang w:eastAsia="pl-PL"/>
              </w:rPr>
              <w:t>podmioty ochrony ludności oraz</w:t>
            </w:r>
          </w:p>
          <w:p w:rsidR="008F693E" w:rsidRPr="000D363B" w:rsidRDefault="008F693E" w:rsidP="008F693E">
            <w:pPr>
              <w:shd w:val="clear" w:color="auto" w:fill="FFFFFF"/>
              <w:suppressAutoHyphens w:val="0"/>
              <w:spacing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0D363B">
              <w:rPr>
                <w:rFonts w:ascii="Times New Roman" w:eastAsia="Times New Roman" w:hAnsi="Times New Roman"/>
                <w:lang w:eastAsia="pl-PL"/>
              </w:rPr>
              <w:t>organy obsługiwane przez podmioty ochrony ludności</w:t>
            </w:r>
          </w:p>
          <w:p w:rsidR="00281A7B" w:rsidRDefault="008F693E" w:rsidP="008F69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1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1A7B" w:rsidRDefault="00BA5857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własne</w:t>
            </w:r>
          </w:p>
        </w:tc>
        <w:tc>
          <w:tcPr>
            <w:tcW w:w="2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3DD5" w:rsidRDefault="00B36CEF" w:rsidP="00D93F8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Realizacja Programu Ochrony Ludności i Obrony Cywilnej</w:t>
            </w:r>
            <w:r w:rsidR="00663DD5">
              <w:rPr>
                <w:rFonts w:ascii="Times New Roman" w:hAnsi="Times New Roman"/>
              </w:rPr>
              <w:t xml:space="preserve"> </w:t>
            </w:r>
          </w:p>
        </w:tc>
      </w:tr>
      <w:tr w:rsidR="00C64056" w:rsidRPr="007A465B" w:rsidTr="00DA2484">
        <w:trPr>
          <w:gridAfter w:val="1"/>
          <w:wAfter w:w="10" w:type="dxa"/>
          <w:trHeight w:val="142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056" w:rsidRDefault="00C64056" w:rsidP="00EB541A">
            <w:pPr>
              <w:tabs>
                <w:tab w:val="left" w:pos="1560"/>
              </w:tabs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Straż Graniczna</w:t>
            </w:r>
          </w:p>
        </w:tc>
        <w:tc>
          <w:tcPr>
            <w:tcW w:w="269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056" w:rsidRPr="000D363B" w:rsidRDefault="00C64056" w:rsidP="00C64056">
            <w:pPr>
              <w:spacing w:line="240" w:lineRule="auto"/>
              <w:jc w:val="center"/>
              <w:rPr>
                <w:rFonts w:ascii="Times New Roman" w:hAnsi="Times New Roman"/>
                <w:spacing w:val="-2"/>
              </w:rPr>
            </w:pPr>
            <w:r>
              <w:rPr>
                <w:rFonts w:ascii="Times New Roman" w:hAnsi="Times New Roman"/>
                <w:spacing w:val="-2"/>
              </w:rPr>
              <w:t>1</w:t>
            </w:r>
          </w:p>
        </w:tc>
        <w:tc>
          <w:tcPr>
            <w:tcW w:w="17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056" w:rsidRDefault="00C6405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Dane własne</w:t>
            </w:r>
          </w:p>
        </w:tc>
        <w:tc>
          <w:tcPr>
            <w:tcW w:w="29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64056" w:rsidRDefault="00C64056" w:rsidP="00BF018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Możliwość przeznaczania środków na realizację zadania </w:t>
            </w:r>
            <w:r>
              <w:rPr>
                <w:rFonts w:ascii="Times New Roman" w:eastAsia="Times New Roman" w:hAnsi="Times New Roman"/>
                <w:lang w:eastAsia="pl-PL"/>
              </w:rPr>
              <w:t>ochrony infrastruktury, w tym infrastruktury krytycznej, przed zagrożeniami uderzeniami z powietrza, w</w:t>
            </w:r>
            <w:r w:rsidR="00BF018E">
              <w:rPr>
                <w:rFonts w:ascii="Times New Roman" w:eastAsia="Times New Roman" w:hAnsi="Times New Roman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lang w:eastAsia="pl-PL"/>
              </w:rPr>
              <w:t>tym użyciem bezzałogowych statków powietrznych</w:t>
            </w:r>
          </w:p>
        </w:tc>
      </w:tr>
      <w:tr w:rsidR="00654C69" w:rsidRPr="007A465B" w:rsidTr="006C677B">
        <w:trPr>
          <w:gridAfter w:val="1"/>
          <w:wAfter w:w="10" w:type="dxa"/>
          <w:trHeight w:val="30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</w:rPr>
              <w:t>Informacje na temat zakresu, czasu trwania i podsumowanie wyników konsultacji</w:t>
            </w:r>
          </w:p>
        </w:tc>
      </w:tr>
      <w:tr w:rsidR="00654C69" w:rsidRPr="007A465B" w:rsidTr="006C677B">
        <w:trPr>
          <w:gridAfter w:val="1"/>
          <w:wAfter w:w="10" w:type="dxa"/>
          <w:trHeight w:val="3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72507" w:rsidRDefault="00BE0C7F" w:rsidP="00772507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Projekt uchwały został udostępniony w Biuletynie Informacji Publicznej na stronie podmiotowej Ministerstwa Spraw Wewnętrznych i Administracji</w:t>
            </w:r>
            <w:r w:rsidR="00D1372D" w:rsidRPr="00D1372D">
              <w:rPr>
                <w:rFonts w:ascii="Times New Roman" w:eastAsia="Times New Roman" w:hAnsi="Times New Roman"/>
                <w:lang w:eastAsia="pl-PL"/>
              </w:rPr>
              <w:t xml:space="preserve">. </w:t>
            </w:r>
          </w:p>
          <w:p w:rsidR="00954A3E" w:rsidRDefault="00874B60" w:rsidP="00772507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lastRenderedPageBreak/>
              <w:t>Z</w:t>
            </w:r>
            <w:r w:rsidR="00D1372D" w:rsidRPr="00D1372D">
              <w:rPr>
                <w:rFonts w:ascii="Times New Roman" w:eastAsia="Times New Roman" w:hAnsi="Times New Roman"/>
                <w:lang w:eastAsia="pl-PL"/>
              </w:rPr>
              <w:t xml:space="preserve"> uwagi na bezpośredni wpływ na finansowanie zadań szczebla regionalnego i lokalnego, projekt zosta</w:t>
            </w:r>
            <w:r w:rsidR="000D363B">
              <w:rPr>
                <w:rFonts w:ascii="Times New Roman" w:eastAsia="Times New Roman" w:hAnsi="Times New Roman"/>
                <w:lang w:eastAsia="pl-PL"/>
              </w:rPr>
              <w:t>ł</w:t>
            </w:r>
            <w:r w:rsidR="00D1372D" w:rsidRPr="00D1372D">
              <w:rPr>
                <w:rFonts w:ascii="Times New Roman" w:eastAsia="Times New Roman" w:hAnsi="Times New Roman"/>
                <w:lang w:eastAsia="pl-PL"/>
              </w:rPr>
              <w:t xml:space="preserve"> przekazany do zaopiniowania wojewodom.</w:t>
            </w:r>
          </w:p>
          <w:p w:rsidR="0002728D" w:rsidRPr="00D1372D" w:rsidRDefault="0002728D" w:rsidP="000D363B">
            <w:pPr>
              <w:suppressAutoHyphens w:val="0"/>
              <w:spacing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Projekt zosta</w:t>
            </w:r>
            <w:r w:rsidR="000D363B">
              <w:rPr>
                <w:rFonts w:ascii="Times New Roman" w:eastAsia="Times New Roman" w:hAnsi="Times New Roman"/>
                <w:lang w:eastAsia="pl-PL"/>
              </w:rPr>
              <w:t>ł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przekazany do opiniowania Komisji Wspólnej Rządu i Samorządu Terytorialnego. </w:t>
            </w:r>
          </w:p>
        </w:tc>
      </w:tr>
      <w:tr w:rsidR="00654C69" w:rsidRPr="007A465B" w:rsidTr="006C677B">
        <w:trPr>
          <w:gridAfter w:val="1"/>
          <w:wAfter w:w="10" w:type="dxa"/>
          <w:trHeight w:val="363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eastAsia="Times New Roman" w:hAnsi="Times New Roman"/>
                <w:b/>
              </w:rPr>
              <w:lastRenderedPageBreak/>
              <w:t xml:space="preserve"> </w:t>
            </w:r>
            <w:r w:rsidRPr="007A465B">
              <w:rPr>
                <w:rFonts w:ascii="Times New Roman" w:hAnsi="Times New Roman"/>
                <w:b/>
              </w:rPr>
              <w:t>Wpływ na sektor finansów publicznych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29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(ceny stałe z …… r.)</w:t>
            </w:r>
          </w:p>
        </w:tc>
        <w:tc>
          <w:tcPr>
            <w:tcW w:w="796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Skutki w okresie 10 lat od wejścia w życie zmian [mln zł]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29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before="40" w:after="40" w:line="240" w:lineRule="auto"/>
              <w:rPr>
                <w:rFonts w:ascii="Times New Roman" w:hAnsi="Times New Roman"/>
                <w:i/>
                <w:spacing w:val="-2"/>
                <w:sz w:val="21"/>
                <w:szCs w:val="21"/>
              </w:rPr>
            </w:pP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before="40" w:after="40"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i/>
                <w:spacing w:val="-2"/>
                <w:sz w:val="21"/>
                <w:szCs w:val="21"/>
              </w:rPr>
              <w:t>Łącznie (0-10)</w:t>
            </w:r>
          </w:p>
        </w:tc>
      </w:tr>
      <w:tr w:rsidR="007A3ABB" w:rsidRPr="007A465B" w:rsidTr="00B36CEF">
        <w:trPr>
          <w:trHeight w:val="321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Dochody ogółem</w:t>
            </w:r>
          </w:p>
        </w:tc>
        <w:tc>
          <w:tcPr>
            <w:tcW w:w="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21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44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44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(NFZ)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30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Wydatki ogółem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30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1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1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(oddzielnie)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60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z w:val="21"/>
                <w:szCs w:val="21"/>
              </w:rPr>
              <w:t>Saldo ogółem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60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budżet państwa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7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JST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7A3ABB" w:rsidRPr="007A465B" w:rsidTr="00B36CEF">
        <w:trPr>
          <w:trHeight w:val="357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A3ABB" w:rsidRPr="007A465B" w:rsidRDefault="007A3ABB" w:rsidP="007A3ABB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pozostałe jednostki (NFZ)</w:t>
            </w:r>
          </w:p>
        </w:tc>
        <w:tc>
          <w:tcPr>
            <w:tcW w:w="7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6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57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  <w:tc>
          <w:tcPr>
            <w:tcW w:w="154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ABB" w:rsidRDefault="007A3ABB" w:rsidP="007A3ABB">
            <w:pPr>
              <w:jc w:val="center"/>
            </w:pPr>
            <w:r w:rsidRPr="006171CB">
              <w:rPr>
                <w:rFonts w:ascii="Times New Roman" w:hAnsi="Times New Roman"/>
              </w:rPr>
              <w:t>–</w:t>
            </w:r>
          </w:p>
        </w:tc>
      </w:tr>
      <w:tr w:rsidR="00654C69" w:rsidRPr="007A465B" w:rsidTr="00B36CEF">
        <w:trPr>
          <w:gridAfter w:val="1"/>
          <w:wAfter w:w="10" w:type="dxa"/>
          <w:trHeight w:val="348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t xml:space="preserve">Źródła finansowania </w:t>
            </w:r>
          </w:p>
        </w:tc>
        <w:tc>
          <w:tcPr>
            <w:tcW w:w="796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051B" w:rsidRPr="007A465B" w:rsidRDefault="0004051B" w:rsidP="007B1523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274"/>
        </w:trPr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t>Dodatkowe informacje, w tym wskazanie źródeł danych i przyjętych do obliczeń założeń</w:t>
            </w:r>
          </w:p>
        </w:tc>
        <w:tc>
          <w:tcPr>
            <w:tcW w:w="796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B1A44" w:rsidRDefault="00FB1A44" w:rsidP="00772507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FB1A44">
              <w:rPr>
                <w:rFonts w:ascii="Times New Roman" w:eastAsia="Times New Roman" w:hAnsi="Times New Roman"/>
                <w:lang w:eastAsia="pl-PL"/>
              </w:rPr>
              <w:t xml:space="preserve">Projektowana uchwała </w:t>
            </w:r>
            <w:r w:rsidRPr="00874B60">
              <w:rPr>
                <w:rFonts w:ascii="Times New Roman" w:eastAsia="Times New Roman" w:hAnsi="Times New Roman"/>
                <w:bCs/>
                <w:lang w:eastAsia="pl-PL"/>
              </w:rPr>
              <w:t>nie generuje dodatkowych kosztów</w:t>
            </w:r>
            <w:r w:rsidRPr="00FB1A44">
              <w:rPr>
                <w:rFonts w:ascii="Times New Roman" w:eastAsia="Times New Roman" w:hAnsi="Times New Roman"/>
                <w:lang w:eastAsia="pl-PL"/>
              </w:rPr>
              <w:t xml:space="preserve"> dla budżetu państwa ani dla budżetów jednostek samorządu terytorialnego. Zmiana ma charakter wyłącznie wewnętrzny i relokacyjny (przesunięcia bezkosztowe w ramach już zatwierdzonego zbiorczego budżetu POLiOC na rok 2026).</w:t>
            </w:r>
          </w:p>
          <w:p w:rsidR="007D3DA8" w:rsidRDefault="00B15F1B" w:rsidP="00772507">
            <w:pPr>
              <w:suppressAutoHyphens w:val="0"/>
              <w:spacing w:line="240" w:lineRule="auto"/>
              <w:jc w:val="both"/>
              <w:rPr>
                <w:rFonts w:ascii="Times New Roman" w:hAnsi="Times New Roman"/>
              </w:rPr>
            </w:pPr>
            <w:r w:rsidRPr="00857E95">
              <w:rPr>
                <w:rFonts w:ascii="Times New Roman" w:hAnsi="Times New Roman"/>
              </w:rPr>
              <w:t>Maksymalny pułap środków zagrożonych niewydatkowaniem wyznaczają aktualne wolne zasoby w Obszarze 1, które na dzień 10 września 2026 r. wynosiły 789741145,02</w:t>
            </w:r>
            <w:r w:rsidR="00772507">
              <w:rPr>
                <w:rFonts w:ascii="Times New Roman" w:hAnsi="Times New Roman"/>
              </w:rPr>
              <w:t> </w:t>
            </w:r>
            <w:r w:rsidRPr="00857E95">
              <w:rPr>
                <w:rFonts w:ascii="Times New Roman" w:hAnsi="Times New Roman"/>
              </w:rPr>
              <w:t xml:space="preserve">zł (środki niezakontraktowane). Ostateczna skala i kierunki przesunięć będą miały charakter dynamiczny i zostaną dostosowane do bieżących wniosków wojewodów oraz ewentualnych zwrotów dotacji z JST. Przekierowanie tych </w:t>
            </w:r>
            <w:r w:rsidR="006C57F7" w:rsidRPr="00857E95">
              <w:rPr>
                <w:rFonts w:ascii="Times New Roman" w:hAnsi="Times New Roman"/>
              </w:rPr>
              <w:t>środków do innych obszarów</w:t>
            </w:r>
            <w:r w:rsidRPr="00857E95">
              <w:rPr>
                <w:rFonts w:ascii="Times New Roman" w:hAnsi="Times New Roman"/>
              </w:rPr>
              <w:t xml:space="preserve"> pozwoli zrealizować minimalne wskaźniki rzeczowe Programu przed końcem roku budżetowego.</w:t>
            </w:r>
          </w:p>
          <w:p w:rsidR="00E47BD0" w:rsidRPr="00857E95" w:rsidRDefault="00E47BD0" w:rsidP="00772507">
            <w:pPr>
              <w:suppressAutoHyphens w:val="0"/>
              <w:spacing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FF3D09">
              <w:rPr>
                <w:rFonts w:ascii="Times New Roman" w:eastAsia="Times New Roman" w:hAnsi="Times New Roman"/>
                <w:lang w:eastAsia="pl-PL"/>
              </w:rPr>
              <w:t>W 2026 r. dopuszcza się przenoszenie środków finansowych pomiędzy obszarami 1–6. Łączna suma przeniesień między obszarami, z wyjątkiem przeniesień z obszaru 1 do obszaru 2, może wynosić nie więcej niż 15% środków finansowych, o których mowa w art. 155 ust. 2 pkt 3 ustawy</w:t>
            </w:r>
            <w:r w:rsidR="00772507">
              <w:rPr>
                <w:rFonts w:ascii="Times New Roman" w:eastAsia="Times New Roman" w:hAnsi="Times New Roman"/>
                <w:lang w:eastAsia="pl-PL"/>
              </w:rPr>
              <w:t xml:space="preserve"> z dnia 5 grudnia 2024 r. o ochronie ludności i obronie cywilnej</w:t>
            </w:r>
            <w:r w:rsidRPr="00FF3D09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</w:tr>
      <w:tr w:rsidR="00654C69" w:rsidRPr="007A465B" w:rsidTr="006C677B">
        <w:trPr>
          <w:gridAfter w:val="1"/>
          <w:wAfter w:w="10" w:type="dxa"/>
          <w:trHeight w:val="345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7A465B" w:rsidRDefault="00654C69">
            <w:pPr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b/>
                <w:spacing w:val="-2"/>
              </w:rPr>
              <w:t xml:space="preserve">Wpływ na </w:t>
            </w:r>
            <w:r w:rsidRPr="007A465B">
              <w:rPr>
                <w:rFonts w:ascii="Times New Roman" w:hAnsi="Times New Roman"/>
                <w:b/>
              </w:rPr>
              <w:t xml:space="preserve">konkurencyjność gospodarki i przedsiębiorczość, w tym funkcjonowanie przedsiębiorców oraz na rodzinę, obywateli i gospodarstwa domowe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>Skutki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Czas w latach od wejścia w życie zmian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0</w:t>
            </w: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i/>
                <w:spacing w:val="-2"/>
                <w:sz w:val="21"/>
                <w:szCs w:val="21"/>
              </w:rPr>
              <w:t>Łącznie (0-10)</w:t>
            </w: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rPr>
                <w:rFonts w:ascii="Times New Roman" w:hAnsi="Times New Roman"/>
                <w:spacing w:val="-2"/>
                <w:sz w:val="21"/>
                <w:szCs w:val="21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 ujęciu pieniężnym</w:t>
            </w:r>
          </w:p>
          <w:p w:rsidR="00654C69" w:rsidRPr="007A465B" w:rsidRDefault="00654C69">
            <w:pPr>
              <w:rPr>
                <w:rFonts w:ascii="Times New Roman" w:hAnsi="Times New Roman"/>
                <w:spacing w:val="-2"/>
                <w:sz w:val="21"/>
                <w:szCs w:val="21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 xml:space="preserve">(w mln zł, </w:t>
            </w:r>
          </w:p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pacing w:val="-2"/>
                <w:sz w:val="21"/>
                <w:szCs w:val="21"/>
              </w:rPr>
              <w:t>ceny stałe z …… r.)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duże przedsiębiorstwa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sektor mikro-, małych i średnich przedsiębiorstw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rodzina, obywatele oraz gospodarstwa domowe</w:t>
            </w:r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bookmarkStart w:id="3" w:name="Unnamed"/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</w:rPr>
              <w:fldChar w:fldCharType="begin">
                <w:ffData>
                  <w:name w:val="Unnamed"/>
                  <w:enabled/>
                  <w:calcOnExit w:val="0"/>
                  <w:statusText w:type="text" w:val="Wpisz na jaką grupę docelową będzie miała wpływ projektowana regulacja"/>
                  <w:textInput>
                    <w:maxLength w:val="1000"/>
                  </w:textInput>
                </w:ffData>
              </w:fldChar>
            </w:r>
            <w:r w:rsidRPr="007A465B">
              <w:rPr>
                <w:rFonts w:ascii="Times New Roman" w:hAnsi="Times New Roman"/>
              </w:rPr>
              <w:instrText xml:space="preserve"> FORMTEXT </w:instrText>
            </w:r>
            <w:r w:rsidRPr="007A465B">
              <w:rPr>
                <w:rFonts w:ascii="Times New Roman" w:hAnsi="Times New Roman"/>
              </w:rPr>
            </w:r>
            <w:r w:rsidRPr="007A465B">
              <w:rPr>
                <w:rFonts w:ascii="Times New Roman" w:hAnsi="Times New Roman"/>
              </w:rPr>
              <w:fldChar w:fldCharType="separate"/>
            </w:r>
            <w:r w:rsidRPr="007A465B">
              <w:rPr>
                <w:rFonts w:ascii="Times New Roman" w:hAnsi="Times New Roman"/>
                <w:sz w:val="21"/>
                <w:szCs w:val="21"/>
                <w:lang w:eastAsia="pl-PL"/>
              </w:rPr>
              <w:t>(dodaj/usuń)</w:t>
            </w:r>
            <w:r w:rsidRPr="007A465B">
              <w:rPr>
                <w:rFonts w:ascii="Times New Roman" w:hAnsi="Times New Roman"/>
                <w:sz w:val="21"/>
                <w:szCs w:val="21"/>
                <w:lang w:eastAsia="pl-PL"/>
              </w:rPr>
              <w:fldChar w:fldCharType="end"/>
            </w:r>
            <w:bookmarkEnd w:id="3"/>
          </w:p>
        </w:tc>
        <w:tc>
          <w:tcPr>
            <w:tcW w:w="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W ujęciu niepieniężnym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duże przedsiębiorstwa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sektor mikro-, małych i średnich przedsiębiorstw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7A465B" w:rsidRDefault="005237C3" w:rsidP="00663DD5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596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b/>
                <w:spacing w:val="-2"/>
                <w:sz w:val="21"/>
                <w:szCs w:val="21"/>
              </w:rPr>
            </w:pP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tabs>
                <w:tab w:val="right" w:pos="1936"/>
              </w:tabs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 xml:space="preserve">rodzina, obywatele oraz gospodarstwa domowe 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142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t>Niemierzalne</w:t>
            </w:r>
          </w:p>
        </w:tc>
        <w:tc>
          <w:tcPr>
            <w:tcW w:w="2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napToGrid w:val="0"/>
              <w:spacing w:line="240" w:lineRule="auto"/>
              <w:rPr>
                <w:rFonts w:ascii="Times New Roman" w:hAnsi="Times New Roman"/>
                <w:spacing w:val="-2"/>
                <w:sz w:val="21"/>
                <w:szCs w:val="21"/>
              </w:rPr>
            </w:pPr>
          </w:p>
        </w:tc>
      </w:tr>
      <w:tr w:rsidR="00654C69" w:rsidRPr="007A465B" w:rsidTr="00B36CEF">
        <w:trPr>
          <w:gridAfter w:val="1"/>
          <w:wAfter w:w="10" w:type="dxa"/>
          <w:trHeight w:val="619"/>
        </w:trPr>
        <w:tc>
          <w:tcPr>
            <w:tcW w:w="38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7A465B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7A465B"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Dodatkowe informacje, w tym wskazanie źródeł danych i przyjętych do obliczeń założeń </w:t>
            </w:r>
          </w:p>
        </w:tc>
        <w:tc>
          <w:tcPr>
            <w:tcW w:w="7111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54C69" w:rsidRPr="007A465B" w:rsidRDefault="00545444" w:rsidP="003D761E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</w:t>
            </w:r>
            <w:r w:rsidRPr="004F1678">
              <w:rPr>
                <w:rFonts w:ascii="Times New Roman" w:hAnsi="Times New Roman"/>
              </w:rPr>
              <w:t xml:space="preserve">rojektowana regulacja </w:t>
            </w:r>
            <w:r>
              <w:rPr>
                <w:rFonts w:ascii="Times New Roman" w:hAnsi="Times New Roman"/>
              </w:rPr>
              <w:t xml:space="preserve">nie </w:t>
            </w:r>
            <w:r w:rsidRPr="004F1678">
              <w:rPr>
                <w:rFonts w:ascii="Times New Roman" w:hAnsi="Times New Roman"/>
              </w:rPr>
              <w:t>wpływa na konkurencyjność gospodarki i</w:t>
            </w:r>
            <w:r>
              <w:rPr>
                <w:rFonts w:ascii="Times New Roman" w:hAnsi="Times New Roman"/>
              </w:rPr>
              <w:t> </w:t>
            </w:r>
            <w:r w:rsidRPr="004F1678">
              <w:rPr>
                <w:rFonts w:ascii="Times New Roman" w:hAnsi="Times New Roman"/>
              </w:rPr>
              <w:t>przedsiębiorczość, w tym funkcjonowanie przedsiębiorców oraz na rodzinę, obywateli i gospodarstwa domowe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654C69" w:rsidRPr="007A465B" w:rsidTr="006C677B">
        <w:trPr>
          <w:gridAfter w:val="1"/>
          <w:wAfter w:w="10" w:type="dxa"/>
          <w:trHeight w:val="3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eastAsia="Times New Roman" w:hAnsi="Times New Roman"/>
                <w:b/>
              </w:rPr>
              <w:t xml:space="preserve"> </w:t>
            </w:r>
            <w:r w:rsidRPr="003C2840">
              <w:rPr>
                <w:rFonts w:ascii="Times New Roman" w:hAnsi="Times New Roman"/>
                <w:b/>
              </w:rPr>
              <w:t>Zmiana obciążeń regulacyjnych (w tym obowiązków informacyjnych) wynikających z projektu</w:t>
            </w:r>
          </w:p>
        </w:tc>
      </w:tr>
      <w:tr w:rsidR="00654C69" w:rsidRPr="007A465B" w:rsidTr="006C677B">
        <w:trPr>
          <w:gridAfter w:val="1"/>
          <w:wAfter w:w="10" w:type="dxa"/>
          <w:trHeight w:val="151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B47A58" w:rsidP="005237C3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nie dotyczy</w:t>
            </w:r>
          </w:p>
        </w:tc>
      </w:tr>
      <w:tr w:rsidR="00654C69" w:rsidRPr="007A465B" w:rsidTr="00B36CEF">
        <w:trPr>
          <w:gridAfter w:val="1"/>
          <w:wAfter w:w="10" w:type="dxa"/>
          <w:trHeight w:val="946"/>
        </w:trPr>
        <w:tc>
          <w:tcPr>
            <w:tcW w:w="5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spacing w:val="-2"/>
              </w:rPr>
              <w:t xml:space="preserve">Wprowadzane są obciążenia poza bezwzględnie wymaganymi przez UE </w:t>
            </w:r>
            <w:r w:rsidRPr="003C2840">
              <w:rPr>
                <w:rFonts w:ascii="Times New Roman" w:hAnsi="Times New Roman"/>
              </w:rPr>
              <w:t>(szczegóły w odwróconej tabeli zgodności).</w:t>
            </w:r>
          </w:p>
        </w:tc>
        <w:bookmarkStart w:id="4" w:name="Wybór2"/>
        <w:tc>
          <w:tcPr>
            <w:tcW w:w="582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4"/>
            <w:r w:rsidRPr="003C2840">
              <w:rPr>
                <w:rFonts w:ascii="Times New Roman" w:hAnsi="Times New Roman"/>
              </w:rPr>
              <w:t xml:space="preserve"> tak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nie</w:t>
            </w:r>
          </w:p>
          <w:p w:rsidR="00654C69" w:rsidRPr="003C2840" w:rsidRDefault="00954A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5" w:name="Wybór4"/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5"/>
            <w:r w:rsidR="00654C69" w:rsidRPr="003C2840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B36CEF">
        <w:trPr>
          <w:gridAfter w:val="1"/>
          <w:wAfter w:w="10" w:type="dxa"/>
          <w:trHeight w:val="1245"/>
        </w:trPr>
        <w:tc>
          <w:tcPr>
            <w:tcW w:w="5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 xml:space="preserve">zmniejszenie liczby dokumentów 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zmniejszenie liczby procedur</w:t>
            </w:r>
          </w:p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B47A58"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skrócenie czasu na załatwienie sprawy</w:t>
            </w:r>
          </w:p>
          <w:bookmarkStart w:id="6" w:name="Wybór5"/>
          <w:p w:rsidR="00654C69" w:rsidRPr="003C2840" w:rsidRDefault="00654C69">
            <w:pPr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6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inne:</w:t>
            </w:r>
            <w:r w:rsidRPr="003C2840">
              <w:rPr>
                <w:rFonts w:ascii="Times New Roman" w:hAnsi="Times New Roman"/>
              </w:rPr>
              <w:t xml:space="preserve"> </w:t>
            </w:r>
            <w:bookmarkStart w:id="7" w:name="Unnamed_kopia_8"/>
            <w:r w:rsidRPr="003C2840">
              <w:rPr>
                <w:rFonts w:ascii="Times New Roman" w:hAnsi="Times New Roman"/>
              </w:rPr>
              <w:fldChar w:fldCharType="begin">
                <w:ffData>
                  <w:name w:val="Unnamed kopia 8"/>
                  <w:enabled/>
                  <w:calcOnExit w:val="0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FORMTEXT </w:instrText>
            </w:r>
            <w:r w:rsidRPr="003C2840">
              <w:rPr>
                <w:rFonts w:ascii="Times New Roman" w:hAnsi="Times New Roman"/>
              </w:rPr>
            </w:r>
            <w:r w:rsidRPr="003C2840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  <w:lang w:eastAsia="pl-PL"/>
              </w:rPr>
              <w:t>     </w:t>
            </w:r>
            <w:r w:rsidRPr="003C2840">
              <w:rPr>
                <w:rFonts w:ascii="Times New Roman" w:hAnsi="Times New Roman"/>
                <w:lang w:eastAsia="pl-PL"/>
              </w:rPr>
              <w:fldChar w:fldCharType="end"/>
            </w:r>
            <w:bookmarkEnd w:id="7"/>
          </w:p>
        </w:tc>
        <w:bookmarkStart w:id="8" w:name="Wybór6"/>
        <w:tc>
          <w:tcPr>
            <w:tcW w:w="582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8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zwiększenie liczby dokumentów</w:t>
            </w:r>
          </w:p>
          <w:bookmarkStart w:id="9" w:name="Wybór7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9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zwiększenie liczby procedur</w:t>
            </w:r>
          </w:p>
          <w:bookmarkStart w:id="10" w:name="Wybór8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0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wydłużenie czasu na załatwienie sprawy</w:t>
            </w:r>
          </w:p>
          <w:bookmarkStart w:id="11" w:name="Wybór9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1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inne:</w:t>
            </w:r>
            <w:r w:rsidRPr="003C2840">
              <w:rPr>
                <w:rFonts w:ascii="Times New Roman" w:hAnsi="Times New Roman"/>
              </w:rPr>
              <w:t xml:space="preserve"> </w:t>
            </w:r>
            <w:bookmarkStart w:id="12" w:name="Unnamed_kopia_9"/>
            <w:r w:rsidRPr="003C2840">
              <w:rPr>
                <w:rFonts w:ascii="Times New Roman" w:hAnsi="Times New Roman"/>
              </w:rPr>
              <w:fldChar w:fldCharType="begin">
                <w:ffData>
                  <w:name w:val="Unnamed kopia 9"/>
                  <w:enabled/>
                  <w:calcOnExit w:val="0"/>
                  <w:statusText w:type="text" w:val="W przypadku wyboru Upoważnienie ustawowe, Strategia lub Inne wpisz dokładnie źródła tj. jaka ustawa, tytuł strategii i jaki inny dokument"/>
                  <w:textInput/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FORMTEXT </w:instrText>
            </w:r>
            <w:r w:rsidRPr="003C2840">
              <w:rPr>
                <w:rFonts w:ascii="Times New Roman" w:hAnsi="Times New Roman"/>
              </w:rPr>
            </w:r>
            <w:r w:rsidRPr="003C2840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  <w:lang w:eastAsia="pl-PL"/>
              </w:rPr>
              <w:t>     </w:t>
            </w:r>
            <w:r w:rsidRPr="003C2840">
              <w:rPr>
                <w:rFonts w:ascii="Times New Roman" w:hAnsi="Times New Roman"/>
                <w:lang w:eastAsia="pl-PL"/>
              </w:rPr>
              <w:fldChar w:fldCharType="end"/>
            </w:r>
            <w:bookmarkEnd w:id="12"/>
          </w:p>
        </w:tc>
      </w:tr>
      <w:tr w:rsidR="00654C69" w:rsidRPr="007A465B" w:rsidTr="00B36CEF">
        <w:trPr>
          <w:gridAfter w:val="1"/>
          <w:wAfter w:w="10" w:type="dxa"/>
          <w:trHeight w:val="870"/>
        </w:trPr>
        <w:tc>
          <w:tcPr>
            <w:tcW w:w="510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spacing w:val="-2"/>
              </w:rPr>
              <w:t xml:space="preserve">Wprowadzane obciążenia są przystosowane do ich elektronizacji. </w:t>
            </w:r>
          </w:p>
        </w:tc>
        <w:bookmarkStart w:id="13" w:name="Wybór10"/>
        <w:tc>
          <w:tcPr>
            <w:tcW w:w="582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3"/>
            <w:r w:rsidRPr="003C2840">
              <w:rPr>
                <w:rFonts w:ascii="Times New Roman" w:hAnsi="Times New Roman"/>
              </w:rPr>
              <w:t xml:space="preserve"> tak</w:t>
            </w:r>
          </w:p>
          <w:bookmarkStart w:id="14" w:name="Wybór11"/>
          <w:p w:rsidR="00D146B6" w:rsidRPr="003C2840" w:rsidRDefault="00954A3E" w:rsidP="00D146B6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r w:rsidR="00D146B6">
              <w:rPr>
                <w:rFonts w:ascii="Times New Roman" w:hAnsi="Times New Roman"/>
              </w:rPr>
              <w:t xml:space="preserve"> </w:t>
            </w:r>
            <w:r w:rsidR="00D146B6" w:rsidRPr="003C2840">
              <w:rPr>
                <w:rFonts w:ascii="Times New Roman" w:hAnsi="Times New Roman"/>
              </w:rPr>
              <w:t>nie</w:t>
            </w:r>
          </w:p>
          <w:bookmarkEnd w:id="14"/>
          <w:p w:rsidR="00654C69" w:rsidRPr="003C2840" w:rsidRDefault="00954A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5" w:name="Wybór12"/>
            <w:r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fldChar w:fldCharType="end"/>
            </w:r>
            <w:bookmarkEnd w:id="15"/>
            <w:r w:rsidR="00F20A4D" w:rsidRPr="003C2840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F20A4D">
        <w:trPr>
          <w:gridAfter w:val="1"/>
          <w:wAfter w:w="10" w:type="dxa"/>
          <w:trHeight w:val="404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F20A4D" w:rsidP="00954A3E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t>Komentarz:</w:t>
            </w:r>
            <w:r w:rsidR="00954A3E">
              <w:rPr>
                <w:rFonts w:ascii="Times New Roman" w:hAnsi="Times New Roman"/>
              </w:rPr>
              <w:t xml:space="preserve"> nie dotyczy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</w:rPr>
              <w:t xml:space="preserve">Wpływ na rynek pracy 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4C69" w:rsidRPr="003C2840" w:rsidRDefault="005237C3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t>Projekt nie będzie miał wpływu na rynek pracy.</w:t>
            </w:r>
          </w:p>
        </w:tc>
      </w:tr>
      <w:tr w:rsidR="00654C69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654C69" w:rsidRPr="003C2840" w:rsidRDefault="00654C69">
            <w:pPr>
              <w:numPr>
                <w:ilvl w:val="0"/>
                <w:numId w:val="3"/>
              </w:num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</w:rPr>
              <w:t>Wpływ na pozostałe obszary</w:t>
            </w:r>
          </w:p>
        </w:tc>
      </w:tr>
      <w:bookmarkStart w:id="16" w:name="Wybór13"/>
      <w:tr w:rsidR="00654C69" w:rsidRPr="007A465B" w:rsidTr="00B36CEF">
        <w:trPr>
          <w:gridAfter w:val="1"/>
          <w:wAfter w:w="10" w:type="dxa"/>
          <w:trHeight w:val="1031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A58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6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środowisko naturalne</w:t>
            </w:r>
            <w:bookmarkStart w:id="17" w:name="Unnamed_kopia_10"/>
          </w:p>
          <w:bookmarkEnd w:id="17"/>
          <w:p w:rsidR="00654C69" w:rsidRPr="003C2840" w:rsidRDefault="00B47A58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sytuacja i rozwój regionalny</w:t>
            </w:r>
          </w:p>
          <w:p w:rsidR="00654C69" w:rsidRPr="003C2840" w:rsidRDefault="00A74E4D" w:rsidP="00A74E4D">
            <w:pPr>
              <w:spacing w:line="240" w:lineRule="auto"/>
              <w:ind w:left="322" w:hanging="322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r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>sądy powszechne, administracyjne lub wojskowe</w:t>
            </w:r>
          </w:p>
        </w:tc>
        <w:bookmarkStart w:id="18" w:name="Wybór15"/>
        <w:tc>
          <w:tcPr>
            <w:tcW w:w="3687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8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demografia</w:t>
            </w:r>
          </w:p>
          <w:p w:rsidR="00654C69" w:rsidRPr="003C2840" w:rsidRDefault="00B47A58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</w:rPr>
              <w:t>mienie państwowe</w:t>
            </w:r>
          </w:p>
          <w:p w:rsidR="00654C69" w:rsidRPr="003C2840" w:rsidRDefault="00B47A58" w:rsidP="005237C3">
            <w:pPr>
              <w:spacing w:line="240" w:lineRule="auto"/>
              <w:rPr>
                <w:rFonts w:ascii="Times New Roman" w:hAnsi="Times New Roman"/>
              </w:rPr>
            </w:pPr>
            <w:r w:rsidRPr="00DA3AC4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DA3AC4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DA3AC4">
              <w:rPr>
                <w:rFonts w:ascii="Times New Roman" w:hAnsi="Times New Roman"/>
              </w:rPr>
              <w:fldChar w:fldCharType="end"/>
            </w:r>
            <w:r w:rsidRPr="00DA3AC4">
              <w:rPr>
                <w:rFonts w:ascii="Times New Roman" w:hAnsi="Times New Roman"/>
              </w:rPr>
              <w:t xml:space="preserve"> </w:t>
            </w:r>
            <w:r w:rsidR="00654C69" w:rsidRPr="003C2840">
              <w:rPr>
                <w:rFonts w:ascii="Times New Roman" w:hAnsi="Times New Roman"/>
                <w:spacing w:val="-2"/>
              </w:rPr>
              <w:t xml:space="preserve">inne: </w:t>
            </w:r>
            <w:r w:rsidR="005237C3" w:rsidRPr="003C2840">
              <w:rPr>
                <w:rFonts w:ascii="Times New Roman" w:hAnsi="Times New Roman"/>
              </w:rPr>
              <w:t>bezpieczeństwo publiczne</w:t>
            </w:r>
          </w:p>
        </w:tc>
        <w:bookmarkStart w:id="19" w:name="Wybór17"/>
        <w:tc>
          <w:tcPr>
            <w:tcW w:w="370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19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informatyzacja</w:t>
            </w:r>
          </w:p>
          <w:bookmarkStart w:id="20" w:name="Wybór18"/>
          <w:p w:rsidR="00654C69" w:rsidRPr="003C2840" w:rsidRDefault="00654C69">
            <w:pPr>
              <w:spacing w:line="240" w:lineRule="auto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C2840">
              <w:rPr>
                <w:rFonts w:ascii="Times New Roman" w:hAnsi="Times New Roman"/>
              </w:rPr>
              <w:instrText xml:space="preserve"> FORMCHECKBOX </w:instrText>
            </w:r>
            <w:r w:rsidR="0058293B">
              <w:rPr>
                <w:rFonts w:ascii="Times New Roman" w:hAnsi="Times New Roman"/>
              </w:rPr>
            </w:r>
            <w:r w:rsidR="0058293B">
              <w:rPr>
                <w:rFonts w:ascii="Times New Roman" w:hAnsi="Times New Roman"/>
              </w:rPr>
              <w:fldChar w:fldCharType="separate"/>
            </w:r>
            <w:r w:rsidRPr="003C2840">
              <w:rPr>
                <w:rFonts w:ascii="Times New Roman" w:hAnsi="Times New Roman"/>
              </w:rPr>
              <w:fldChar w:fldCharType="end"/>
            </w:r>
            <w:bookmarkEnd w:id="20"/>
            <w:r w:rsidRPr="003C284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C2840">
              <w:rPr>
                <w:rFonts w:ascii="Times New Roman" w:hAnsi="Times New Roman"/>
                <w:spacing w:val="-2"/>
              </w:rPr>
              <w:t>zdrowie</w:t>
            </w:r>
          </w:p>
        </w:tc>
      </w:tr>
      <w:tr w:rsidR="005237C3" w:rsidRPr="007A465B" w:rsidTr="00B36CEF">
        <w:trPr>
          <w:gridAfter w:val="1"/>
          <w:wAfter w:w="10" w:type="dxa"/>
          <w:trHeight w:val="712"/>
        </w:trPr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37C3" w:rsidRPr="007A465B" w:rsidRDefault="005237C3" w:rsidP="005237C3">
            <w:pPr>
              <w:spacing w:line="240" w:lineRule="auto"/>
              <w:rPr>
                <w:rFonts w:ascii="Times New Roman" w:hAnsi="Times New Roman"/>
                <w:highlight w:val="yellow"/>
              </w:rPr>
            </w:pPr>
            <w:r w:rsidRPr="003C2840">
              <w:rPr>
                <w:rFonts w:ascii="Times New Roman" w:hAnsi="Times New Roman"/>
              </w:rPr>
              <w:t>Omówienie wpływu</w:t>
            </w:r>
          </w:p>
        </w:tc>
        <w:tc>
          <w:tcPr>
            <w:tcW w:w="8696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7A465B" w:rsidRDefault="00B47A58" w:rsidP="00B36CEF">
            <w:pPr>
              <w:spacing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B7389E">
              <w:rPr>
                <w:rFonts w:ascii="Times New Roman" w:hAnsi="Times New Roman"/>
                <w:spacing w:val="-2"/>
              </w:rPr>
              <w:t xml:space="preserve">Proponowane zmiany </w:t>
            </w:r>
            <w:r w:rsidR="00D146B6">
              <w:rPr>
                <w:rFonts w:ascii="Times New Roman" w:hAnsi="Times New Roman"/>
                <w:spacing w:val="-2"/>
              </w:rPr>
              <w:t xml:space="preserve">będą miały </w:t>
            </w:r>
            <w:r w:rsidR="00656E15">
              <w:rPr>
                <w:rFonts w:ascii="Times New Roman" w:hAnsi="Times New Roman"/>
                <w:spacing w:val="-2"/>
              </w:rPr>
              <w:t xml:space="preserve">pozytywny </w:t>
            </w:r>
            <w:r w:rsidR="00D146B6">
              <w:rPr>
                <w:rFonts w:ascii="Times New Roman" w:hAnsi="Times New Roman"/>
                <w:spacing w:val="-2"/>
              </w:rPr>
              <w:t>wpływ</w:t>
            </w:r>
            <w:r w:rsidR="00656E15">
              <w:rPr>
                <w:rFonts w:ascii="Times New Roman" w:hAnsi="Times New Roman"/>
                <w:spacing w:val="-2"/>
              </w:rPr>
              <w:t xml:space="preserve"> na ww. obszary</w:t>
            </w:r>
            <w:r w:rsidR="00D146B6">
              <w:rPr>
                <w:rFonts w:ascii="Times New Roman" w:hAnsi="Times New Roman"/>
                <w:spacing w:val="-2"/>
              </w:rPr>
              <w:t xml:space="preserve"> zapewniając sprawną realizację zadań </w:t>
            </w:r>
            <w:r w:rsidR="00B7389E" w:rsidRPr="00B7389E">
              <w:rPr>
                <w:rFonts w:ascii="Times New Roman" w:hAnsi="Times New Roman"/>
                <w:spacing w:val="-2"/>
              </w:rPr>
              <w:t xml:space="preserve">wynikających </w:t>
            </w:r>
            <w:r w:rsidR="00B36CEF">
              <w:rPr>
                <w:rFonts w:ascii="Times New Roman" w:hAnsi="Times New Roman"/>
                <w:spacing w:val="-2"/>
              </w:rPr>
              <w:t>z ustawy.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Planowane wykonanie przepisów aktu prawnego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3C2840" w:rsidRDefault="00B36CEF" w:rsidP="00A533D8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 dniem wejścia w życie</w:t>
            </w:r>
            <w:r w:rsidR="00E9212D">
              <w:rPr>
                <w:rFonts w:ascii="Times New Roman" w:hAnsi="Times New Roman"/>
              </w:rPr>
              <w:t>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eastAsia="Times New Roman" w:hAnsi="Times New Roman"/>
                <w:b/>
              </w:rPr>
              <w:t xml:space="preserve"> </w:t>
            </w: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W jaki sposób i kiedy nastąpi ewaluacja efektów projektu oraz jakie mierniki zostaną zastosowane?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FB1A44" w:rsidRDefault="00FB1A44" w:rsidP="00FB1A44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FB1A44">
              <w:rPr>
                <w:rFonts w:ascii="Times New Roman" w:hAnsi="Times New Roman"/>
              </w:rPr>
              <w:t>Ewaluacja efektów projektu nastąpi po zakończeniu roku budżetowego 2026 w ramach sprawozdania z realizacji Programu Ochrony Ludności i Obrony Cywilnej. Jako główny miernik efektywności zostanie zastosowany wskaźnik procentowego wykonania planu finansowego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5237C3" w:rsidRPr="007A465B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</w:tcPr>
          <w:p w:rsidR="005237C3" w:rsidRPr="003C2840" w:rsidRDefault="005237C3" w:rsidP="005237C3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  <w:b/>
                <w:spacing w:val="-2"/>
              </w:rPr>
              <w:t xml:space="preserve">Załączniki </w:t>
            </w:r>
            <w:r w:rsidRPr="003C2840">
              <w:rPr>
                <w:rFonts w:ascii="Times New Roman" w:hAnsi="Times New Roman"/>
                <w:b/>
                <w:spacing w:val="-2"/>
                <w:sz w:val="21"/>
                <w:szCs w:val="21"/>
              </w:rPr>
              <w:t>(istotne dokumenty źródłowe, badania, analizy itp.</w:t>
            </w:r>
            <w:r w:rsidRPr="003C2840">
              <w:rPr>
                <w:rFonts w:ascii="Times New Roman" w:hAnsi="Times New Roman"/>
                <w:b/>
                <w:spacing w:val="-2"/>
              </w:rPr>
              <w:t xml:space="preserve">) </w:t>
            </w:r>
          </w:p>
        </w:tc>
      </w:tr>
      <w:tr w:rsidR="005237C3" w:rsidRPr="00415624" w:rsidTr="006C677B">
        <w:trPr>
          <w:gridAfter w:val="1"/>
          <w:wAfter w:w="10" w:type="dxa"/>
          <w:trHeight w:val="142"/>
        </w:trPr>
        <w:tc>
          <w:tcPr>
            <w:tcW w:w="10937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237C3" w:rsidRPr="003C2840" w:rsidRDefault="005237C3" w:rsidP="005237C3">
            <w:pPr>
              <w:spacing w:after="40" w:line="240" w:lineRule="auto"/>
              <w:jc w:val="both"/>
              <w:rPr>
                <w:rFonts w:ascii="Times New Roman" w:hAnsi="Times New Roman"/>
              </w:rPr>
            </w:pPr>
            <w:r w:rsidRPr="003C2840">
              <w:rPr>
                <w:rFonts w:ascii="Times New Roman" w:hAnsi="Times New Roman"/>
              </w:rPr>
              <w:t>Brak</w:t>
            </w:r>
            <w:r w:rsidR="00A56B4C" w:rsidRPr="003C2840">
              <w:rPr>
                <w:rFonts w:ascii="Times New Roman" w:hAnsi="Times New Roman"/>
              </w:rPr>
              <w:t>.</w:t>
            </w:r>
          </w:p>
        </w:tc>
      </w:tr>
    </w:tbl>
    <w:p w:rsidR="00654C69" w:rsidRPr="00415624" w:rsidRDefault="00654C69">
      <w:pPr>
        <w:spacing w:after="120"/>
        <w:jc w:val="both"/>
        <w:rPr>
          <w:rFonts w:ascii="Times New Roman" w:hAnsi="Times New Roman"/>
        </w:rPr>
      </w:pPr>
    </w:p>
    <w:sectPr w:rsidR="00654C69" w:rsidRPr="00415624">
      <w:pgSz w:w="11906" w:h="16838"/>
      <w:pgMar w:top="568" w:right="707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93B" w:rsidRDefault="0058293B">
      <w:pPr>
        <w:spacing w:line="240" w:lineRule="auto"/>
      </w:pPr>
      <w:r>
        <w:separator/>
      </w:r>
    </w:p>
  </w:endnote>
  <w:endnote w:type="continuationSeparator" w:id="0">
    <w:p w:rsidR="0058293B" w:rsidRDefault="005829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93B" w:rsidRDefault="0058293B">
      <w:pPr>
        <w:spacing w:line="240" w:lineRule="auto"/>
      </w:pPr>
      <w:r>
        <w:separator/>
      </w:r>
    </w:p>
  </w:footnote>
  <w:footnote w:type="continuationSeparator" w:id="0">
    <w:p w:rsidR="0058293B" w:rsidRDefault="005829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</w:abstractNum>
  <w:abstractNum w:abstractNumId="5" w15:restartNumberingAfterBreak="0">
    <w:nsid w:val="004515E7"/>
    <w:multiLevelType w:val="hybridMultilevel"/>
    <w:tmpl w:val="E5DE207A"/>
    <w:lvl w:ilvl="0" w:tplc="C9EAB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52687"/>
    <w:multiLevelType w:val="hybridMultilevel"/>
    <w:tmpl w:val="722095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DD6B87"/>
    <w:multiLevelType w:val="multilevel"/>
    <w:tmpl w:val="E60A9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904688"/>
    <w:multiLevelType w:val="hybridMultilevel"/>
    <w:tmpl w:val="73C49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153F9"/>
    <w:multiLevelType w:val="hybridMultilevel"/>
    <w:tmpl w:val="73C49F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037C61"/>
    <w:multiLevelType w:val="hybridMultilevel"/>
    <w:tmpl w:val="D430F5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69239C"/>
    <w:multiLevelType w:val="hybridMultilevel"/>
    <w:tmpl w:val="82B4B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B12842"/>
    <w:multiLevelType w:val="multilevel"/>
    <w:tmpl w:val="6BC29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A07B2F"/>
    <w:multiLevelType w:val="multilevel"/>
    <w:tmpl w:val="F6026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275904"/>
    <w:multiLevelType w:val="multilevel"/>
    <w:tmpl w:val="7300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0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13"/>
  </w:num>
  <w:num w:numId="13">
    <w:abstractNumId w:val="12"/>
  </w:num>
  <w:num w:numId="14">
    <w:abstractNumId w:val="14"/>
  </w:num>
  <w:num w:numId="15">
    <w:abstractNumId w:val="7"/>
  </w:num>
  <w:num w:numId="1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8F8"/>
    <w:rsid w:val="0002728D"/>
    <w:rsid w:val="0004051B"/>
    <w:rsid w:val="000525E2"/>
    <w:rsid w:val="0006451C"/>
    <w:rsid w:val="00072692"/>
    <w:rsid w:val="00073862"/>
    <w:rsid w:val="000B08C8"/>
    <w:rsid w:val="000B0B9B"/>
    <w:rsid w:val="000B6B8A"/>
    <w:rsid w:val="000B6C6E"/>
    <w:rsid w:val="000D363B"/>
    <w:rsid w:val="000E5F2B"/>
    <w:rsid w:val="00102B53"/>
    <w:rsid w:val="0011760F"/>
    <w:rsid w:val="001238B5"/>
    <w:rsid w:val="00140E59"/>
    <w:rsid w:val="00143378"/>
    <w:rsid w:val="0015417E"/>
    <w:rsid w:val="00154394"/>
    <w:rsid w:val="00167712"/>
    <w:rsid w:val="0018601A"/>
    <w:rsid w:val="00187B47"/>
    <w:rsid w:val="0019260A"/>
    <w:rsid w:val="001C21C4"/>
    <w:rsid w:val="001D5127"/>
    <w:rsid w:val="002032AE"/>
    <w:rsid w:val="00203471"/>
    <w:rsid w:val="00205179"/>
    <w:rsid w:val="002138F7"/>
    <w:rsid w:val="0023420D"/>
    <w:rsid w:val="00240627"/>
    <w:rsid w:val="00246E1A"/>
    <w:rsid w:val="00266D1F"/>
    <w:rsid w:val="00281A7B"/>
    <w:rsid w:val="00296BF1"/>
    <w:rsid w:val="002979D1"/>
    <w:rsid w:val="002A5CAD"/>
    <w:rsid w:val="002B0B85"/>
    <w:rsid w:val="002B13EC"/>
    <w:rsid w:val="002B47D6"/>
    <w:rsid w:val="002C3388"/>
    <w:rsid w:val="002D470E"/>
    <w:rsid w:val="002D6045"/>
    <w:rsid w:val="002E3A9B"/>
    <w:rsid w:val="002F7E44"/>
    <w:rsid w:val="003119A5"/>
    <w:rsid w:val="00327A41"/>
    <w:rsid w:val="00334273"/>
    <w:rsid w:val="003508F8"/>
    <w:rsid w:val="00353C38"/>
    <w:rsid w:val="00390D81"/>
    <w:rsid w:val="003A36F5"/>
    <w:rsid w:val="003C0238"/>
    <w:rsid w:val="003C0807"/>
    <w:rsid w:val="003C0D70"/>
    <w:rsid w:val="003C1CB2"/>
    <w:rsid w:val="003C2840"/>
    <w:rsid w:val="003D761E"/>
    <w:rsid w:val="003E77C9"/>
    <w:rsid w:val="0040633C"/>
    <w:rsid w:val="00415624"/>
    <w:rsid w:val="004157C7"/>
    <w:rsid w:val="00420DA2"/>
    <w:rsid w:val="00421C46"/>
    <w:rsid w:val="00426597"/>
    <w:rsid w:val="00457746"/>
    <w:rsid w:val="00476180"/>
    <w:rsid w:val="00487753"/>
    <w:rsid w:val="004A056E"/>
    <w:rsid w:val="004A1BD6"/>
    <w:rsid w:val="004A1D73"/>
    <w:rsid w:val="004B3A54"/>
    <w:rsid w:val="004D7F01"/>
    <w:rsid w:val="004E7F73"/>
    <w:rsid w:val="005024FC"/>
    <w:rsid w:val="00504F48"/>
    <w:rsid w:val="00512785"/>
    <w:rsid w:val="005237C3"/>
    <w:rsid w:val="005267FC"/>
    <w:rsid w:val="00526849"/>
    <w:rsid w:val="005328F2"/>
    <w:rsid w:val="00543659"/>
    <w:rsid w:val="00544599"/>
    <w:rsid w:val="00545444"/>
    <w:rsid w:val="00563873"/>
    <w:rsid w:val="0058293B"/>
    <w:rsid w:val="005969A4"/>
    <w:rsid w:val="005D3AB1"/>
    <w:rsid w:val="005D5F81"/>
    <w:rsid w:val="005E1DB1"/>
    <w:rsid w:val="005F47D5"/>
    <w:rsid w:val="00604325"/>
    <w:rsid w:val="0061049F"/>
    <w:rsid w:val="00613275"/>
    <w:rsid w:val="0061445D"/>
    <w:rsid w:val="00652B8C"/>
    <w:rsid w:val="00654C69"/>
    <w:rsid w:val="00656E15"/>
    <w:rsid w:val="00663DD5"/>
    <w:rsid w:val="00694A3A"/>
    <w:rsid w:val="006A0CB2"/>
    <w:rsid w:val="006C0AA9"/>
    <w:rsid w:val="006C57F7"/>
    <w:rsid w:val="006C677B"/>
    <w:rsid w:val="006C6C56"/>
    <w:rsid w:val="006E19EA"/>
    <w:rsid w:val="00702238"/>
    <w:rsid w:val="0071632D"/>
    <w:rsid w:val="00725025"/>
    <w:rsid w:val="0073780F"/>
    <w:rsid w:val="0074285A"/>
    <w:rsid w:val="0074285C"/>
    <w:rsid w:val="00747CB8"/>
    <w:rsid w:val="00763EF6"/>
    <w:rsid w:val="00772507"/>
    <w:rsid w:val="00793A65"/>
    <w:rsid w:val="007A3ABB"/>
    <w:rsid w:val="007A465B"/>
    <w:rsid w:val="007B1523"/>
    <w:rsid w:val="007B4BAC"/>
    <w:rsid w:val="007C0F37"/>
    <w:rsid w:val="007D3DA8"/>
    <w:rsid w:val="00804530"/>
    <w:rsid w:val="00824173"/>
    <w:rsid w:val="0082785D"/>
    <w:rsid w:val="00857AD7"/>
    <w:rsid w:val="00857E95"/>
    <w:rsid w:val="00873B69"/>
    <w:rsid w:val="00874B60"/>
    <w:rsid w:val="00876241"/>
    <w:rsid w:val="00891D86"/>
    <w:rsid w:val="00895047"/>
    <w:rsid w:val="008A6D21"/>
    <w:rsid w:val="008B05D6"/>
    <w:rsid w:val="008C6C31"/>
    <w:rsid w:val="008D5C13"/>
    <w:rsid w:val="008E3BAC"/>
    <w:rsid w:val="008F358A"/>
    <w:rsid w:val="008F693E"/>
    <w:rsid w:val="0091788E"/>
    <w:rsid w:val="00954A3E"/>
    <w:rsid w:val="00955488"/>
    <w:rsid w:val="00970DBE"/>
    <w:rsid w:val="0097474C"/>
    <w:rsid w:val="00996B81"/>
    <w:rsid w:val="009B0692"/>
    <w:rsid w:val="009C667F"/>
    <w:rsid w:val="009C794B"/>
    <w:rsid w:val="009D3729"/>
    <w:rsid w:val="009D5032"/>
    <w:rsid w:val="009E02B4"/>
    <w:rsid w:val="009E54E9"/>
    <w:rsid w:val="009E72EB"/>
    <w:rsid w:val="00A214B2"/>
    <w:rsid w:val="00A246AD"/>
    <w:rsid w:val="00A26B5F"/>
    <w:rsid w:val="00A31FEB"/>
    <w:rsid w:val="00A41B47"/>
    <w:rsid w:val="00A533D8"/>
    <w:rsid w:val="00A56B4C"/>
    <w:rsid w:val="00A722F6"/>
    <w:rsid w:val="00A74E4D"/>
    <w:rsid w:val="00A825BD"/>
    <w:rsid w:val="00AA01C9"/>
    <w:rsid w:val="00AA68FA"/>
    <w:rsid w:val="00AB4AA2"/>
    <w:rsid w:val="00AE6D3F"/>
    <w:rsid w:val="00AF0387"/>
    <w:rsid w:val="00AF3E6C"/>
    <w:rsid w:val="00AF58D7"/>
    <w:rsid w:val="00AF7B36"/>
    <w:rsid w:val="00B01D55"/>
    <w:rsid w:val="00B13FEF"/>
    <w:rsid w:val="00B15F1B"/>
    <w:rsid w:val="00B24E6F"/>
    <w:rsid w:val="00B36CEF"/>
    <w:rsid w:val="00B43441"/>
    <w:rsid w:val="00B47A58"/>
    <w:rsid w:val="00B51AF6"/>
    <w:rsid w:val="00B5558C"/>
    <w:rsid w:val="00B67F13"/>
    <w:rsid w:val="00B7389E"/>
    <w:rsid w:val="00B76F68"/>
    <w:rsid w:val="00B80B8A"/>
    <w:rsid w:val="00B815E3"/>
    <w:rsid w:val="00B844A6"/>
    <w:rsid w:val="00BA5857"/>
    <w:rsid w:val="00BC0798"/>
    <w:rsid w:val="00BC5CB9"/>
    <w:rsid w:val="00BE053B"/>
    <w:rsid w:val="00BE0C7F"/>
    <w:rsid w:val="00BF018E"/>
    <w:rsid w:val="00BF051C"/>
    <w:rsid w:val="00C21FDC"/>
    <w:rsid w:val="00C251E8"/>
    <w:rsid w:val="00C4312D"/>
    <w:rsid w:val="00C64056"/>
    <w:rsid w:val="00CA3743"/>
    <w:rsid w:val="00CB245F"/>
    <w:rsid w:val="00CB54F6"/>
    <w:rsid w:val="00CB73E1"/>
    <w:rsid w:val="00CC3FC3"/>
    <w:rsid w:val="00CC740D"/>
    <w:rsid w:val="00CC78B6"/>
    <w:rsid w:val="00CD04D8"/>
    <w:rsid w:val="00CD663A"/>
    <w:rsid w:val="00CF1436"/>
    <w:rsid w:val="00CF25BF"/>
    <w:rsid w:val="00CF2D75"/>
    <w:rsid w:val="00CF7172"/>
    <w:rsid w:val="00D134B8"/>
    <w:rsid w:val="00D1372D"/>
    <w:rsid w:val="00D146B6"/>
    <w:rsid w:val="00D17610"/>
    <w:rsid w:val="00D24629"/>
    <w:rsid w:val="00D46D65"/>
    <w:rsid w:val="00D54606"/>
    <w:rsid w:val="00D61E62"/>
    <w:rsid w:val="00D647F6"/>
    <w:rsid w:val="00D6681E"/>
    <w:rsid w:val="00D81312"/>
    <w:rsid w:val="00D85643"/>
    <w:rsid w:val="00D93F89"/>
    <w:rsid w:val="00DA2484"/>
    <w:rsid w:val="00DB457E"/>
    <w:rsid w:val="00DC3EE1"/>
    <w:rsid w:val="00DD6BDA"/>
    <w:rsid w:val="00DF0CA7"/>
    <w:rsid w:val="00DF0CBE"/>
    <w:rsid w:val="00DF25DE"/>
    <w:rsid w:val="00DF3FE3"/>
    <w:rsid w:val="00E02E9E"/>
    <w:rsid w:val="00E07266"/>
    <w:rsid w:val="00E11DDF"/>
    <w:rsid w:val="00E11EA6"/>
    <w:rsid w:val="00E241A0"/>
    <w:rsid w:val="00E47BD0"/>
    <w:rsid w:val="00E636A0"/>
    <w:rsid w:val="00E71D24"/>
    <w:rsid w:val="00E8173D"/>
    <w:rsid w:val="00E87FF5"/>
    <w:rsid w:val="00E9212D"/>
    <w:rsid w:val="00E95454"/>
    <w:rsid w:val="00E96446"/>
    <w:rsid w:val="00EA5FCB"/>
    <w:rsid w:val="00EB541A"/>
    <w:rsid w:val="00EB57D8"/>
    <w:rsid w:val="00ED0919"/>
    <w:rsid w:val="00F10F15"/>
    <w:rsid w:val="00F178C8"/>
    <w:rsid w:val="00F20A4D"/>
    <w:rsid w:val="00F50268"/>
    <w:rsid w:val="00F515B0"/>
    <w:rsid w:val="00F54578"/>
    <w:rsid w:val="00F5473A"/>
    <w:rsid w:val="00F559D2"/>
    <w:rsid w:val="00F56DA3"/>
    <w:rsid w:val="00F72C18"/>
    <w:rsid w:val="00F859E9"/>
    <w:rsid w:val="00F85DF9"/>
    <w:rsid w:val="00F8692C"/>
    <w:rsid w:val="00FA2451"/>
    <w:rsid w:val="00FA6005"/>
    <w:rsid w:val="00FB1A44"/>
    <w:rsid w:val="00FB3A70"/>
    <w:rsid w:val="00FC71BB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A40A14CE-85CC-4553-B6D5-711DB1B30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hint="default"/>
    </w:rPr>
  </w:style>
  <w:style w:type="character" w:customStyle="1" w:styleId="WW8Num3z0">
    <w:name w:val="WW8Num3z0"/>
    <w:rPr>
      <w:rFonts w:hint="default"/>
      <w:b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Symbol" w:hAnsi="Symbol" w:cs="Symbol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ascii="Wingdings" w:hAnsi="Wingdings" w:cs="Wingdings" w:hint="default"/>
    </w:rPr>
  </w:style>
  <w:style w:type="character" w:customStyle="1" w:styleId="WW8Num5z2">
    <w:name w:val="WW8Num5z2"/>
    <w:rPr>
      <w:rFonts w:cs="Times New Roman"/>
    </w:rPr>
  </w:style>
  <w:style w:type="character" w:customStyle="1" w:styleId="WW8Num6z0">
    <w:name w:val="WW8Num6z0"/>
    <w:rPr>
      <w:rFonts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b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7z0">
    <w:name w:val="WW8Num17z0"/>
    <w:rPr>
      <w:rFonts w:ascii="Symbol" w:hAnsi="Symbol" w:cs="Symbol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Times New Roman" w:hAnsi="Times New Roman" w:cs="Times New Roman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WW8Num20z0">
    <w:name w:val="WW8Num20z0"/>
    <w:rPr>
      <w:rFonts w:ascii="Symbol" w:hAnsi="Symbol" w:cs="Symbol" w:hint="default"/>
    </w:rPr>
  </w:style>
  <w:style w:type="character" w:customStyle="1" w:styleId="WW8Num20z1">
    <w:name w:val="WW8Num20z1"/>
    <w:rPr>
      <w:rFonts w:ascii="Courier New" w:hAnsi="Courier New" w:cs="Courier New" w:hint="default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1z0">
    <w:name w:val="WW8Num21z0"/>
    <w:rPr>
      <w:rFonts w:hint="default"/>
    </w:rPr>
  </w:style>
  <w:style w:type="character" w:customStyle="1" w:styleId="WW8Num23z0">
    <w:name w:val="WW8Num23z0"/>
    <w:rPr>
      <w:rFonts w:ascii="Times New Roman" w:hAnsi="Times New Roman" w:cs="Times New Roman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0">
    <w:name w:val="WW8Num25z0"/>
    <w:rPr>
      <w:rFonts w:ascii="Symbol" w:hAnsi="Symbol" w:cs="Symbol" w:hint="default"/>
    </w:rPr>
  </w:style>
  <w:style w:type="character" w:customStyle="1" w:styleId="WW8Num25z1">
    <w:name w:val="WW8Num25z1"/>
    <w:rPr>
      <w:rFonts w:ascii="Courier New" w:hAnsi="Courier New" w:cs="Courier New" w:hint="default"/>
    </w:rPr>
  </w:style>
  <w:style w:type="character" w:customStyle="1" w:styleId="WW8Num25z2">
    <w:name w:val="WW8Num25z2"/>
    <w:rPr>
      <w:rFonts w:ascii="Wingdings" w:hAnsi="Wingdings" w:cs="Wingdings" w:hint="default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ascii="Times New Roman" w:hAnsi="Times New Roman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NagwekZnak">
    <w:name w:val="Nagłówek Znak"/>
  </w:style>
  <w:style w:type="character" w:customStyle="1" w:styleId="StopkaZnak">
    <w:name w:val="Stopka Znak"/>
  </w:style>
  <w:style w:type="character" w:customStyle="1" w:styleId="TekstprzypisukocowegoZnak">
    <w:name w:val="Tekst przypisu końcowego Znak"/>
    <w:rPr>
      <w:sz w:val="20"/>
      <w:szCs w:val="20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matkomentarzaZnak">
    <w:name w:val="Temat komentarza Znak"/>
    <w:rPr>
      <w:b/>
      <w:bCs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dymka">
    <w:name w:val="Balloon Text"/>
    <w:basedOn w:val="Normalny"/>
    <w:pPr>
      <w:spacing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pacing w:line="240" w:lineRule="auto"/>
    </w:pPr>
    <w:rPr>
      <w:sz w:val="20"/>
      <w:szCs w:val="20"/>
      <w:lang w:val="x-none"/>
    </w:rPr>
  </w:style>
  <w:style w:type="paragraph" w:styleId="Stopka">
    <w:name w:val="footer"/>
    <w:basedOn w:val="Normalny"/>
    <w:pPr>
      <w:spacing w:line="240" w:lineRule="auto"/>
    </w:pPr>
    <w:rPr>
      <w:sz w:val="20"/>
      <w:szCs w:val="20"/>
      <w:lang w:val="x-none"/>
    </w:rPr>
  </w:style>
  <w:style w:type="paragraph" w:styleId="Tekstprzypisukocowego">
    <w:name w:val="endnote text"/>
    <w:basedOn w:val="Normalny"/>
    <w:pPr>
      <w:spacing w:line="240" w:lineRule="auto"/>
    </w:pPr>
    <w:rPr>
      <w:sz w:val="20"/>
      <w:szCs w:val="20"/>
      <w:lang w:val="x-none"/>
    </w:rPr>
  </w:style>
  <w:style w:type="paragraph" w:styleId="Akapitzlist">
    <w:name w:val="List Paragraph"/>
    <w:aliases w:val="lista z akapitem,Dot pt,F5 List Paragraph,List Paragraph1,Recommendation,List Paragraph11,Kolorowa lista — akcent 11,Numerowanie,Akapit z listą2,List Paragraph Bullet 1,List Paragraph,Akapit z listą11,1_literowka,Lista 123"/>
    <w:basedOn w:val="Normalny"/>
    <w:link w:val="AkapitzlistZnak"/>
    <w:uiPriority w:val="34"/>
    <w:qFormat/>
    <w:pPr>
      <w:ind w:left="720"/>
      <w:contextualSpacing/>
    </w:pPr>
  </w:style>
  <w:style w:type="paragraph" w:customStyle="1" w:styleId="Tekstkomentarza1">
    <w:name w:val="Tekst komentarza1"/>
    <w:basedOn w:val="Normalny"/>
    <w:rPr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  <w:rPr>
      <w:sz w:val="20"/>
      <w:szCs w:val="20"/>
      <w:lang w:val="x-none"/>
    </w:rPr>
  </w:style>
  <w:style w:type="paragraph" w:customStyle="1" w:styleId="TYTUAKTUprzedmiotregulacjiustawylubrozporzdzenia">
    <w:name w:val="TYTUŁ_AKTU – przedmiot regulacji ustawy lub rozporządzenia"/>
    <w:next w:val="Normalny"/>
    <w:pPr>
      <w:keepNext/>
      <w:suppressAutoHyphens/>
      <w:spacing w:before="120" w:after="360" w:line="360" w:lineRule="auto"/>
      <w:jc w:val="center"/>
    </w:pPr>
    <w:rPr>
      <w:rFonts w:ascii="Times" w:hAnsi="Times" w:cs="Arial"/>
      <w:b/>
      <w:bCs/>
      <w:sz w:val="24"/>
      <w:szCs w:val="24"/>
      <w:lang w:eastAsia="zh-CN"/>
    </w:rPr>
  </w:style>
  <w:style w:type="paragraph" w:styleId="Poprawka">
    <w:name w:val="Revision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ODNONIKtreodnonika">
    <w:name w:val="ODNOŚNIK – treść odnośnika"/>
    <w:pPr>
      <w:suppressAutoHyphens/>
      <w:ind w:left="284" w:hanging="284"/>
      <w:jc w:val="both"/>
    </w:pPr>
    <w:rPr>
      <w:rFonts w:cs="Arial"/>
      <w:lang w:eastAsia="zh-CN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customStyle="1" w:styleId="AkapitzlistZnak">
    <w:name w:val="Akapit z listą Znak"/>
    <w:aliases w:val="lista z akapitem Znak,Dot pt Znak,F5 List Paragraph Znak,List Paragraph1 Znak,Recommendation Znak,List Paragraph11 Znak,Kolorowa lista — akcent 11 Znak,Numerowanie Znak,Akapit z listą2 Znak,List Paragraph Bullet 1 Znak,Lista 123 Znak"/>
    <w:link w:val="Akapitzlist"/>
    <w:qFormat/>
    <w:locked/>
    <w:rsid w:val="003C0807"/>
    <w:rPr>
      <w:rFonts w:ascii="Calibri" w:eastAsia="Calibri" w:hAnsi="Calibri"/>
      <w:sz w:val="22"/>
      <w:szCs w:val="22"/>
      <w:lang w:eastAsia="zh-CN"/>
    </w:rPr>
  </w:style>
  <w:style w:type="character" w:customStyle="1" w:styleId="Bodytext1">
    <w:name w:val="Body text|1_"/>
    <w:link w:val="Bodytext10"/>
    <w:rsid w:val="00DD6BDA"/>
    <w:rPr>
      <w:sz w:val="22"/>
      <w:szCs w:val="22"/>
    </w:rPr>
  </w:style>
  <w:style w:type="paragraph" w:customStyle="1" w:styleId="Bodytext10">
    <w:name w:val="Body text|1"/>
    <w:basedOn w:val="Normalny"/>
    <w:link w:val="Bodytext1"/>
    <w:rsid w:val="00DD6BDA"/>
    <w:pPr>
      <w:widowControl w:val="0"/>
      <w:suppressAutoHyphens w:val="0"/>
      <w:spacing w:after="100" w:line="240" w:lineRule="auto"/>
      <w:ind w:firstLine="400"/>
    </w:pPr>
    <w:rPr>
      <w:rFonts w:ascii="Times New Roman" w:eastAsia="Times New Roman" w:hAnsi="Times New Roman"/>
      <w:lang w:eastAsia="pl-PL"/>
    </w:rPr>
  </w:style>
  <w:style w:type="character" w:customStyle="1" w:styleId="citation-line">
    <w:name w:val="citation-line"/>
    <w:rsid w:val="00A533D8"/>
  </w:style>
  <w:style w:type="character" w:styleId="Odwoaniedokomentarza">
    <w:name w:val="annotation reference"/>
    <w:uiPriority w:val="99"/>
    <w:semiHidden/>
    <w:unhideWhenUsed/>
    <w:rsid w:val="000B08C8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0B08C8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semiHidden/>
    <w:rsid w:val="000B08C8"/>
    <w:rPr>
      <w:rFonts w:ascii="Calibri" w:eastAsia="Calibri" w:hAnsi="Calibri"/>
      <w:lang w:eastAsia="zh-CN"/>
    </w:rPr>
  </w:style>
  <w:style w:type="character" w:styleId="Pogrubienie">
    <w:name w:val="Strong"/>
    <w:basedOn w:val="Domylnaczcionkaakapitu"/>
    <w:uiPriority w:val="22"/>
    <w:qFormat/>
    <w:rsid w:val="009B0692"/>
    <w:rPr>
      <w:b/>
      <w:bCs/>
    </w:rPr>
  </w:style>
  <w:style w:type="character" w:customStyle="1" w:styleId="inqyif">
    <w:name w:val="inqyif"/>
    <w:basedOn w:val="Domylnaczcionkaakapitu"/>
    <w:rsid w:val="009B0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07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2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379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5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14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162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810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61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359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79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8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8739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67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9709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79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69171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623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10696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9501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52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8B8B7-3230-47D2-B798-FEEE68E22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1907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Maliszewski Adam</dc:creator>
  <cp:keywords/>
  <cp:lastModifiedBy>MSWiA3</cp:lastModifiedBy>
  <cp:revision>14</cp:revision>
  <cp:lastPrinted>2025-09-26T12:33:00Z</cp:lastPrinted>
  <dcterms:created xsi:type="dcterms:W3CDTF">2026-09-15T12:53:00Z</dcterms:created>
  <dcterms:modified xsi:type="dcterms:W3CDTF">2026-09-30T13:06:00Z</dcterms:modified>
</cp:coreProperties>
</file>