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77777777" w:rsidR="00DE56B6" w:rsidRP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E56B6">
        <w:rPr>
          <w:rFonts w:ascii="Arial" w:hAnsi="Arial" w:cs="Arial"/>
          <w:bCs/>
          <w:i/>
          <w:iCs/>
          <w:sz w:val="20"/>
          <w:szCs w:val="20"/>
        </w:rPr>
        <w:t>nabór FENG.01.01-IP.01-002/23</w:t>
      </w: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AE7B73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  <w:r w:rsidR="006C3053">
        <w:rPr>
          <w:rFonts w:ascii="Arial" w:hAnsi="Arial" w:cs="Arial"/>
          <w:b/>
          <w:sz w:val="20"/>
          <w:szCs w:val="20"/>
        </w:rPr>
        <w:t xml:space="preserve"> (dalej „Umowa”)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2E8ABCEB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EF7D84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D478C1">
        <w:rPr>
          <w:rFonts w:cs="Arial"/>
        </w:rPr>
        <w:t>§ 3.</w:t>
      </w:r>
      <w:bookmarkEnd w:id="5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6E4598B9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D54F6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54F65" w:rsidRPr="00F560D1">
        <w:rPr>
          <w:lang w:eastAsia="pl-PL"/>
        </w:rPr>
        <w:t>(w przypadku refundacji) lub o numerze ……… (w przypadku zaliczki)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885AD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0C36DF" w:rsidRPr="00E8092C">
        <w:rPr>
          <w:rFonts w:ascii="Arial" w:hAnsi="Arial" w:cs="Arial"/>
          <w:sz w:val="20"/>
          <w:szCs w:val="20"/>
          <w:lang w:eastAsia="pl-PL"/>
        </w:rPr>
        <w:t xml:space="preserve">2 ust. </w:t>
      </w:r>
      <w:r w:rsidR="006D1434">
        <w:rPr>
          <w:rFonts w:ascii="Arial" w:hAnsi="Arial" w:cs="Arial"/>
          <w:sz w:val="20"/>
          <w:szCs w:val="20"/>
          <w:lang w:eastAsia="pl-PL"/>
        </w:rPr>
        <w:t>8 i 9</w:t>
      </w:r>
      <w:r w:rsidR="00885ADB" w:rsidRPr="00E8092C">
        <w:rPr>
          <w:rFonts w:ascii="Arial" w:hAnsi="Arial" w:cs="Arial"/>
          <w:sz w:val="20"/>
          <w:szCs w:val="20"/>
          <w:lang w:eastAsia="pl-PL"/>
        </w:rPr>
        <w:t>, § 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4</w:t>
      </w:r>
      <w:r w:rsidR="00885ADB" w:rsidRPr="00E8092C">
        <w:rPr>
          <w:rFonts w:ascii="Arial" w:hAnsi="Arial" w:cs="Arial"/>
          <w:sz w:val="20"/>
          <w:szCs w:val="20"/>
          <w:lang w:eastAsia="pl-PL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0D4586B9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57186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71863" w:rsidRPr="00571863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605FD04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F560D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6A03">
        <w:rPr>
          <w:rFonts w:ascii="Arial" w:hAnsi="Arial" w:cs="Arial"/>
          <w:sz w:val="20"/>
          <w:szCs w:val="20"/>
          <w:lang w:eastAsia="pl-PL"/>
        </w:rPr>
        <w:t>3 miesiące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0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3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4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5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lastRenderedPageBreak/>
        <w:t>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5DA7DB3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955D1F">
        <w:rPr>
          <w:rFonts w:ascii="Arial" w:hAnsi="Arial" w:cs="Arial"/>
          <w:sz w:val="20"/>
          <w:szCs w:val="20"/>
          <w:lang w:eastAsia="pl-PL"/>
        </w:rPr>
        <w:t>, o którym mowa w § 3 ust. 2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151F946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>Łączna kwota</w:t>
      </w:r>
      <w:r w:rsidR="00C0242E">
        <w:rPr>
          <w:rFonts w:ascii="Arial" w:eastAsia="Arial" w:hAnsi="Arial" w:cs="Arial"/>
          <w:sz w:val="20"/>
          <w:szCs w:val="20"/>
        </w:rPr>
        <w:t xml:space="preserve"> nierozliczonych</w:t>
      </w:r>
      <w:r w:rsidRPr="00E8092C">
        <w:rPr>
          <w:rFonts w:ascii="Arial" w:eastAsia="Arial" w:hAnsi="Arial" w:cs="Arial"/>
          <w:sz w:val="20"/>
          <w:szCs w:val="20"/>
        </w:rPr>
        <w:t xml:space="preserve">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5B77A18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0242E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242E" w:rsidRPr="00BA26AA">
        <w:rPr>
          <w:rFonts w:ascii="Arial" w:hAnsi="Arial" w:cs="Arial"/>
          <w:sz w:val="20"/>
          <w:szCs w:val="20"/>
          <w:lang w:eastAsia="pl-PL"/>
        </w:rPr>
        <w:t>w tym do całkowitego wstrzymania wypłaty dofinansowanie w formie zaliczki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lastRenderedPageBreak/>
        <w:t>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59170A5F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C0242E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9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0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38ABC74A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9E6A03">
        <w:rPr>
          <w:rFonts w:ascii="Arial" w:hAnsi="Arial" w:cs="Arial"/>
          <w:sz w:val="20"/>
          <w:szCs w:val="20"/>
        </w:rPr>
        <w:t>3 miesiące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2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</w:t>
      </w:r>
      <w:r w:rsidR="00DD5FA0" w:rsidRPr="00E8092C">
        <w:rPr>
          <w:rFonts w:ascii="Arial" w:hAnsi="Arial" w:cs="Arial"/>
          <w:sz w:val="20"/>
          <w:szCs w:val="20"/>
        </w:rPr>
        <w:lastRenderedPageBreak/>
        <w:t>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37396147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A43541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4B0E30D3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hyperlink r:id="rId11" w:history="1">
        <w:r w:rsidR="00C0242E" w:rsidRPr="00570AF8">
          <w:rPr>
            <w:rStyle w:val="Hipercze"/>
            <w:rFonts w:ascii="Arial" w:hAnsi="Arial"/>
            <w:sz w:val="20"/>
          </w:rPr>
          <w:t>regio-poland@ec.europa.eu</w:t>
        </w:r>
      </w:hyperlink>
      <w:r w:rsidR="00C0242E">
        <w:rPr>
          <w:rFonts w:ascii="Arial" w:hAnsi="Arial"/>
          <w:sz w:val="20"/>
        </w:rPr>
        <w:t xml:space="preserve"> 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2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1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6D968BE7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</w:t>
      </w:r>
      <w:bookmarkStart w:id="9" w:name="_Hlk168561622"/>
      <w:r w:rsidRPr="00E8092C">
        <w:rPr>
          <w:rFonts w:ascii="Arial" w:hAnsi="Arial" w:cs="Arial"/>
          <w:sz w:val="20"/>
          <w:szCs w:val="20"/>
        </w:rPr>
        <w:t xml:space="preserve">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</w:t>
      </w:r>
      <w:r w:rsidR="00A43541">
        <w:rPr>
          <w:rFonts w:ascii="Arial" w:hAnsi="Arial" w:cs="Arial"/>
          <w:sz w:val="20"/>
          <w:szCs w:val="20"/>
        </w:rPr>
        <w:t xml:space="preserve"> 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C727DB">
        <w:rPr>
          <w:rFonts w:ascii="Arial" w:hAnsi="Arial" w:cs="Arial"/>
          <w:sz w:val="20"/>
          <w:szCs w:val="20"/>
        </w:rPr>
        <w:t xml:space="preserve">§ 1 ust. 5 </w:t>
      </w:r>
      <w:r w:rsidR="00B75EE0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</w:t>
      </w:r>
      <w:bookmarkEnd w:id="9"/>
      <w:r w:rsidRPr="00E8092C">
        <w:rPr>
          <w:rFonts w:ascii="Arial" w:hAnsi="Arial" w:cs="Arial"/>
          <w:sz w:val="20"/>
          <w:szCs w:val="20"/>
        </w:rPr>
        <w:t xml:space="preserve">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0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0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</w:t>
      </w:r>
      <w:r w:rsidRPr="007939F7">
        <w:rPr>
          <w:rFonts w:ascii="Arial" w:hAnsi="Arial" w:cs="Arial"/>
          <w:sz w:val="20"/>
          <w:szCs w:val="20"/>
        </w:rPr>
        <w:lastRenderedPageBreak/>
        <w:t>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2FCC6B5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3" w:history="1">
        <w:r w:rsidR="00C0242E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00E8092C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1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1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2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2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lastRenderedPageBreak/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3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3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49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4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rozwiązuje Umowę ze skutkiem natychmiastowym w przypadku, gdy Beneficjent rozpoczął realizację Projektu przed dniem złożenia wniosku o dofinansowanie albo w dniu złożenia </w:t>
      </w:r>
      <w:r w:rsidRPr="00E8092C">
        <w:rPr>
          <w:rFonts w:ascii="Arial" w:hAnsi="Arial" w:cs="Arial"/>
          <w:sz w:val="20"/>
          <w:szCs w:val="20"/>
        </w:rPr>
        <w:lastRenderedPageBreak/>
        <w:t>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2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5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6" w:name="_Hlk114733887"/>
      <w:r w:rsidRPr="00D478C1">
        <w:rPr>
          <w:rFonts w:cs="Arial"/>
        </w:rPr>
        <w:t>§</w:t>
      </w:r>
      <w:bookmarkEnd w:id="16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7" w:name="_Hlk125727899"/>
      <w:bookmarkStart w:id="18" w:name="_Hlk144299944"/>
      <w:r w:rsidRPr="00D478C1">
        <w:rPr>
          <w:rFonts w:cs="Arial"/>
        </w:rPr>
        <w:t>§ 13</w:t>
      </w:r>
      <w:bookmarkEnd w:id="17"/>
      <w:r w:rsidR="00C679BF">
        <w:rPr>
          <w:rFonts w:cs="Arial"/>
        </w:rPr>
        <w:t>.</w:t>
      </w:r>
      <w:bookmarkEnd w:id="18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665F1CCE" w14:textId="77777777" w:rsidR="00235EC7" w:rsidRPr="006B6663" w:rsidRDefault="00235EC7" w:rsidP="00235EC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lastRenderedPageBreak/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69E107E4" w14:textId="77777777" w:rsidR="00235EC7" w:rsidRPr="006B6663" w:rsidRDefault="00235EC7" w:rsidP="00235EC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7530626D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235EC7">
        <w:rPr>
          <w:rFonts w:ascii="Arial" w:hAnsi="Arial" w:cs="Arial"/>
          <w:sz w:val="20"/>
          <w:szCs w:val="20"/>
        </w:rPr>
        <w:t xml:space="preserve"> </w:t>
      </w:r>
      <w:r w:rsidR="00235EC7" w:rsidRPr="3DB4F197">
        <w:rPr>
          <w:rFonts w:ascii="Arial" w:hAnsi="Arial" w:cs="Arial"/>
          <w:sz w:val="20"/>
          <w:szCs w:val="20"/>
        </w:rPr>
        <w:t>zgodnie z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9" w:name="_Hlk124429433"/>
      <w:r w:rsidRPr="00D478C1">
        <w:rPr>
          <w:rFonts w:cs="Arial"/>
        </w:rPr>
        <w:t>§ 14</w:t>
      </w:r>
      <w:bookmarkEnd w:id="19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069514ED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35EC7" w:rsidRPr="00235EC7">
        <w:rPr>
          <w:rFonts w:ascii="Arial" w:hAnsi="Arial" w:cs="Arial"/>
          <w:sz w:val="20"/>
          <w:szCs w:val="20"/>
          <w:lang w:eastAsia="pl-PL"/>
        </w:rPr>
        <w:t>podlegający dofinansowaniu na podstawie Umowy;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173ED8C9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610F4519" w14:textId="5280C876" w:rsidR="00235EC7" w:rsidRPr="00E8092C" w:rsidRDefault="00235EC7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235EC7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20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0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</w:t>
      </w:r>
      <w:r w:rsidR="000D6975" w:rsidRPr="00E8092C">
        <w:rPr>
          <w:rFonts w:ascii="Arial" w:hAnsi="Arial" w:cs="Arial"/>
          <w:sz w:val="20"/>
          <w:szCs w:val="20"/>
        </w:rPr>
        <w:lastRenderedPageBreak/>
        <w:t>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1" w:name="_Hlk125728189"/>
      <w:r w:rsidRPr="00D478C1">
        <w:rPr>
          <w:rFonts w:cs="Arial"/>
        </w:rPr>
        <w:t>§ 15</w:t>
      </w:r>
      <w:bookmarkEnd w:id="21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06F11DC7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="00D10A32">
        <w:rPr>
          <w:rFonts w:ascii="Arial" w:hAnsi="Arial" w:cs="Arial"/>
          <w:sz w:val="20"/>
          <w:szCs w:val="20"/>
        </w:rPr>
        <w:t xml:space="preserve"> </w:t>
      </w:r>
      <w:r w:rsidR="00AB57A1" w:rsidRPr="779D3310">
        <w:rPr>
          <w:sz w:val="24"/>
          <w:szCs w:val="24"/>
        </w:rPr>
        <w:t xml:space="preserve"> </w:t>
      </w:r>
      <w:r w:rsidR="1AA232CD" w:rsidRPr="4FACB642">
        <w:rPr>
          <w:sz w:val="24"/>
          <w:szCs w:val="24"/>
        </w:rPr>
        <w:t xml:space="preserve">(Dz.U. L 187 z 26.6.2014, s. 1, z </w:t>
      </w:r>
      <w:proofErr w:type="spellStart"/>
      <w:r w:rsidR="1AA232CD" w:rsidRPr="4FACB642">
        <w:rPr>
          <w:sz w:val="24"/>
          <w:szCs w:val="24"/>
        </w:rPr>
        <w:t>p</w:t>
      </w:r>
      <w:r w:rsidR="00D10A32" w:rsidRPr="779D3310">
        <w:rPr>
          <w:sz w:val="24"/>
          <w:szCs w:val="24"/>
        </w:rPr>
        <w:t>óźn</w:t>
      </w:r>
      <w:proofErr w:type="spellEnd"/>
      <w:r w:rsidR="00D10A32" w:rsidRPr="779D3310">
        <w:rPr>
          <w:sz w:val="24"/>
          <w:szCs w:val="24"/>
        </w:rPr>
        <w:t>. zm.)</w:t>
      </w:r>
      <w:r w:rsidRPr="779D3310">
        <w:rPr>
          <w:rFonts w:ascii="Arial" w:hAnsi="Arial" w:cs="Arial"/>
          <w:sz w:val="20"/>
          <w:szCs w:val="20"/>
        </w:rPr>
        <w:t>;</w:t>
      </w:r>
      <w:r w:rsidR="00AB57A1" w:rsidRPr="779D3310">
        <w:rPr>
          <w:rFonts w:ascii="Arial" w:hAnsi="Arial" w:cs="Arial"/>
          <w:sz w:val="20"/>
          <w:szCs w:val="20"/>
        </w:rPr>
        <w:t xml:space="preserve"> </w:t>
      </w:r>
    </w:p>
    <w:p w14:paraId="689AB92C" w14:textId="5448FE98" w:rsidR="00AB57A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00D478C1">
        <w:rPr>
          <w:rFonts w:ascii="Arial" w:hAnsi="Arial" w:cs="Arial"/>
          <w:sz w:val="20"/>
          <w:szCs w:val="20"/>
        </w:rPr>
        <w:t>minimis</w:t>
      </w:r>
      <w:proofErr w:type="spellEnd"/>
      <w:r w:rsidR="00881B12">
        <w:rPr>
          <w:rStyle w:val="Odwoanieprzypisudolnego"/>
          <w:rFonts w:ascii="Arial" w:hAnsi="Arial"/>
          <w:sz w:val="20"/>
          <w:szCs w:val="20"/>
        </w:rPr>
        <w:footnoteReference w:id="62"/>
      </w:r>
      <w:r w:rsidR="00AB57A1" w:rsidRPr="00D478C1">
        <w:rPr>
          <w:rFonts w:ascii="Arial" w:hAnsi="Arial" w:cs="Arial"/>
          <w:sz w:val="20"/>
          <w:szCs w:val="20"/>
        </w:rPr>
        <w:t>;</w:t>
      </w:r>
    </w:p>
    <w:p w14:paraId="5EA71007" w14:textId="3BF89AD7" w:rsidR="00881B12" w:rsidRPr="00F560D1" w:rsidRDefault="00881B12" w:rsidP="00F560D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43689">
        <w:rPr>
          <w:rFonts w:ascii="Arial" w:hAnsi="Arial" w:cs="Arial"/>
          <w:b/>
          <w:bCs/>
          <w:sz w:val="20"/>
          <w:szCs w:val="20"/>
        </w:rPr>
        <w:t>rozporządzenie Komisji (UE) 2023/2831”</w:t>
      </w:r>
      <w:r w:rsidRPr="00DA1F3A">
        <w:rPr>
          <w:rFonts w:ascii="Arial" w:hAnsi="Arial" w:cs="Arial"/>
          <w:sz w:val="20"/>
          <w:szCs w:val="20"/>
        </w:rPr>
        <w:t xml:space="preserve"> z dnia 13 grudnia 2023</w:t>
      </w:r>
      <w:r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 xml:space="preserve">w sprawie stosowania art. 107 i 108 Traktatu o funkcjonowaniu Unii Europejskiej do pomocy de </w:t>
      </w:r>
      <w:proofErr w:type="spellStart"/>
      <w:r w:rsidRPr="00D478C1"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Style w:val="Odwoanieprzypisudolnego"/>
          <w:rFonts w:ascii="Arial" w:hAnsi="Arial"/>
          <w:sz w:val="20"/>
          <w:szCs w:val="20"/>
        </w:rPr>
        <w:footnoteReference w:id="63"/>
      </w:r>
      <w:r w:rsidR="00F560D1">
        <w:rPr>
          <w:rFonts w:ascii="Arial" w:hAnsi="Arial" w:cs="Arial"/>
          <w:sz w:val="20"/>
          <w:szCs w:val="20"/>
        </w:rPr>
        <w:t>;</w:t>
      </w:r>
    </w:p>
    <w:p w14:paraId="6F59283D" w14:textId="7E9BB684" w:rsidR="00190341" w:rsidRPr="00190341" w:rsidRDefault="00190341" w:rsidP="0019034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FACB642">
        <w:rPr>
          <w:rFonts w:ascii="Arial" w:hAnsi="Arial"/>
          <w:sz w:val="20"/>
          <w:szCs w:val="20"/>
        </w:rPr>
        <w:t xml:space="preserve">rozporządzenia Ministra Funduszy i Polityki Regionalnej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 w:rsidR="00D10A32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D10A32">
        <w:rPr>
          <w:rFonts w:ascii="Arial" w:hAnsi="Arial" w:cs="Arial"/>
          <w:sz w:val="20"/>
          <w:szCs w:val="20"/>
        </w:rPr>
        <w:t>póź</w:t>
      </w:r>
      <w:r w:rsidR="00D1122A">
        <w:rPr>
          <w:rFonts w:ascii="Arial" w:hAnsi="Arial" w:cs="Arial"/>
          <w:sz w:val="20"/>
          <w:szCs w:val="20"/>
        </w:rPr>
        <w:t>n</w:t>
      </w:r>
      <w:proofErr w:type="spellEnd"/>
      <w:r w:rsidR="00D1122A">
        <w:rPr>
          <w:rFonts w:ascii="Arial" w:hAnsi="Arial" w:cs="Arial"/>
          <w:sz w:val="20"/>
          <w:szCs w:val="20"/>
        </w:rPr>
        <w:t>. zm.</w:t>
      </w:r>
      <w:r w:rsidRPr="00190341">
        <w:rPr>
          <w:rFonts w:ascii="Arial" w:hAnsi="Arial" w:cs="Arial"/>
          <w:sz w:val="20"/>
          <w:szCs w:val="20"/>
        </w:rPr>
        <w:t>)</w:t>
      </w:r>
      <w:r w:rsidR="005C62EA">
        <w:rPr>
          <w:rFonts w:ascii="Arial" w:hAnsi="Arial" w:cs="Arial"/>
          <w:sz w:val="20"/>
          <w:szCs w:val="20"/>
        </w:rPr>
        <w:t>;</w:t>
      </w:r>
    </w:p>
    <w:p w14:paraId="3AAA94F1" w14:textId="1F3D18A9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 xml:space="preserve">Fundusze </w:t>
      </w:r>
      <w:r w:rsidR="00311AB8" w:rsidRPr="00D478C1">
        <w:rPr>
          <w:rFonts w:ascii="Arial" w:hAnsi="Arial" w:cs="Arial"/>
          <w:sz w:val="20"/>
          <w:szCs w:val="20"/>
        </w:rPr>
        <w:t>Europej</w:t>
      </w:r>
      <w:r w:rsidR="00311AB8">
        <w:rPr>
          <w:rFonts w:ascii="Arial" w:hAnsi="Arial" w:cs="Arial"/>
          <w:sz w:val="20"/>
          <w:szCs w:val="20"/>
        </w:rPr>
        <w:t>sk</w:t>
      </w:r>
      <w:r w:rsidR="00311AB8" w:rsidRPr="00D478C1">
        <w:rPr>
          <w:rFonts w:ascii="Arial" w:hAnsi="Arial" w:cs="Arial"/>
          <w:sz w:val="20"/>
          <w:szCs w:val="20"/>
        </w:rPr>
        <w:t>ie</w:t>
      </w:r>
      <w:r w:rsidR="00AB57A1" w:rsidRPr="00D478C1">
        <w:rPr>
          <w:rFonts w:ascii="Arial" w:hAnsi="Arial" w:cs="Arial"/>
          <w:sz w:val="20"/>
          <w:szCs w:val="20"/>
        </w:rPr>
        <w:t xml:space="preserve">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</w:p>
    <w:p w14:paraId="182C0705" w14:textId="1122C608" w:rsidR="00064AE2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38F665D0" w14:textId="77777777" w:rsidR="00881B12" w:rsidRPr="00881B12" w:rsidRDefault="00881B12" w:rsidP="00881B12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881B12">
        <w:rPr>
          <w:rFonts w:ascii="Arial" w:hAnsi="Arial" w:cs="Arial"/>
          <w:sz w:val="20"/>
          <w:szCs w:val="20"/>
        </w:rPr>
        <w:t>ustawy OOŚ – ustawy z dnia 3 października 2008 r. o udostępnianiu informacji o środowisku i jego ochronie, udziale społeczeństwa w ochronie środowiska oraz o ocenach oddziaływania na środowisko;</w:t>
      </w:r>
    </w:p>
    <w:p w14:paraId="7E13DA2F" w14:textId="77777777" w:rsidR="00881B12" w:rsidRPr="00D478C1" w:rsidRDefault="00881B12" w:rsidP="00F560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lastRenderedPageBreak/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1744B795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D68D" w14:textId="77777777" w:rsidR="002D78DA" w:rsidRDefault="002D78DA" w:rsidP="001F6437">
      <w:pPr>
        <w:spacing w:after="0" w:line="240" w:lineRule="auto"/>
      </w:pPr>
      <w:r>
        <w:separator/>
      </w:r>
    </w:p>
  </w:endnote>
  <w:endnote w:type="continuationSeparator" w:id="0">
    <w:p w14:paraId="150991CA" w14:textId="77777777" w:rsidR="002D78DA" w:rsidRDefault="002D78DA" w:rsidP="001F6437">
      <w:pPr>
        <w:spacing w:after="0" w:line="240" w:lineRule="auto"/>
      </w:pPr>
      <w:r>
        <w:continuationSeparator/>
      </w:r>
    </w:p>
  </w:endnote>
  <w:endnote w:type="continuationNotice" w:id="1">
    <w:p w14:paraId="206B809A" w14:textId="77777777" w:rsidR="002D78DA" w:rsidRDefault="002D7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B4D6" w14:textId="77777777" w:rsidR="002D78DA" w:rsidRDefault="002D78DA" w:rsidP="001F6437">
      <w:pPr>
        <w:spacing w:after="0" w:line="240" w:lineRule="auto"/>
      </w:pPr>
      <w:r>
        <w:separator/>
      </w:r>
    </w:p>
  </w:footnote>
  <w:footnote w:type="continuationSeparator" w:id="0">
    <w:p w14:paraId="2B88E990" w14:textId="77777777" w:rsidR="002D78DA" w:rsidRDefault="002D78DA" w:rsidP="001F6437">
      <w:pPr>
        <w:spacing w:after="0" w:line="240" w:lineRule="auto"/>
      </w:pPr>
      <w:r>
        <w:continuationSeparator/>
      </w:r>
    </w:p>
  </w:footnote>
  <w:footnote w:type="continuationNotice" w:id="1">
    <w:p w14:paraId="29F14D6C" w14:textId="77777777" w:rsidR="002D78DA" w:rsidRDefault="002D78DA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19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0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1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2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3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4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6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7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28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29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0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1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2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3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4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5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6">
    <w:p w14:paraId="2F55B623" w14:textId="28444275" w:rsidR="00A43541" w:rsidRDefault="00A435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3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5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6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7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8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49">
    <w:p w14:paraId="6FFDA485" w14:textId="26F9CC3F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</w:t>
      </w:r>
      <w:r w:rsidR="00C8280A" w:rsidRPr="00F560D1">
        <w:rPr>
          <w:rFonts w:ascii="Arial" w:hAnsi="Arial" w:cs="Arial"/>
          <w:sz w:val="16"/>
          <w:szCs w:val="16"/>
        </w:rPr>
        <w:t xml:space="preserve">y </w:t>
      </w:r>
      <w:r w:rsidR="00571863" w:rsidRPr="00F560D1">
        <w:rPr>
          <w:rFonts w:ascii="Arial" w:hAnsi="Arial" w:cs="Arial"/>
          <w:sz w:val="16"/>
          <w:szCs w:val="16"/>
        </w:rPr>
        <w:t xml:space="preserve">Beneficjentem </w:t>
      </w:r>
      <w:r w:rsidR="00C8280A" w:rsidRPr="00F560D1">
        <w:rPr>
          <w:rFonts w:ascii="Arial" w:hAnsi="Arial" w:cs="Arial"/>
          <w:sz w:val="16"/>
          <w:szCs w:val="16"/>
        </w:rPr>
        <w:t>jest podmiot zależny lub kontrolowany od JST, na terenie której obowiązują ustanowione przez organy tej JS</w:t>
      </w:r>
      <w:r w:rsidR="00C8280A" w:rsidRPr="00C8280A">
        <w:rPr>
          <w:rFonts w:ascii="Arial" w:hAnsi="Arial" w:cs="Arial"/>
          <w:sz w:val="16"/>
          <w:szCs w:val="16"/>
        </w:rPr>
        <w:t>T dyskryminujące akty prawa miejscowego sprzeczne z zasadami, o których mowa w art. 9 ust. 3 rozporządzenia ogólnego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6F465384" w:rsidR="00DB708B" w:rsidRPr="004C163A" w:rsidRDefault="00F560D1" w:rsidP="00F560D1">
      <w:pPr>
        <w:pStyle w:val="Tekstprzypisudolnego"/>
        <w:tabs>
          <w:tab w:val="left" w:pos="53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</w:footnote>
  <w:footnote w:id="50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6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7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9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1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2">
    <w:p w14:paraId="0F5BE184" w14:textId="5E51DF8D" w:rsidR="00881B12" w:rsidRDefault="00881B1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63">
    <w:p w14:paraId="259E6731" w14:textId="77777777" w:rsidR="00881B12" w:rsidRDefault="00881B12" w:rsidP="00881B1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64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3C3E80D" w:rsidR="002911E1" w:rsidRDefault="00E66314">
    <w:pPr>
      <w:pStyle w:val="Nagwek"/>
    </w:pPr>
    <w:r>
      <w:rPr>
        <w:noProof/>
      </w:rPr>
      <w:drawing>
        <wp:inline distT="0" distB="0" distL="0" distR="0" wp14:anchorId="6DAA1B9B" wp14:editId="05DCB0C5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5474198">
    <w:abstractNumId w:val="80"/>
  </w:num>
  <w:num w:numId="2" w16cid:durableId="1893080634">
    <w:abstractNumId w:val="61"/>
  </w:num>
  <w:num w:numId="3" w16cid:durableId="1904170185">
    <w:abstractNumId w:val="24"/>
  </w:num>
  <w:num w:numId="4" w16cid:durableId="127818450">
    <w:abstractNumId w:val="58"/>
  </w:num>
  <w:num w:numId="5" w16cid:durableId="1718898143">
    <w:abstractNumId w:val="41"/>
  </w:num>
  <w:num w:numId="6" w16cid:durableId="1679691588">
    <w:abstractNumId w:val="38"/>
  </w:num>
  <w:num w:numId="7" w16cid:durableId="921135256">
    <w:abstractNumId w:val="2"/>
  </w:num>
  <w:num w:numId="8" w16cid:durableId="354115421">
    <w:abstractNumId w:val="70"/>
  </w:num>
  <w:num w:numId="9" w16cid:durableId="1260405268">
    <w:abstractNumId w:val="35"/>
  </w:num>
  <w:num w:numId="10" w16cid:durableId="555239794">
    <w:abstractNumId w:val="47"/>
  </w:num>
  <w:num w:numId="11" w16cid:durableId="1974480221">
    <w:abstractNumId w:val="55"/>
  </w:num>
  <w:num w:numId="12" w16cid:durableId="128522723">
    <w:abstractNumId w:val="42"/>
  </w:num>
  <w:num w:numId="13" w16cid:durableId="1645694042">
    <w:abstractNumId w:val="43"/>
  </w:num>
  <w:num w:numId="14" w16cid:durableId="19092779">
    <w:abstractNumId w:val="12"/>
  </w:num>
  <w:num w:numId="15" w16cid:durableId="411313044">
    <w:abstractNumId w:val="14"/>
  </w:num>
  <w:num w:numId="16" w16cid:durableId="1289432474">
    <w:abstractNumId w:val="25"/>
  </w:num>
  <w:num w:numId="17" w16cid:durableId="1010330968">
    <w:abstractNumId w:val="18"/>
  </w:num>
  <w:num w:numId="18" w16cid:durableId="1836994749">
    <w:abstractNumId w:val="73"/>
  </w:num>
  <w:num w:numId="19" w16cid:durableId="225378787">
    <w:abstractNumId w:val="71"/>
  </w:num>
  <w:num w:numId="20" w16cid:durableId="1770466571">
    <w:abstractNumId w:val="75"/>
  </w:num>
  <w:num w:numId="21" w16cid:durableId="1302611824">
    <w:abstractNumId w:val="40"/>
  </w:num>
  <w:num w:numId="22" w16cid:durableId="1223373136">
    <w:abstractNumId w:val="5"/>
  </w:num>
  <w:num w:numId="23" w16cid:durableId="1942764622">
    <w:abstractNumId w:val="32"/>
  </w:num>
  <w:num w:numId="24" w16cid:durableId="86822489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8838319">
    <w:abstractNumId w:val="50"/>
  </w:num>
  <w:num w:numId="26" w16cid:durableId="1675377381">
    <w:abstractNumId w:val="9"/>
  </w:num>
  <w:num w:numId="27" w16cid:durableId="1112016413">
    <w:abstractNumId w:val="33"/>
  </w:num>
  <w:num w:numId="28" w16cid:durableId="2116749014">
    <w:abstractNumId w:val="22"/>
  </w:num>
  <w:num w:numId="29" w16cid:durableId="717514546">
    <w:abstractNumId w:val="53"/>
  </w:num>
  <w:num w:numId="30" w16cid:durableId="54664778">
    <w:abstractNumId w:val="34"/>
  </w:num>
  <w:num w:numId="31" w16cid:durableId="1899322993">
    <w:abstractNumId w:val="11"/>
  </w:num>
  <w:num w:numId="32" w16cid:durableId="810444576">
    <w:abstractNumId w:val="1"/>
  </w:num>
  <w:num w:numId="33" w16cid:durableId="1986817790">
    <w:abstractNumId w:val="10"/>
  </w:num>
  <w:num w:numId="34" w16cid:durableId="1226137095">
    <w:abstractNumId w:val="6"/>
  </w:num>
  <w:num w:numId="35" w16cid:durableId="1188369196">
    <w:abstractNumId w:val="39"/>
  </w:num>
  <w:num w:numId="36" w16cid:durableId="868102791">
    <w:abstractNumId w:val="64"/>
  </w:num>
  <w:num w:numId="37" w16cid:durableId="1134445706">
    <w:abstractNumId w:val="51"/>
  </w:num>
  <w:num w:numId="38" w16cid:durableId="143399896">
    <w:abstractNumId w:val="19"/>
  </w:num>
  <w:num w:numId="39" w16cid:durableId="1118069116">
    <w:abstractNumId w:val="20"/>
  </w:num>
  <w:num w:numId="40" w16cid:durableId="814032287">
    <w:abstractNumId w:val="7"/>
  </w:num>
  <w:num w:numId="41" w16cid:durableId="1460417461">
    <w:abstractNumId w:val="77"/>
  </w:num>
  <w:num w:numId="42" w16cid:durableId="1379430322">
    <w:abstractNumId w:val="15"/>
  </w:num>
  <w:num w:numId="43" w16cid:durableId="1525442836">
    <w:abstractNumId w:val="0"/>
  </w:num>
  <w:num w:numId="44" w16cid:durableId="85931849">
    <w:abstractNumId w:val="65"/>
  </w:num>
  <w:num w:numId="45" w16cid:durableId="517499932">
    <w:abstractNumId w:val="26"/>
  </w:num>
  <w:num w:numId="46" w16cid:durableId="425466913">
    <w:abstractNumId w:val="48"/>
  </w:num>
  <w:num w:numId="47" w16cid:durableId="144203180">
    <w:abstractNumId w:val="52"/>
  </w:num>
  <w:num w:numId="48" w16cid:durableId="517088554">
    <w:abstractNumId w:val="30"/>
  </w:num>
  <w:num w:numId="49" w16cid:durableId="1996840283">
    <w:abstractNumId w:val="74"/>
  </w:num>
  <w:num w:numId="50" w16cid:durableId="1497382592">
    <w:abstractNumId w:val="28"/>
  </w:num>
  <w:num w:numId="51" w16cid:durableId="2096048463">
    <w:abstractNumId w:val="17"/>
  </w:num>
  <w:num w:numId="52" w16cid:durableId="323363299">
    <w:abstractNumId w:val="16"/>
  </w:num>
  <w:num w:numId="53" w16cid:durableId="1192064820">
    <w:abstractNumId w:val="69"/>
  </w:num>
  <w:num w:numId="54" w16cid:durableId="1943295052">
    <w:abstractNumId w:val="57"/>
  </w:num>
  <w:num w:numId="55" w16cid:durableId="1884706490">
    <w:abstractNumId w:val="3"/>
  </w:num>
  <w:num w:numId="56" w16cid:durableId="421026347">
    <w:abstractNumId w:val="8"/>
  </w:num>
  <w:num w:numId="57" w16cid:durableId="2082747586">
    <w:abstractNumId w:val="63"/>
  </w:num>
  <w:num w:numId="58" w16cid:durableId="1070232761">
    <w:abstractNumId w:val="27"/>
  </w:num>
  <w:num w:numId="59" w16cid:durableId="1767774849">
    <w:abstractNumId w:val="79"/>
  </w:num>
  <w:num w:numId="60" w16cid:durableId="2087145295">
    <w:abstractNumId w:val="54"/>
  </w:num>
  <w:num w:numId="61" w16cid:durableId="1731734737">
    <w:abstractNumId w:val="56"/>
  </w:num>
  <w:num w:numId="62" w16cid:durableId="1299068127">
    <w:abstractNumId w:val="81"/>
  </w:num>
  <w:num w:numId="63" w16cid:durableId="384329581">
    <w:abstractNumId w:val="68"/>
  </w:num>
  <w:num w:numId="64" w16cid:durableId="1554730114">
    <w:abstractNumId w:val="49"/>
  </w:num>
  <w:num w:numId="65" w16cid:durableId="1761566008">
    <w:abstractNumId w:val="76"/>
  </w:num>
  <w:num w:numId="66" w16cid:durableId="1456018431">
    <w:abstractNumId w:val="31"/>
  </w:num>
  <w:num w:numId="67" w16cid:durableId="1775831125">
    <w:abstractNumId w:val="67"/>
  </w:num>
  <w:num w:numId="68" w16cid:durableId="1241987669">
    <w:abstractNumId w:val="29"/>
  </w:num>
  <w:num w:numId="69" w16cid:durableId="1583485214">
    <w:abstractNumId w:val="21"/>
  </w:num>
  <w:num w:numId="70" w16cid:durableId="714349842">
    <w:abstractNumId w:val="60"/>
  </w:num>
  <w:num w:numId="71" w16cid:durableId="792598159">
    <w:abstractNumId w:val="46"/>
  </w:num>
  <w:num w:numId="72" w16cid:durableId="612396261">
    <w:abstractNumId w:val="37"/>
  </w:num>
  <w:num w:numId="73" w16cid:durableId="498811585">
    <w:abstractNumId w:val="66"/>
  </w:num>
  <w:num w:numId="74" w16cid:durableId="1414932882">
    <w:abstractNumId w:val="44"/>
  </w:num>
  <w:num w:numId="75" w16cid:durableId="1653943975">
    <w:abstractNumId w:val="78"/>
  </w:num>
  <w:num w:numId="76" w16cid:durableId="1620407898">
    <w:abstractNumId w:val="4"/>
  </w:num>
  <w:num w:numId="77" w16cid:durableId="760176668">
    <w:abstractNumId w:val="62"/>
  </w:num>
  <w:num w:numId="78" w16cid:durableId="327445357">
    <w:abstractNumId w:val="23"/>
  </w:num>
  <w:num w:numId="79" w16cid:durableId="1509559179">
    <w:abstractNumId w:val="13"/>
  </w:num>
  <w:num w:numId="80" w16cid:durableId="1502770879">
    <w:abstractNumId w:val="45"/>
  </w:num>
  <w:num w:numId="81" w16cid:durableId="1024870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67195817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3F63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6BE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5EC7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3EA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5CE1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1F0D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9F0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3EE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1863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1A78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2EA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053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296D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047"/>
    <w:rsid w:val="0087612B"/>
    <w:rsid w:val="00876C6D"/>
    <w:rsid w:val="00876F20"/>
    <w:rsid w:val="00880256"/>
    <w:rsid w:val="00880581"/>
    <w:rsid w:val="00880C9C"/>
    <w:rsid w:val="00880D6E"/>
    <w:rsid w:val="00881B12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D1F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DE8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6A03"/>
    <w:rsid w:val="009E74ED"/>
    <w:rsid w:val="009E75BA"/>
    <w:rsid w:val="009E78E9"/>
    <w:rsid w:val="009E79A6"/>
    <w:rsid w:val="009E7F44"/>
    <w:rsid w:val="009E7FBC"/>
    <w:rsid w:val="009F033F"/>
    <w:rsid w:val="009F0630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541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82B"/>
    <w:rsid w:val="00B44A21"/>
    <w:rsid w:val="00B44B75"/>
    <w:rsid w:val="00B457EC"/>
    <w:rsid w:val="00B46287"/>
    <w:rsid w:val="00B477A3"/>
    <w:rsid w:val="00B47AAC"/>
    <w:rsid w:val="00B47DD9"/>
    <w:rsid w:val="00B50A95"/>
    <w:rsid w:val="00B50CD8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8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42E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23F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7DB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D6A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3697"/>
    <w:rsid w:val="00D1379F"/>
    <w:rsid w:val="00D137ED"/>
    <w:rsid w:val="00D13D8A"/>
    <w:rsid w:val="00D14506"/>
    <w:rsid w:val="00D147CA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4F65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3A8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392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CCE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D84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0D1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1FACBD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07E9B3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79D331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42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5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-poland@ec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purl.org/dc/dcmitype/"/>
    <ds:schemaRef ds:uri="f10ac06e-816e-4d4c-9e18-e30054a259f2"/>
    <ds:schemaRef ds:uri="http://purl.org/dc/terms/"/>
    <ds:schemaRef ds:uri="http://purl.org/dc/elements/1.1/"/>
    <ds:schemaRef ds:uri="http://www.w3.org/XML/1998/namespace"/>
    <ds:schemaRef ds:uri="02b634f1-d4b8-44f5-b915-b6b96903ae5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999901-CBA4-46A2-9506-90BF8DED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11649</Words>
  <Characters>69900</Characters>
  <Application>Microsoft Office Word</Application>
  <DocSecurity>0</DocSecurity>
  <Lines>582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81387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Dorota Mróz-Kaproń</cp:lastModifiedBy>
  <cp:revision>7</cp:revision>
  <cp:lastPrinted>2023-09-15T12:43:00Z</cp:lastPrinted>
  <dcterms:created xsi:type="dcterms:W3CDTF">2024-06-06T07:03:00Z</dcterms:created>
  <dcterms:modified xsi:type="dcterms:W3CDTF">2024-06-07T06:23:00Z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