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9922" w14:textId="77777777" w:rsidR="00676B35" w:rsidRPr="00253D12" w:rsidRDefault="005E2BD6" w:rsidP="005E2BD6">
      <w:pPr>
        <w:jc w:val="center"/>
        <w:rPr>
          <w:b/>
        </w:rPr>
      </w:pPr>
      <w:r w:rsidRPr="00253D12">
        <w:rPr>
          <w:b/>
        </w:rPr>
        <w:t>REGULAMIN</w:t>
      </w:r>
    </w:p>
    <w:p w14:paraId="3E9E1056" w14:textId="2F00FC16" w:rsidR="005E2BD6" w:rsidRPr="00253D12" w:rsidRDefault="000867AB" w:rsidP="000867AB">
      <w:pPr>
        <w:jc w:val="center"/>
        <w:rPr>
          <w:b/>
        </w:rPr>
      </w:pPr>
      <w:r>
        <w:rPr>
          <w:b/>
        </w:rPr>
        <w:t>DNI DZIEDZICTWA POLSKIEGO 2024</w:t>
      </w:r>
    </w:p>
    <w:p w14:paraId="50E5909A" w14:textId="77777777" w:rsidR="005E2BD6" w:rsidRDefault="005E2BD6" w:rsidP="005E2BD6">
      <w:pPr>
        <w:jc w:val="center"/>
      </w:pPr>
    </w:p>
    <w:p w14:paraId="11E94A3A" w14:textId="7AD1042C" w:rsidR="00FC39BB" w:rsidRDefault="00253D12" w:rsidP="005E2BD6">
      <w:pPr>
        <w:jc w:val="both"/>
      </w:pPr>
      <w:r w:rsidRPr="00253D12">
        <w:t>Celem projektu jest świętowanie i promowanie przez zamieszkałych w Zjednoczonym Królestwie Polaków</w:t>
      </w:r>
      <w:r w:rsidR="008E0345">
        <w:t>, Brytyjczyków, a także inne narodowości</w:t>
      </w:r>
      <w:r w:rsidRPr="00253D12">
        <w:t xml:space="preserve"> polskiej kultury, dziedzictwa przeszłych pokoleń, polskiego wkładu w życie kulturalne, gospodarcze i społeczne Wielkiej Brytanii, oraz podkreślenie pozytywnej roli, jaką polska społeczność p</w:t>
      </w:r>
      <w:r w:rsidR="00A91BC9">
        <w:t>ełni w Zjednoczonym Królestwie.</w:t>
      </w:r>
    </w:p>
    <w:p w14:paraId="3DD14439" w14:textId="77777777" w:rsidR="005E2BD6" w:rsidRDefault="00253D12" w:rsidP="005E2BD6">
      <w:pPr>
        <w:jc w:val="both"/>
      </w:pPr>
      <w:r w:rsidRPr="00253D12">
        <w:t>To także okazja do świętowania w szerszej społeczności Dnia Polonii i Polaków za Granicą oraz Dnia Flagi RP przypadających na dzień 2 maja oraz Święta Konstytucji 3 Maja.</w:t>
      </w:r>
    </w:p>
    <w:p w14:paraId="20331E8B" w14:textId="77777777" w:rsidR="00FC39BB" w:rsidRDefault="00FC39BB" w:rsidP="00FC39BB">
      <w:pPr>
        <w:jc w:val="both"/>
      </w:pPr>
      <w:r>
        <w:t xml:space="preserve">Skierowany do szerokiego grona odbiorców program dotacyjny „Polish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Days</w:t>
      </w:r>
      <w:proofErr w:type="spellEnd"/>
      <w:r>
        <w:t>” wspiera działania o charakterze kulturowym, artystycznym, edukacyjnym, przygotowujące do godnego celebrowania polskiego dziedzictwa.</w:t>
      </w:r>
    </w:p>
    <w:p w14:paraId="64277A2F" w14:textId="77777777" w:rsidR="00FC39BB" w:rsidRDefault="00FC39BB" w:rsidP="00FC39BB">
      <w:pPr>
        <w:jc w:val="both"/>
      </w:pPr>
      <w:r>
        <w:t>W ramach projektu nie będą wspierane zadania, których założenia są niezgodne z wartościami – wolnością, solidarnością oraz poszanowaniem godności i praw człowieka, służącym wzmacnianiu wspólnoty w oparciu o polską tradycję państwową i polskie dziedzictwo.</w:t>
      </w:r>
    </w:p>
    <w:p w14:paraId="5987460C" w14:textId="4BC951E8" w:rsidR="00BF474D" w:rsidRDefault="00FC39BB" w:rsidP="00BF474D">
      <w:pPr>
        <w:jc w:val="both"/>
      </w:pPr>
      <w:r>
        <w:t xml:space="preserve">Inicjatywy wspierane w ramach projektu powinny przyczyniać się do popularyzacji wiedzy na temat </w:t>
      </w:r>
      <w:r w:rsidRPr="00FC39BB">
        <w:t xml:space="preserve">polskiej kultury, dziedzictwa przeszłych pokoleń, polskiego wkładu w </w:t>
      </w:r>
      <w:r w:rsidR="00A91BC9">
        <w:t xml:space="preserve">życie kulturalne, gospodarcze </w:t>
      </w:r>
      <w:r w:rsidR="00A91BC9" w:rsidRPr="00A91BC9">
        <w:t>i</w:t>
      </w:r>
      <w:r w:rsidR="00A91BC9">
        <w:t> </w:t>
      </w:r>
      <w:r w:rsidRPr="00A91BC9">
        <w:t>społeczne</w:t>
      </w:r>
      <w:r w:rsidRPr="00FC39BB">
        <w:t xml:space="preserve"> Wielkiej Brytanii</w:t>
      </w:r>
      <w:r w:rsidR="00BF474D">
        <w:t>,</w:t>
      </w:r>
      <w:r>
        <w:t xml:space="preserve"> z uwzględnieni</w:t>
      </w:r>
      <w:r w:rsidR="00BF474D">
        <w:t xml:space="preserve">em kontekstów regionalnych oraz </w:t>
      </w:r>
      <w:r>
        <w:t xml:space="preserve">wzmacniać poczucie wspólnoty lokalnej poprzez </w:t>
      </w:r>
      <w:r w:rsidR="00BF474D" w:rsidRPr="00BF474D">
        <w:t xml:space="preserve">podkreślenie pozytywnej roli, </w:t>
      </w:r>
      <w:r w:rsidR="00A91BC9">
        <w:t>jaką polska społeczność pełni w </w:t>
      </w:r>
      <w:r w:rsidR="00BF474D" w:rsidRPr="00BF474D">
        <w:t>Zjednoczonym Królestwie.</w:t>
      </w:r>
    </w:p>
    <w:p w14:paraId="3597268F" w14:textId="77777777" w:rsidR="00BF474D" w:rsidRDefault="00BF474D" w:rsidP="00BF474D">
      <w:pPr>
        <w:jc w:val="both"/>
      </w:pPr>
    </w:p>
    <w:p w14:paraId="02AEFA85" w14:textId="77777777" w:rsidR="005E2BD6" w:rsidRPr="00BF474D" w:rsidRDefault="005E2BD6" w:rsidP="00BF474D">
      <w:pPr>
        <w:jc w:val="center"/>
        <w:rPr>
          <w:b/>
        </w:rPr>
      </w:pPr>
      <w:r w:rsidRPr="00BF474D">
        <w:rPr>
          <w:b/>
        </w:rPr>
        <w:t>§ 1</w:t>
      </w:r>
    </w:p>
    <w:p w14:paraId="0DCD6722" w14:textId="77777777" w:rsidR="00BF474D" w:rsidRPr="00BF474D" w:rsidRDefault="005E2BD6" w:rsidP="00BF474D">
      <w:pPr>
        <w:jc w:val="center"/>
        <w:rPr>
          <w:b/>
        </w:rPr>
      </w:pPr>
      <w:r w:rsidRPr="00BF474D">
        <w:rPr>
          <w:b/>
        </w:rPr>
        <w:t>D</w:t>
      </w:r>
      <w:r w:rsidR="00BF474D" w:rsidRPr="00BF474D">
        <w:rPr>
          <w:b/>
        </w:rPr>
        <w:t>EFINICJE</w:t>
      </w:r>
    </w:p>
    <w:p w14:paraId="1BFA3A47" w14:textId="77777777" w:rsidR="005E2BD6" w:rsidRDefault="005E2BD6" w:rsidP="007F2EF8">
      <w:pPr>
        <w:jc w:val="both"/>
      </w:pPr>
      <w:r>
        <w:t>Użyte w regulaminie określenia oznaczają:</w:t>
      </w:r>
    </w:p>
    <w:p w14:paraId="699A85BD" w14:textId="77777777" w:rsidR="00BF474D" w:rsidRDefault="00BF474D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 xml:space="preserve">Ambasada </w:t>
      </w:r>
      <w:r>
        <w:t>– Ambasada Rzeczypospolitej Polski</w:t>
      </w:r>
      <w:r w:rsidR="008E0345">
        <w:t>ej</w:t>
      </w:r>
      <w:r>
        <w:t xml:space="preserve"> w Londynie, instytucja zarządzająca projektem;</w:t>
      </w:r>
    </w:p>
    <w:p w14:paraId="68099C98" w14:textId="77777777" w:rsidR="00BF474D" w:rsidRDefault="00BF474D" w:rsidP="007F2EF8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Ambasador </w:t>
      </w:r>
      <w:r>
        <w:t>– Ambasador</w:t>
      </w:r>
      <w:r w:rsidRPr="00BF474D">
        <w:t xml:space="preserve"> nadzwyczajny i pełnomocny RP w Zjednoczonym Królestwie Wielkie</w:t>
      </w:r>
      <w:r>
        <w:t>j Brytanii i Irlandii Północnej;</w:t>
      </w:r>
    </w:p>
    <w:p w14:paraId="53C95380" w14:textId="77777777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 xml:space="preserve">PHD – </w:t>
      </w:r>
      <w:r>
        <w:t xml:space="preserve">Polish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Days</w:t>
      </w:r>
      <w:proofErr w:type="spellEnd"/>
      <w:r w:rsidR="00BF474D">
        <w:t>;</w:t>
      </w:r>
    </w:p>
    <w:p w14:paraId="6D953EFF" w14:textId="77777777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wnioskodawca</w:t>
      </w:r>
      <w:r>
        <w:t xml:space="preserve"> – podmiot składający wniosek o dofinansowanie zadania w ramach projektu PHD;</w:t>
      </w:r>
    </w:p>
    <w:p w14:paraId="119EB340" w14:textId="77777777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beneficjent</w:t>
      </w:r>
      <w:r>
        <w:t xml:space="preserve"> – </w:t>
      </w:r>
      <w:r w:rsidR="008E0345">
        <w:t>w</w:t>
      </w:r>
      <w:r>
        <w:t xml:space="preserve">nioskodawca, który uzyskał dofinansowanie w ramach </w:t>
      </w:r>
      <w:r w:rsidR="00FC39BB">
        <w:t xml:space="preserve">projektu </w:t>
      </w:r>
      <w:r>
        <w:t>na realizację zadania;</w:t>
      </w:r>
    </w:p>
    <w:p w14:paraId="104F6669" w14:textId="77777777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zadanie</w:t>
      </w:r>
      <w:r>
        <w:t xml:space="preserve"> – działanie będące przedmiotem wniosku;</w:t>
      </w:r>
    </w:p>
    <w:p w14:paraId="51187A8C" w14:textId="5FB7B361" w:rsidR="005E2BD6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wniosek</w:t>
      </w:r>
      <w:r>
        <w:t xml:space="preserve"> – wniosek o dofinansowanie z</w:t>
      </w:r>
      <w:r w:rsidR="00FC39BB">
        <w:t xml:space="preserve">adania realizowanego ze środków </w:t>
      </w:r>
      <w:r w:rsidR="00A91BC9">
        <w:t>pozostających w </w:t>
      </w:r>
      <w:r>
        <w:t xml:space="preserve">dyspozycji </w:t>
      </w:r>
      <w:r w:rsidR="00FC39BB">
        <w:t>Ambasa</w:t>
      </w:r>
      <w:r w:rsidR="00BF474D">
        <w:t>dy</w:t>
      </w:r>
      <w:r>
        <w:t>, wypełniany i wysyłany przez wnioskodawcę</w:t>
      </w:r>
      <w:r w:rsidR="00BF474D">
        <w:t>;</w:t>
      </w:r>
    </w:p>
    <w:p w14:paraId="332233BD" w14:textId="77777777" w:rsidR="00BF474D" w:rsidRDefault="00BF474D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błędy formalne</w:t>
      </w:r>
      <w:r>
        <w:t xml:space="preserve"> – wady wniosku wynikające z niedostosowania zadania do wymagań związanych z zakresem projektu, które uniemożliwiają udzielenie dofinansowania dla zadania w ramach projektu i których wnioskodawca nie może poprawić po terminie zamknięcia naboru do projektu;</w:t>
      </w:r>
    </w:p>
    <w:p w14:paraId="42279C32" w14:textId="77777777" w:rsidR="005E2BD6" w:rsidRPr="00BF474D" w:rsidRDefault="00BF474D" w:rsidP="00BF474D">
      <w:pPr>
        <w:jc w:val="center"/>
        <w:rPr>
          <w:b/>
        </w:rPr>
      </w:pPr>
      <w:r w:rsidRPr="00BF474D">
        <w:rPr>
          <w:b/>
        </w:rPr>
        <w:t>§ 2</w:t>
      </w:r>
    </w:p>
    <w:p w14:paraId="04A00F65" w14:textId="77777777" w:rsidR="005E2BD6" w:rsidRPr="00BF474D" w:rsidRDefault="005E2BD6" w:rsidP="00BF474D">
      <w:pPr>
        <w:jc w:val="center"/>
        <w:rPr>
          <w:b/>
        </w:rPr>
      </w:pPr>
      <w:r w:rsidRPr="00BF474D">
        <w:rPr>
          <w:b/>
        </w:rPr>
        <w:lastRenderedPageBreak/>
        <w:t>INSTYTUCJA ZARZĄDZAJĄCA</w:t>
      </w:r>
    </w:p>
    <w:p w14:paraId="0B7B5862" w14:textId="77777777" w:rsidR="00C353D4" w:rsidRDefault="00C353D4" w:rsidP="007F2EF8">
      <w:pPr>
        <w:jc w:val="both"/>
      </w:pPr>
      <w:r>
        <w:t>Instytucjami zarządzającymi</w:t>
      </w:r>
      <w:r w:rsidR="005E2BD6">
        <w:t xml:space="preserve"> pro</w:t>
      </w:r>
      <w:r w:rsidR="00BF474D">
        <w:t>jektem</w:t>
      </w:r>
      <w:r w:rsidR="005E2BD6">
        <w:t xml:space="preserve"> </w:t>
      </w:r>
      <w:r>
        <w:t>są zgodnie z obowiązującymi okręgami konsularnymi:</w:t>
      </w:r>
    </w:p>
    <w:p w14:paraId="15FA4E0B" w14:textId="2E78AAF8" w:rsidR="005E2BD6" w:rsidRPr="00C353D4" w:rsidRDefault="00BF474D" w:rsidP="007F2EF8">
      <w:pPr>
        <w:pStyle w:val="Akapitzlist"/>
        <w:numPr>
          <w:ilvl w:val="0"/>
          <w:numId w:val="9"/>
        </w:numPr>
        <w:jc w:val="both"/>
        <w:rPr>
          <w:lang w:val="en-US"/>
        </w:rPr>
      </w:pPr>
      <w:r w:rsidRPr="00C353D4">
        <w:rPr>
          <w:lang w:val="en-US"/>
        </w:rPr>
        <w:t xml:space="preserve">Ambasada </w:t>
      </w:r>
      <w:proofErr w:type="spellStart"/>
      <w:r w:rsidRPr="00C353D4">
        <w:rPr>
          <w:lang w:val="en-US"/>
        </w:rPr>
        <w:t>Rzeczypospolitej</w:t>
      </w:r>
      <w:proofErr w:type="spellEnd"/>
      <w:r w:rsidRPr="00C353D4">
        <w:rPr>
          <w:lang w:val="en-US"/>
        </w:rPr>
        <w:t xml:space="preserve"> </w:t>
      </w:r>
      <w:proofErr w:type="spellStart"/>
      <w:r w:rsidRPr="00C353D4">
        <w:rPr>
          <w:lang w:val="en-US"/>
        </w:rPr>
        <w:t>Polskiej</w:t>
      </w:r>
      <w:proofErr w:type="spellEnd"/>
      <w:r w:rsidRPr="00C353D4">
        <w:rPr>
          <w:lang w:val="en-US"/>
        </w:rPr>
        <w:t xml:space="preserve"> w Londynie</w:t>
      </w:r>
      <w:r w:rsidR="00C353D4">
        <w:rPr>
          <w:lang w:val="en-US"/>
        </w:rPr>
        <w:t xml:space="preserve"> [</w:t>
      </w:r>
      <w:proofErr w:type="spellStart"/>
      <w:r w:rsidR="00C353D4">
        <w:rPr>
          <w:lang w:val="en-US"/>
        </w:rPr>
        <w:t>obejmuje</w:t>
      </w:r>
      <w:proofErr w:type="spellEnd"/>
      <w:r w:rsidR="00C353D4">
        <w:rPr>
          <w:lang w:val="en-US"/>
        </w:rPr>
        <w:t xml:space="preserve"> </w:t>
      </w:r>
      <w:proofErr w:type="spellStart"/>
      <w:r w:rsidR="00D40F9F">
        <w:rPr>
          <w:lang w:val="en-US"/>
        </w:rPr>
        <w:t>terytorium</w:t>
      </w:r>
      <w:proofErr w:type="spellEnd"/>
      <w:r w:rsidR="00D40F9F">
        <w:rPr>
          <w:lang w:val="en-US"/>
        </w:rPr>
        <w:t xml:space="preserve"> </w:t>
      </w:r>
      <w:r w:rsidR="00C353D4" w:rsidRPr="00C353D4">
        <w:rPr>
          <w:lang w:val="en-US"/>
        </w:rPr>
        <w:t xml:space="preserve">Bedfordshire, Berkshire, Bristol, Buckinghamshire, </w:t>
      </w:r>
      <w:proofErr w:type="spellStart"/>
      <w:r w:rsidR="00C353D4" w:rsidRPr="00C353D4">
        <w:rPr>
          <w:lang w:val="en-US"/>
        </w:rPr>
        <w:t>Cambridgeshire</w:t>
      </w:r>
      <w:proofErr w:type="spellEnd"/>
      <w:r w:rsidR="00C353D4" w:rsidRPr="00C353D4">
        <w:rPr>
          <w:lang w:val="en-US"/>
        </w:rPr>
        <w:t xml:space="preserve">, Cornwall, Devon, Dorset, East Sussex, Essex, Gloucestershire, Greater London, Hampshire, Herefordshire, Kent, Norfolk, </w:t>
      </w:r>
      <w:proofErr w:type="spellStart"/>
      <w:r w:rsidR="00C353D4" w:rsidRPr="00C353D4">
        <w:rPr>
          <w:lang w:val="en-US"/>
        </w:rPr>
        <w:t>Northamptonshire</w:t>
      </w:r>
      <w:proofErr w:type="spellEnd"/>
      <w:r w:rsidR="00C353D4" w:rsidRPr="00C353D4">
        <w:rPr>
          <w:lang w:val="en-US"/>
        </w:rPr>
        <w:t xml:space="preserve">, </w:t>
      </w:r>
      <w:proofErr w:type="spellStart"/>
      <w:r w:rsidR="00C353D4" w:rsidRPr="00C353D4">
        <w:rPr>
          <w:lang w:val="en-US"/>
        </w:rPr>
        <w:t>Oxfordshire</w:t>
      </w:r>
      <w:proofErr w:type="spellEnd"/>
      <w:r w:rsidR="00C353D4" w:rsidRPr="00C353D4">
        <w:rPr>
          <w:lang w:val="en-US"/>
        </w:rPr>
        <w:t>, Somerset, Suffolk, Surrey, Warwickshire, West Sussex, Wiltshire, Worcestershire, West Midlands, Isle of Wight, Channel Islands (Jersey, Guernsey), Gib</w:t>
      </w:r>
      <w:r w:rsidR="00C353D4">
        <w:rPr>
          <w:lang w:val="en-US"/>
        </w:rPr>
        <w:t xml:space="preserve">raltar </w:t>
      </w:r>
      <w:proofErr w:type="spellStart"/>
      <w:r w:rsidR="00C353D4">
        <w:rPr>
          <w:lang w:val="en-US"/>
        </w:rPr>
        <w:t>oraz</w:t>
      </w:r>
      <w:proofErr w:type="spellEnd"/>
      <w:r w:rsidR="00C353D4">
        <w:rPr>
          <w:lang w:val="en-US"/>
        </w:rPr>
        <w:t xml:space="preserve"> </w:t>
      </w:r>
      <w:proofErr w:type="spellStart"/>
      <w:r w:rsidR="00C353D4">
        <w:rPr>
          <w:lang w:val="en-US"/>
        </w:rPr>
        <w:t>terytoria</w:t>
      </w:r>
      <w:proofErr w:type="spellEnd"/>
      <w:r w:rsidR="00C353D4">
        <w:rPr>
          <w:lang w:val="en-US"/>
        </w:rPr>
        <w:t xml:space="preserve"> </w:t>
      </w:r>
      <w:proofErr w:type="spellStart"/>
      <w:r w:rsidR="00C353D4">
        <w:rPr>
          <w:lang w:val="en-US"/>
        </w:rPr>
        <w:t>zamorskie</w:t>
      </w:r>
      <w:proofErr w:type="spellEnd"/>
      <w:r w:rsidR="00C353D4">
        <w:rPr>
          <w:lang w:val="en-US"/>
        </w:rPr>
        <w:t>];</w:t>
      </w:r>
    </w:p>
    <w:p w14:paraId="3E90B671" w14:textId="592EA94A" w:rsidR="00C353D4" w:rsidRPr="00C353D4" w:rsidRDefault="00C353D4" w:rsidP="007F2EF8">
      <w:pPr>
        <w:pStyle w:val="Akapitzlist"/>
        <w:numPr>
          <w:ilvl w:val="0"/>
          <w:numId w:val="9"/>
        </w:numPr>
        <w:jc w:val="both"/>
        <w:rPr>
          <w:lang w:val="en-US"/>
        </w:rPr>
      </w:pPr>
      <w:proofErr w:type="spellStart"/>
      <w:r w:rsidRPr="00C353D4">
        <w:rPr>
          <w:lang w:val="en-US"/>
        </w:rPr>
        <w:t>Konsulat</w:t>
      </w:r>
      <w:proofErr w:type="spellEnd"/>
      <w:r w:rsidRPr="00C353D4">
        <w:rPr>
          <w:lang w:val="en-US"/>
        </w:rPr>
        <w:t xml:space="preserve"> </w:t>
      </w:r>
      <w:proofErr w:type="spellStart"/>
      <w:r w:rsidRPr="00C353D4">
        <w:rPr>
          <w:lang w:val="en-US"/>
        </w:rPr>
        <w:t>Generalny</w:t>
      </w:r>
      <w:proofErr w:type="spellEnd"/>
      <w:r w:rsidR="00B633C9">
        <w:rPr>
          <w:lang w:val="en-US"/>
        </w:rPr>
        <w:t xml:space="preserve"> RP</w:t>
      </w:r>
      <w:r w:rsidRPr="00C353D4">
        <w:rPr>
          <w:lang w:val="en-US"/>
        </w:rPr>
        <w:t xml:space="preserve"> w </w:t>
      </w:r>
      <w:proofErr w:type="spellStart"/>
      <w:r w:rsidRPr="00C353D4">
        <w:rPr>
          <w:lang w:val="en-US"/>
        </w:rPr>
        <w:t>Manchesterze</w:t>
      </w:r>
      <w:proofErr w:type="spellEnd"/>
      <w:r w:rsidRPr="00C353D4">
        <w:rPr>
          <w:lang w:val="en-US"/>
        </w:rPr>
        <w:t xml:space="preserve"> [</w:t>
      </w:r>
      <w:proofErr w:type="spellStart"/>
      <w:r w:rsidRPr="00C353D4">
        <w:rPr>
          <w:lang w:val="en-US"/>
        </w:rPr>
        <w:t>obejmuje</w:t>
      </w:r>
      <w:proofErr w:type="spellEnd"/>
      <w:r w:rsidRPr="00C353D4">
        <w:rPr>
          <w:lang w:val="en-US"/>
        </w:rPr>
        <w:t xml:space="preserve"> </w:t>
      </w:r>
      <w:proofErr w:type="spellStart"/>
      <w:r w:rsidR="00D40F9F">
        <w:rPr>
          <w:lang w:val="en-US"/>
        </w:rPr>
        <w:t>terytorium</w:t>
      </w:r>
      <w:proofErr w:type="spellEnd"/>
      <w:r w:rsidR="00D40F9F">
        <w:rPr>
          <w:lang w:val="en-US"/>
        </w:rPr>
        <w:t xml:space="preserve"> </w:t>
      </w:r>
      <w:r w:rsidRPr="00C353D4">
        <w:rPr>
          <w:lang w:val="en-US"/>
        </w:rPr>
        <w:t xml:space="preserve">Cheshire, Cumbria, Derbyshire, Durham, Greater Manchester, East Riding of Yorkshire, Lancashire, Leicestershire, Lincolnshire, Merseyside, Northumberland, Nottinghamshire, </w:t>
      </w:r>
      <w:proofErr w:type="spellStart"/>
      <w:r w:rsidRPr="00C353D4">
        <w:rPr>
          <w:lang w:val="en-US"/>
        </w:rPr>
        <w:t>Shropshire</w:t>
      </w:r>
      <w:proofErr w:type="spellEnd"/>
      <w:r w:rsidRPr="00C353D4">
        <w:rPr>
          <w:lang w:val="en-US"/>
        </w:rPr>
        <w:t>, Staffordshire, Tyne and Wear, North Yorkshire, Rutland, South Yorkshire, West Yorkshire, Isl</w:t>
      </w:r>
      <w:r>
        <w:rPr>
          <w:lang w:val="en-US"/>
        </w:rPr>
        <w:t xml:space="preserve">e of Man </w:t>
      </w:r>
      <w:proofErr w:type="spellStart"/>
      <w:r>
        <w:rPr>
          <w:lang w:val="en-US"/>
        </w:rPr>
        <w:t>oraz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obszar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Walii</w:t>
      </w:r>
      <w:proofErr w:type="spellEnd"/>
      <w:r>
        <w:rPr>
          <w:lang w:val="en-US"/>
        </w:rPr>
        <w:t>]</w:t>
      </w:r>
      <w:r w:rsidRPr="00C353D4">
        <w:rPr>
          <w:lang w:val="en-US"/>
        </w:rPr>
        <w:t>;</w:t>
      </w:r>
    </w:p>
    <w:p w14:paraId="50B3DA9A" w14:textId="38EE87E1" w:rsidR="00C353D4" w:rsidRDefault="00C353D4" w:rsidP="007F2EF8">
      <w:pPr>
        <w:pStyle w:val="Akapitzlist"/>
        <w:numPr>
          <w:ilvl w:val="0"/>
          <w:numId w:val="9"/>
        </w:numPr>
        <w:jc w:val="both"/>
      </w:pPr>
      <w:r>
        <w:t xml:space="preserve">Konsulat Generalny </w:t>
      </w:r>
      <w:r w:rsidR="00B633C9">
        <w:t xml:space="preserve">RP </w:t>
      </w:r>
      <w:r>
        <w:t>w Edynburgu [</w:t>
      </w:r>
      <w:r w:rsidRPr="00C353D4">
        <w:t xml:space="preserve">obejmuje </w:t>
      </w:r>
      <w:r w:rsidR="00D40F9F">
        <w:t xml:space="preserve">terytorium </w:t>
      </w:r>
      <w:r w:rsidRPr="00C353D4">
        <w:t>Szkocj</w:t>
      </w:r>
      <w:r w:rsidR="00D40F9F">
        <w:t>i</w:t>
      </w:r>
      <w:r>
        <w:t>];</w:t>
      </w:r>
    </w:p>
    <w:p w14:paraId="1ED61FB6" w14:textId="669B7892" w:rsidR="00C353D4" w:rsidRDefault="00C353D4" w:rsidP="007F2EF8">
      <w:pPr>
        <w:pStyle w:val="Akapitzlist"/>
        <w:numPr>
          <w:ilvl w:val="0"/>
          <w:numId w:val="9"/>
        </w:numPr>
        <w:jc w:val="both"/>
      </w:pPr>
      <w:r>
        <w:t>Konsulat Generalny</w:t>
      </w:r>
      <w:r w:rsidR="00B633C9">
        <w:t xml:space="preserve"> RP </w:t>
      </w:r>
      <w:r>
        <w:t>w Belfaście [</w:t>
      </w:r>
      <w:r w:rsidRPr="00C353D4">
        <w:t xml:space="preserve">obejmuje </w:t>
      </w:r>
      <w:r w:rsidR="00D40F9F">
        <w:t xml:space="preserve">terytorium </w:t>
      </w:r>
      <w:r w:rsidRPr="00C353D4">
        <w:t>Irlandi</w:t>
      </w:r>
      <w:r w:rsidR="00D40F9F">
        <w:t>i</w:t>
      </w:r>
      <w:r w:rsidRPr="00C353D4">
        <w:t xml:space="preserve"> Północn</w:t>
      </w:r>
      <w:r w:rsidR="00D40F9F">
        <w:t>ej</w:t>
      </w:r>
      <w:r>
        <w:t xml:space="preserve">]. </w:t>
      </w:r>
    </w:p>
    <w:p w14:paraId="178B53D3" w14:textId="77777777" w:rsidR="005E2BD6" w:rsidRPr="00BF474D" w:rsidRDefault="00BF474D" w:rsidP="00BF474D">
      <w:pPr>
        <w:jc w:val="center"/>
        <w:rPr>
          <w:b/>
        </w:rPr>
      </w:pPr>
      <w:r>
        <w:rPr>
          <w:b/>
        </w:rPr>
        <w:t>§ 3</w:t>
      </w:r>
    </w:p>
    <w:p w14:paraId="571B7CCC" w14:textId="77777777" w:rsidR="005E2BD6" w:rsidRPr="00BF474D" w:rsidRDefault="00BF474D" w:rsidP="00BF474D">
      <w:pPr>
        <w:jc w:val="center"/>
        <w:rPr>
          <w:b/>
        </w:rPr>
      </w:pPr>
      <w:r w:rsidRPr="00BF474D">
        <w:rPr>
          <w:b/>
        </w:rPr>
        <w:t>CEL</w:t>
      </w:r>
    </w:p>
    <w:p w14:paraId="548F9252" w14:textId="77777777" w:rsidR="00BF474D" w:rsidRDefault="00BF474D" w:rsidP="007F2EF8">
      <w:pPr>
        <w:jc w:val="both"/>
      </w:pPr>
      <w:r w:rsidRPr="00BF474D">
        <w:t xml:space="preserve">Celem </w:t>
      </w:r>
      <w:r>
        <w:t xml:space="preserve">strategicznym </w:t>
      </w:r>
      <w:r w:rsidRPr="00BF474D">
        <w:t>projektu jest promowanie w Zjednoczonym Królestwie polskiej kultury, dziedzictwa przeszłych pokoleń, polskiego wkładu w życie kulturalne, gospodarcze i społeczne Wielkiej Brytanii, oraz podkreślenie pozytywnej roli, jaką polska społeczność pełni w Zjednoczonym Królestwie.</w:t>
      </w:r>
    </w:p>
    <w:p w14:paraId="22ED496E" w14:textId="77777777" w:rsidR="005E2BD6" w:rsidRDefault="005E2BD6" w:rsidP="007F2EF8">
      <w:pPr>
        <w:jc w:val="both"/>
      </w:pPr>
      <w:r>
        <w:t>Pro</w:t>
      </w:r>
      <w:r w:rsidR="00BF474D">
        <w:t>jekt</w:t>
      </w:r>
      <w:r>
        <w:t xml:space="preserve"> wspiera inicjatywy, których realizacja przyczyni się do:</w:t>
      </w:r>
    </w:p>
    <w:p w14:paraId="0426BB2F" w14:textId="77777777" w:rsidR="005E2BD6" w:rsidRDefault="00813F5B" w:rsidP="007F2EF8">
      <w:pPr>
        <w:pStyle w:val="Akapitzlist"/>
        <w:numPr>
          <w:ilvl w:val="0"/>
          <w:numId w:val="8"/>
        </w:numPr>
        <w:jc w:val="both"/>
      </w:pPr>
      <w:r>
        <w:t>promocji polskiego dziedzictwa w Wielkiej Brytanii</w:t>
      </w:r>
      <w:r w:rsidR="00C61F1A">
        <w:t>;</w:t>
      </w:r>
    </w:p>
    <w:p w14:paraId="5CE7B2B8" w14:textId="77777777" w:rsidR="00813F5B" w:rsidRDefault="00813F5B" w:rsidP="007F2EF8">
      <w:pPr>
        <w:pStyle w:val="Akapitzlist"/>
        <w:numPr>
          <w:ilvl w:val="0"/>
          <w:numId w:val="8"/>
        </w:numPr>
        <w:jc w:val="both"/>
      </w:pPr>
      <w:r>
        <w:t>wzmacniania dobrego wizerunku Polaków mieszkających na Wyspach</w:t>
      </w:r>
      <w:r w:rsidR="00C61F1A">
        <w:t>;</w:t>
      </w:r>
    </w:p>
    <w:p w14:paraId="3FC022F9" w14:textId="031D13D3" w:rsidR="00813F5B" w:rsidRDefault="00813F5B" w:rsidP="007F2EF8">
      <w:pPr>
        <w:pStyle w:val="Akapitzlist"/>
        <w:numPr>
          <w:ilvl w:val="0"/>
          <w:numId w:val="8"/>
        </w:numPr>
        <w:jc w:val="both"/>
      </w:pPr>
      <w:r>
        <w:t xml:space="preserve">zaangażowania </w:t>
      </w:r>
      <w:r w:rsidR="00D40F9F">
        <w:t xml:space="preserve">brytyjskich </w:t>
      </w:r>
      <w:r>
        <w:t xml:space="preserve">władz </w:t>
      </w:r>
      <w:r w:rsidR="00D40F9F">
        <w:t xml:space="preserve">lokalnych </w:t>
      </w:r>
      <w:r w:rsidR="000A741E">
        <w:t xml:space="preserve">czy instytucji </w:t>
      </w:r>
      <w:r w:rsidR="00A91BC9">
        <w:t>w wydarzenia organizowane w </w:t>
      </w:r>
      <w:r>
        <w:t>ramach PHD</w:t>
      </w:r>
      <w:r w:rsidR="008E0345">
        <w:t>.</w:t>
      </w:r>
    </w:p>
    <w:p w14:paraId="490A7409" w14:textId="77777777" w:rsidR="00BF474D" w:rsidRDefault="00BF474D" w:rsidP="005E2BD6"/>
    <w:p w14:paraId="31126559" w14:textId="77777777" w:rsidR="00BF474D" w:rsidRPr="00BF474D" w:rsidRDefault="00BF474D" w:rsidP="00BF474D">
      <w:pPr>
        <w:jc w:val="center"/>
        <w:rPr>
          <w:b/>
        </w:rPr>
      </w:pPr>
      <w:r>
        <w:rPr>
          <w:b/>
        </w:rPr>
        <w:t>§ 4</w:t>
      </w:r>
    </w:p>
    <w:p w14:paraId="29C6C646" w14:textId="77777777" w:rsidR="00BF474D" w:rsidRPr="00953A29" w:rsidRDefault="00BF474D" w:rsidP="00BF474D">
      <w:pPr>
        <w:jc w:val="center"/>
        <w:rPr>
          <w:b/>
        </w:rPr>
      </w:pPr>
      <w:r w:rsidRPr="00953A29">
        <w:rPr>
          <w:b/>
        </w:rPr>
        <w:t>UPRAWNIENI WNIOSKODAWCY</w:t>
      </w:r>
    </w:p>
    <w:p w14:paraId="49B13515" w14:textId="33F5C859" w:rsidR="00BF474D" w:rsidRPr="00953A29" w:rsidRDefault="00BF474D" w:rsidP="007F2EF8">
      <w:pPr>
        <w:jc w:val="both"/>
      </w:pPr>
      <w:r w:rsidRPr="00953A29">
        <w:t xml:space="preserve">O dofinansowanie w ramach programu mogą ubiegać się </w:t>
      </w:r>
      <w:r w:rsidR="00953A29" w:rsidRPr="00953A29">
        <w:t>podmioty reprezentujące środowisko polonijne oraz działające na rzecz Polonii i Polaków mieszkających w Zjednoczonym Królestwie Wielkiej Brytanii i Irlandii Północnej posiadające określoną formę prawną prowadzonej działalności.</w:t>
      </w:r>
    </w:p>
    <w:p w14:paraId="2E4E55AD" w14:textId="77777777" w:rsidR="00BF474D" w:rsidRPr="00BF474D" w:rsidRDefault="00BF474D" w:rsidP="00BF474D">
      <w:pPr>
        <w:jc w:val="center"/>
        <w:rPr>
          <w:b/>
        </w:rPr>
      </w:pPr>
      <w:r w:rsidRPr="00BF474D">
        <w:rPr>
          <w:b/>
        </w:rPr>
        <w:t xml:space="preserve">§ </w:t>
      </w:r>
      <w:r w:rsidR="005B5269">
        <w:rPr>
          <w:b/>
        </w:rPr>
        <w:t>5</w:t>
      </w:r>
    </w:p>
    <w:p w14:paraId="0E3988AB" w14:textId="77777777" w:rsidR="00BF474D" w:rsidRPr="00BF474D" w:rsidRDefault="00BF474D" w:rsidP="00BF474D">
      <w:pPr>
        <w:jc w:val="center"/>
        <w:rPr>
          <w:b/>
        </w:rPr>
      </w:pPr>
      <w:r w:rsidRPr="00BF474D">
        <w:rPr>
          <w:b/>
        </w:rPr>
        <w:t>RODZAJE KWALIFIKUJĄCYCH SIĘ ZADAŃ</w:t>
      </w:r>
    </w:p>
    <w:p w14:paraId="503CD226" w14:textId="0933E026" w:rsidR="00BF474D" w:rsidRDefault="00BF474D" w:rsidP="007044C5">
      <w:pPr>
        <w:jc w:val="both"/>
      </w:pPr>
      <w:r>
        <w:t>1. W ramach pro</w:t>
      </w:r>
      <w:r w:rsidR="007044C5">
        <w:t>jektu</w:t>
      </w:r>
      <w:r>
        <w:t xml:space="preserve"> </w:t>
      </w:r>
      <w:r w:rsidR="007044C5">
        <w:t>z</w:t>
      </w:r>
      <w:r>
        <w:t>akłada się możl</w:t>
      </w:r>
      <w:r w:rsidR="007044C5">
        <w:t xml:space="preserve">iwość realizacji zarówno dużych </w:t>
      </w:r>
      <w:r>
        <w:t>przedsięwzięć, jak i kameralnych wydarzeń</w:t>
      </w:r>
      <w:r w:rsidR="00582941">
        <w:t xml:space="preserve"> organizowanych w miesiącu maju </w:t>
      </w:r>
      <w:r w:rsidR="000867AB">
        <w:t>2024</w:t>
      </w:r>
      <w:r w:rsidR="00F82C0E">
        <w:t xml:space="preserve"> </w:t>
      </w:r>
      <w:r w:rsidR="00582941">
        <w:t>r. (najlepiej w pierwszy weekend maja),</w:t>
      </w:r>
      <w:r>
        <w:t xml:space="preserve"> zwią</w:t>
      </w:r>
      <w:r w:rsidR="007044C5">
        <w:t>zanych tematycznie z</w:t>
      </w:r>
      <w:r w:rsidR="007F2EF8">
        <w:t xml:space="preserve"> </w:t>
      </w:r>
      <w:r w:rsidR="007F2EF8" w:rsidRPr="007F2EF8">
        <w:t>polonijn</w:t>
      </w:r>
      <w:r w:rsidR="007F2EF8">
        <w:t>ą</w:t>
      </w:r>
      <w:r w:rsidR="007F2EF8" w:rsidRPr="007F2EF8">
        <w:t xml:space="preserve"> solidarności</w:t>
      </w:r>
      <w:r w:rsidR="007F2EF8">
        <w:t>ą</w:t>
      </w:r>
      <w:r w:rsidR="007F2EF8" w:rsidRPr="007F2EF8">
        <w:t xml:space="preserve"> społeczn</w:t>
      </w:r>
      <w:r w:rsidR="007F2EF8">
        <w:t>ą i wzmacnianiem wartości wspólnotowych</w:t>
      </w:r>
      <w:r w:rsidR="00A91BC9">
        <w:t xml:space="preserve"> w </w:t>
      </w:r>
      <w:r w:rsidR="007F2EF8" w:rsidRPr="007F2EF8">
        <w:t>środowiskach lokalnych</w:t>
      </w:r>
      <w:r w:rsidR="007044C5">
        <w:t xml:space="preserve"> </w:t>
      </w:r>
      <w:r w:rsidR="000A741E">
        <w:t>lub szerzej promujących polsk</w:t>
      </w:r>
      <w:r w:rsidR="007F2EF8">
        <w:t>ą historię, kulturę i</w:t>
      </w:r>
      <w:r w:rsidR="000A741E">
        <w:t xml:space="preserve"> dziedzictwo </w:t>
      </w:r>
      <w:r w:rsidR="007F2EF8">
        <w:t>oraz</w:t>
      </w:r>
      <w:r w:rsidR="000A741E">
        <w:t xml:space="preserve"> </w:t>
      </w:r>
      <w:r w:rsidR="007F2EF8">
        <w:t>pozytywny</w:t>
      </w:r>
      <w:r w:rsidR="000A741E">
        <w:t xml:space="preserve"> wizerunek Polaków mieszkaj</w:t>
      </w:r>
      <w:r w:rsidR="00582941">
        <w:t xml:space="preserve">ących w Zjednoczonym Królestwie. </w:t>
      </w:r>
    </w:p>
    <w:p w14:paraId="4856E754" w14:textId="77777777" w:rsidR="00BF474D" w:rsidRDefault="00BF474D" w:rsidP="007044C5">
      <w:pPr>
        <w:jc w:val="both"/>
      </w:pPr>
      <w:r>
        <w:t>2. Celem programu jest wspieranie zadań o charak</w:t>
      </w:r>
      <w:r w:rsidR="007044C5">
        <w:t xml:space="preserve">terze niegospodarczym, w ramach </w:t>
      </w:r>
      <w:r>
        <w:t>których beneficjenci nie uzyskują p</w:t>
      </w:r>
      <w:r w:rsidR="007044C5">
        <w:t>rzychodów z realizacji zadania.</w:t>
      </w:r>
    </w:p>
    <w:p w14:paraId="48F54E18" w14:textId="77777777" w:rsidR="007044C5" w:rsidRDefault="00BF474D" w:rsidP="00BF474D">
      <w:r>
        <w:lastRenderedPageBreak/>
        <w:t>3. Rod</w:t>
      </w:r>
      <w:r w:rsidR="007044C5">
        <w:t>zaje kwalifikujących się zadań:</w:t>
      </w:r>
    </w:p>
    <w:p w14:paraId="05C1BAA0" w14:textId="77777777" w:rsidR="007044C5" w:rsidRDefault="00BF474D" w:rsidP="00BF474D">
      <w:pPr>
        <w:pStyle w:val="Akapitzlist"/>
        <w:numPr>
          <w:ilvl w:val="0"/>
          <w:numId w:val="5"/>
        </w:numPr>
      </w:pPr>
      <w:r>
        <w:t>festiwale, koncerty, spektak</w:t>
      </w:r>
      <w:r w:rsidR="00C0649D">
        <w:t>le (teatralne, muzyczne i inne), w tym wydarzenia tego typu organizowane online;</w:t>
      </w:r>
    </w:p>
    <w:p w14:paraId="74213FAC" w14:textId="77777777" w:rsidR="00BF474D" w:rsidRDefault="00C0649D" w:rsidP="00BF474D">
      <w:pPr>
        <w:pStyle w:val="Akapitzlist"/>
        <w:numPr>
          <w:ilvl w:val="0"/>
          <w:numId w:val="5"/>
        </w:numPr>
      </w:pPr>
      <w:r>
        <w:t>wystawy wraz z katalogami, wystawy wirtualne;</w:t>
      </w:r>
    </w:p>
    <w:p w14:paraId="3A94A87D" w14:textId="77777777" w:rsidR="007044C5" w:rsidRDefault="007044C5" w:rsidP="007044C5">
      <w:pPr>
        <w:pStyle w:val="Akapitzlist"/>
        <w:numPr>
          <w:ilvl w:val="0"/>
          <w:numId w:val="5"/>
        </w:numPr>
      </w:pPr>
      <w:r>
        <w:t>projekty edukacyjno-animacyjne oparte na interakc</w:t>
      </w:r>
      <w:r w:rsidR="00C0649D">
        <w:t>ji i współdziałaniu – warsztaty;</w:t>
      </w:r>
    </w:p>
    <w:p w14:paraId="741098C0" w14:textId="77777777" w:rsidR="007044C5" w:rsidRDefault="000A741E" w:rsidP="007044C5">
      <w:pPr>
        <w:pStyle w:val="Akapitzlist"/>
        <w:numPr>
          <w:ilvl w:val="0"/>
          <w:numId w:val="5"/>
        </w:numPr>
      </w:pPr>
      <w:r>
        <w:t>gry terenowe,</w:t>
      </w:r>
      <w:r w:rsidR="007044C5">
        <w:t xml:space="preserve"> wykłady, lekcje tematyczne, spacery tematyczne, spotkania,</w:t>
      </w:r>
      <w:r w:rsidR="00C0649D">
        <w:t xml:space="preserve"> w tym także online;</w:t>
      </w:r>
    </w:p>
    <w:p w14:paraId="3BC0F9AF" w14:textId="77777777" w:rsidR="007044C5" w:rsidRDefault="007044C5" w:rsidP="007044C5">
      <w:pPr>
        <w:pStyle w:val="Akapitzlist"/>
        <w:numPr>
          <w:ilvl w:val="0"/>
          <w:numId w:val="5"/>
        </w:numPr>
      </w:pPr>
      <w:r>
        <w:t>konkursy;</w:t>
      </w:r>
    </w:p>
    <w:p w14:paraId="753772D5" w14:textId="77777777" w:rsidR="007044C5" w:rsidRDefault="007044C5" w:rsidP="007044C5">
      <w:pPr>
        <w:pStyle w:val="Akapitzlist"/>
        <w:numPr>
          <w:ilvl w:val="0"/>
          <w:numId w:val="5"/>
        </w:numPr>
      </w:pPr>
      <w:r>
        <w:t>wytyczenie i oznakowanie szlaków tematycznych i historycznych;</w:t>
      </w:r>
    </w:p>
    <w:p w14:paraId="6B3D416C" w14:textId="51FB09BB" w:rsidR="007044C5" w:rsidRDefault="007044C5" w:rsidP="007044C5">
      <w:pPr>
        <w:pStyle w:val="Akapitzlist"/>
        <w:numPr>
          <w:ilvl w:val="0"/>
          <w:numId w:val="5"/>
        </w:numPr>
      </w:pPr>
      <w:r>
        <w:t>konferencje</w:t>
      </w:r>
      <w:r w:rsidR="006B4B34">
        <w:t xml:space="preserve"> i spotkania, również organizowane</w:t>
      </w:r>
      <w:r w:rsidR="00C0649D">
        <w:t xml:space="preserve"> online;</w:t>
      </w:r>
    </w:p>
    <w:p w14:paraId="2803C9BE" w14:textId="64C308B8" w:rsidR="007044C5" w:rsidRDefault="006B4B34" w:rsidP="007044C5">
      <w:pPr>
        <w:pStyle w:val="Akapitzlist"/>
        <w:numPr>
          <w:ilvl w:val="0"/>
          <w:numId w:val="5"/>
        </w:numPr>
      </w:pPr>
      <w:r>
        <w:t>zawody</w:t>
      </w:r>
      <w:r w:rsidR="007044C5">
        <w:t xml:space="preserve"> i imprez</w:t>
      </w:r>
      <w:r>
        <w:t>y</w:t>
      </w:r>
      <w:r w:rsidR="007044C5">
        <w:t xml:space="preserve"> sportow</w:t>
      </w:r>
      <w:r>
        <w:t>e</w:t>
      </w:r>
      <w:r w:rsidR="007044C5">
        <w:t xml:space="preserve"> oraz imprez</w:t>
      </w:r>
      <w:r>
        <w:t>y</w:t>
      </w:r>
      <w:r w:rsidR="007044C5">
        <w:t xml:space="preserve"> rekreacyj</w:t>
      </w:r>
      <w:r>
        <w:t>ne</w:t>
      </w:r>
      <w:r w:rsidR="007044C5">
        <w:t xml:space="preserve"> z elementami artystycznymi</w:t>
      </w:r>
      <w:r w:rsidR="008E0345">
        <w:t>.</w:t>
      </w:r>
    </w:p>
    <w:p w14:paraId="345F3B17" w14:textId="77777777" w:rsidR="007044C5" w:rsidRDefault="007044C5" w:rsidP="007044C5">
      <w:r>
        <w:t>4. Z możliwości dofinansowania wyłączone są:</w:t>
      </w:r>
    </w:p>
    <w:p w14:paraId="446ABC9E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>zakup środków trwałych;</w:t>
      </w:r>
    </w:p>
    <w:p w14:paraId="4DD2DC61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>wydawanie czasopism;</w:t>
      </w:r>
    </w:p>
    <w:p w14:paraId="2D5D4D0E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 xml:space="preserve">zadania dotyczące tworzenia, redagowania, produkcji, dystrybucji, </w:t>
      </w:r>
      <w:r w:rsidR="00414AE3">
        <w:t xml:space="preserve">cyfryzacji </w:t>
      </w:r>
      <w:r>
        <w:t>i publikacji utworów muzycznych i literackich, w tym przekładów (za wyjątkiem katalogów do wystaw);</w:t>
      </w:r>
    </w:p>
    <w:p w14:paraId="6F61E76D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>zadania dotyczące opracowania scenariuszy, rozwijania projektów, produkcji, dystrybucji i promocji utworów audiowizualnych (za wyjątkiem dokumentacji wydarzeń w ramach projektów oraz warsztatów filmowych);</w:t>
      </w:r>
    </w:p>
    <w:p w14:paraId="19F83C88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>staże i stypendia naukowe;</w:t>
      </w:r>
    </w:p>
    <w:p w14:paraId="6336F1AA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>projekty ściśle badawcze;</w:t>
      </w:r>
    </w:p>
    <w:p w14:paraId="4DE1F2CE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 xml:space="preserve">zadania polegające na </w:t>
      </w:r>
      <w:r w:rsidR="00FD7896">
        <w:t xml:space="preserve">cyfryzacji </w:t>
      </w:r>
      <w:r>
        <w:t>zasobów;</w:t>
      </w:r>
    </w:p>
    <w:p w14:paraId="702C9FD3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>organizacja kampanii społecznych i edukacyjnych;</w:t>
      </w:r>
    </w:p>
    <w:p w14:paraId="7AFC5D6E" w14:textId="77777777" w:rsidR="007044C5" w:rsidRDefault="007044C5" w:rsidP="007044C5">
      <w:pPr>
        <w:pStyle w:val="Akapitzlist"/>
        <w:numPr>
          <w:ilvl w:val="0"/>
          <w:numId w:val="7"/>
        </w:numPr>
      </w:pPr>
      <w:r>
        <w:t>tworzenie aplikacji mobilnych i oprogramowania.</w:t>
      </w:r>
    </w:p>
    <w:p w14:paraId="3E9947DC" w14:textId="77777777" w:rsidR="007044C5" w:rsidRPr="007044C5" w:rsidRDefault="007044C5" w:rsidP="007044C5">
      <w:pPr>
        <w:jc w:val="center"/>
        <w:rPr>
          <w:b/>
        </w:rPr>
      </w:pPr>
      <w:r>
        <w:rPr>
          <w:b/>
        </w:rPr>
        <w:t xml:space="preserve">§ </w:t>
      </w:r>
      <w:r w:rsidR="005B5269">
        <w:rPr>
          <w:b/>
        </w:rPr>
        <w:t>6</w:t>
      </w:r>
    </w:p>
    <w:p w14:paraId="1966A95A" w14:textId="77777777" w:rsidR="007044C5" w:rsidRPr="009D07AE" w:rsidRDefault="007044C5" w:rsidP="007044C5">
      <w:pPr>
        <w:jc w:val="center"/>
        <w:rPr>
          <w:b/>
        </w:rPr>
      </w:pPr>
      <w:r w:rsidRPr="009D07AE">
        <w:rPr>
          <w:b/>
        </w:rPr>
        <w:t>WYMAGANIA FORMALNE I FINANSOWE DLA ZADANIA</w:t>
      </w:r>
    </w:p>
    <w:p w14:paraId="127BA0CA" w14:textId="3C3423A5" w:rsidR="007044C5" w:rsidRDefault="007044C5" w:rsidP="007F2EF8">
      <w:pPr>
        <w:jc w:val="both"/>
      </w:pPr>
      <w:r>
        <w:t>1. Realizacja zadania odbywa się na terenie Zjednoczonego Królestwa Wielkiej Brytanii i</w:t>
      </w:r>
      <w:r w:rsidR="00F02324">
        <w:t xml:space="preserve"> Irlandii Północnej w roku 202</w:t>
      </w:r>
      <w:r w:rsidR="000867AB">
        <w:t>4</w:t>
      </w:r>
      <w:r w:rsidR="00F02324">
        <w:t>.</w:t>
      </w:r>
    </w:p>
    <w:p w14:paraId="2BD4169D" w14:textId="348D038B" w:rsidR="007044C5" w:rsidRDefault="007044C5" w:rsidP="007F2EF8">
      <w:pPr>
        <w:jc w:val="both"/>
      </w:pPr>
      <w:r>
        <w:t>2. Termin rozpoczęcia i zakończenia real</w:t>
      </w:r>
      <w:r w:rsidR="000867AB">
        <w:t>izacji zadania określa się od 01</w:t>
      </w:r>
      <w:r>
        <w:t>.0</w:t>
      </w:r>
      <w:r w:rsidR="000867AB">
        <w:t>4</w:t>
      </w:r>
      <w:r>
        <w:t>.202</w:t>
      </w:r>
      <w:r w:rsidR="000867AB">
        <w:t>4</w:t>
      </w:r>
      <w:r>
        <w:t xml:space="preserve"> r. do </w:t>
      </w:r>
      <w:r w:rsidR="00BF0839">
        <w:t>31</w:t>
      </w:r>
      <w:r>
        <w:t>.</w:t>
      </w:r>
      <w:r w:rsidR="00BF0839">
        <w:t>05</w:t>
      </w:r>
      <w:r w:rsidR="000867AB">
        <w:t>.2024</w:t>
      </w:r>
      <w:r>
        <w:t xml:space="preserve"> r. </w:t>
      </w:r>
    </w:p>
    <w:p w14:paraId="0274457A" w14:textId="6DA253E3" w:rsidR="007044C5" w:rsidRDefault="007044C5" w:rsidP="007F2EF8">
      <w:pPr>
        <w:jc w:val="both"/>
      </w:pPr>
      <w:r>
        <w:t xml:space="preserve">3. Jako kwalifikowane uznane zostaną wyłącznie koszty poniesione (opłacone) w okresie od dnia podjęcia przez Ambasadora decyzji o przyznaniu dofinansowania zadania do </w:t>
      </w:r>
      <w:r w:rsidR="00BF0839">
        <w:t>3</w:t>
      </w:r>
      <w:r>
        <w:t xml:space="preserve">1 </w:t>
      </w:r>
      <w:r w:rsidR="00BF0839">
        <w:t>maja</w:t>
      </w:r>
      <w:r w:rsidR="000867AB">
        <w:t xml:space="preserve"> 2024</w:t>
      </w:r>
      <w:r>
        <w:t xml:space="preserve"> r.</w:t>
      </w:r>
    </w:p>
    <w:p w14:paraId="419A14E3" w14:textId="77777777" w:rsidR="007044C5" w:rsidRDefault="007044C5" w:rsidP="007F2EF8">
      <w:pPr>
        <w:jc w:val="both"/>
      </w:pPr>
      <w:r>
        <w:t>4. Jeden wnioskodawca może złożyć maksymalnie jeden wniosek w projekcie.</w:t>
      </w:r>
    </w:p>
    <w:p w14:paraId="4F2031D1" w14:textId="77777777" w:rsidR="007044C5" w:rsidRDefault="00AF7E8B" w:rsidP="007F2EF8">
      <w:pPr>
        <w:jc w:val="both"/>
      </w:pPr>
      <w:r>
        <w:t>5</w:t>
      </w:r>
      <w:r w:rsidR="007044C5">
        <w:t>. W ramach zadania nie można finansować prac remontowych i modernizacyjnych budynków</w:t>
      </w:r>
    </w:p>
    <w:p w14:paraId="2123F83E" w14:textId="2F22A66C" w:rsidR="007044C5" w:rsidRDefault="007044C5" w:rsidP="007F2EF8">
      <w:pPr>
        <w:jc w:val="both"/>
      </w:pPr>
      <w:r>
        <w:t>i obiektów</w:t>
      </w:r>
      <w:r w:rsidR="00BC505C">
        <w:t>, ani też kosztów przygotowania posiłków, w tym zakupu produktów spożywczych</w:t>
      </w:r>
      <w:r>
        <w:t>.</w:t>
      </w:r>
    </w:p>
    <w:p w14:paraId="7BF729C7" w14:textId="77777777" w:rsidR="007044C5" w:rsidRDefault="00AF7E8B" w:rsidP="007F2EF8">
      <w:pPr>
        <w:jc w:val="both"/>
      </w:pPr>
      <w:r>
        <w:t>6</w:t>
      </w:r>
      <w:r w:rsidR="007044C5">
        <w:t>. Dofinansowanie nie może być przeznaczone na pokrycie:</w:t>
      </w:r>
    </w:p>
    <w:p w14:paraId="540AAD87" w14:textId="77777777" w:rsidR="007044C5" w:rsidRDefault="007044C5" w:rsidP="007F2EF8">
      <w:pPr>
        <w:jc w:val="both"/>
      </w:pPr>
      <w:r>
        <w:t>1) wydatków inwestycyjnych;</w:t>
      </w:r>
    </w:p>
    <w:p w14:paraId="38B00629" w14:textId="77777777" w:rsidR="007044C5" w:rsidRDefault="007044C5" w:rsidP="007F2EF8">
      <w:pPr>
        <w:jc w:val="both"/>
      </w:pPr>
      <w:r>
        <w:t>2) zakupu środków trwałych</w:t>
      </w:r>
      <w:r>
        <w:rPr>
          <w:rStyle w:val="Odwoanieprzypisudolnego"/>
        </w:rPr>
        <w:footnoteReference w:id="1"/>
      </w:r>
      <w:r>
        <w:t>.</w:t>
      </w:r>
    </w:p>
    <w:p w14:paraId="53E91EDF" w14:textId="77777777" w:rsidR="007044C5" w:rsidRDefault="00AF7E8B" w:rsidP="007F2EF8">
      <w:pPr>
        <w:jc w:val="both"/>
      </w:pPr>
      <w:r>
        <w:lastRenderedPageBreak/>
        <w:t>7</w:t>
      </w:r>
      <w:r w:rsidR="007044C5">
        <w:t>. Wszystkie koszty związane z realizacją zadania muszą być poniesione w okresie kwalifikowalności wydatków określonym w ust. 2, tj. w trakcie realizacji zadania.</w:t>
      </w:r>
    </w:p>
    <w:p w14:paraId="315231E5" w14:textId="6BED0350" w:rsidR="00BF0839" w:rsidRDefault="00AF7E8B" w:rsidP="007F2EF8">
      <w:pPr>
        <w:jc w:val="both"/>
      </w:pPr>
      <w:r>
        <w:t>8</w:t>
      </w:r>
      <w:r w:rsidR="00BF0839">
        <w:t xml:space="preserve">. </w:t>
      </w:r>
      <w:r w:rsidR="00BF0839" w:rsidRPr="00BF0839">
        <w:t xml:space="preserve">Zadanie uznaje się za wykonane z chwilą potwierdzenia przez Placówkę jego prawidłowej realizacji w formie protokołu odbioru, którego wzór stanowi załącznik nr </w:t>
      </w:r>
      <w:r w:rsidR="0014777F">
        <w:t>1</w:t>
      </w:r>
      <w:r w:rsidR="00BF0839" w:rsidRPr="00BF0839">
        <w:t xml:space="preserve"> do niniejszego regulaminu.</w:t>
      </w:r>
    </w:p>
    <w:p w14:paraId="3950F2B6" w14:textId="709C7CCB" w:rsidR="00BF0839" w:rsidRDefault="0093036F" w:rsidP="007F2EF8">
      <w:pPr>
        <w:jc w:val="both"/>
      </w:pPr>
      <w:r>
        <w:t xml:space="preserve">9. </w:t>
      </w:r>
      <w:r w:rsidR="00BF0839" w:rsidRPr="00BF0839">
        <w:t>Przyznane dofinansowanie przekazywane jest po podpisaniu protokołu odbioru</w:t>
      </w:r>
      <w:r w:rsidR="00B84AFA">
        <w:t xml:space="preserve"> (zob. Załącznik nr 2)</w:t>
      </w:r>
      <w:r w:rsidR="005D44A0">
        <w:t>, wystawieniu rachunku lub faktury,</w:t>
      </w:r>
      <w:r w:rsidR="00BF0839" w:rsidRPr="00BF0839">
        <w:t xml:space="preserve"> na nr konta wnioskodawcy.</w:t>
      </w:r>
    </w:p>
    <w:p w14:paraId="627ED43B" w14:textId="695E6615" w:rsidR="0093036F" w:rsidRDefault="0093036F" w:rsidP="0093036F">
      <w:pPr>
        <w:jc w:val="both"/>
      </w:pPr>
      <w:r>
        <w:t xml:space="preserve">10. Ostateczny termin przedstawienia </w:t>
      </w:r>
      <w:r w:rsidR="00BA3C89">
        <w:t xml:space="preserve">przez wnioskodawcę </w:t>
      </w:r>
      <w:r>
        <w:t xml:space="preserve">dokumentów rozliczeniowych </w:t>
      </w:r>
      <w:r w:rsidR="00BA3C89">
        <w:t xml:space="preserve">Ambasadzie </w:t>
      </w:r>
      <w:r>
        <w:t>upływa w dniu 30 czerwca 2024 roku.</w:t>
      </w:r>
    </w:p>
    <w:p w14:paraId="3E6C7986" w14:textId="77777777" w:rsidR="0093036F" w:rsidRDefault="0093036F" w:rsidP="007F2EF8">
      <w:pPr>
        <w:jc w:val="both"/>
      </w:pPr>
    </w:p>
    <w:p w14:paraId="717C05C2" w14:textId="77777777" w:rsidR="00BF0839" w:rsidRDefault="00BF0839" w:rsidP="007044C5"/>
    <w:p w14:paraId="3DF5D4EB" w14:textId="77777777" w:rsidR="007044C5" w:rsidRPr="007044C5" w:rsidRDefault="007044C5" w:rsidP="007044C5">
      <w:pPr>
        <w:jc w:val="center"/>
        <w:rPr>
          <w:b/>
        </w:rPr>
      </w:pPr>
      <w:r w:rsidRPr="007044C5">
        <w:rPr>
          <w:b/>
        </w:rPr>
        <w:t xml:space="preserve">§ </w:t>
      </w:r>
      <w:r w:rsidR="005B5269">
        <w:rPr>
          <w:b/>
        </w:rPr>
        <w:t>7</w:t>
      </w:r>
    </w:p>
    <w:p w14:paraId="1AF61583" w14:textId="77777777" w:rsidR="007044C5" w:rsidRDefault="007044C5" w:rsidP="007044C5">
      <w:pPr>
        <w:jc w:val="center"/>
        <w:rPr>
          <w:b/>
        </w:rPr>
      </w:pPr>
      <w:r w:rsidRPr="007044C5">
        <w:rPr>
          <w:b/>
        </w:rPr>
        <w:t>TERMIN I TRYB NABORU WNIOSKÓW</w:t>
      </w:r>
    </w:p>
    <w:p w14:paraId="6DA409C5" w14:textId="37BC5977" w:rsidR="00280B91" w:rsidRDefault="007044C5" w:rsidP="007044C5">
      <w:pPr>
        <w:jc w:val="both"/>
      </w:pPr>
      <w:r>
        <w:t xml:space="preserve">1. W ramach projektu PHD przewiduje się przeprowadzenie jednego naboru wniosków w terminie od </w:t>
      </w:r>
      <w:r w:rsidR="005E2D5F">
        <w:t>16</w:t>
      </w:r>
      <w:r w:rsidR="00BF045A">
        <w:t xml:space="preserve"> </w:t>
      </w:r>
      <w:r w:rsidR="00280B91">
        <w:t xml:space="preserve">lutego do </w:t>
      </w:r>
      <w:r w:rsidR="00DD564F">
        <w:t>26</w:t>
      </w:r>
      <w:bookmarkStart w:id="0" w:name="_GoBack"/>
      <w:bookmarkEnd w:id="0"/>
      <w:r w:rsidR="000867AB">
        <w:t xml:space="preserve"> marca 2024</w:t>
      </w:r>
      <w:r w:rsidR="00280B91">
        <w:t xml:space="preserve"> r. </w:t>
      </w:r>
    </w:p>
    <w:p w14:paraId="4917B9D6" w14:textId="77777777" w:rsidR="00F02324" w:rsidRDefault="00F02324" w:rsidP="00F02324">
      <w:r>
        <w:t>2. Wzó</w:t>
      </w:r>
      <w:r w:rsidR="005D44A0">
        <w:t xml:space="preserve">r wniosku stanowi załącznik nr </w:t>
      </w:r>
      <w:r w:rsidR="0014777F">
        <w:t>2</w:t>
      </w:r>
      <w:r>
        <w:t xml:space="preserve"> do niniejszego regulaminu.</w:t>
      </w:r>
    </w:p>
    <w:p w14:paraId="2E41168B" w14:textId="77777777" w:rsidR="007044C5" w:rsidRDefault="00F02324" w:rsidP="007044C5">
      <w:pPr>
        <w:jc w:val="both"/>
      </w:pPr>
      <w:r>
        <w:t>3</w:t>
      </w:r>
      <w:r w:rsidR="007044C5">
        <w:t>. W przypadku pozostania wolnych środków lu</w:t>
      </w:r>
      <w:r w:rsidR="00280B91">
        <w:t xml:space="preserve">b uzyskania dodatkowych środków </w:t>
      </w:r>
      <w:r w:rsidR="007044C5">
        <w:t xml:space="preserve">finansowych, </w:t>
      </w:r>
      <w:r w:rsidR="00280B91">
        <w:t>Ambasador</w:t>
      </w:r>
      <w:r w:rsidR="007044C5">
        <w:t xml:space="preserve"> może ogłosić dodatkowy nabór wniosków do </w:t>
      </w:r>
      <w:r w:rsidR="00280B91">
        <w:t>projektu</w:t>
      </w:r>
      <w:r w:rsidR="007044C5">
        <w:t>.</w:t>
      </w:r>
    </w:p>
    <w:p w14:paraId="120A9722" w14:textId="29B25188" w:rsidR="007044C5" w:rsidRDefault="00F02324" w:rsidP="007044C5">
      <w:pPr>
        <w:jc w:val="both"/>
      </w:pPr>
      <w:r>
        <w:t>4</w:t>
      </w:r>
      <w:r w:rsidR="007044C5">
        <w:t>. Wnioskodawcy mogą złożyć w trakcie obowiązującego n</w:t>
      </w:r>
      <w:r w:rsidR="00280B91">
        <w:t xml:space="preserve">aboru korekty i uzupełnienia do </w:t>
      </w:r>
      <w:r w:rsidR="00A91BC9">
        <w:t>wniosku w </w:t>
      </w:r>
      <w:r w:rsidR="007044C5">
        <w:t>terminie określonym w ust. 1.</w:t>
      </w:r>
    </w:p>
    <w:p w14:paraId="3B54B584" w14:textId="77777777" w:rsidR="007044C5" w:rsidRDefault="00F02324" w:rsidP="007044C5">
      <w:pPr>
        <w:jc w:val="both"/>
      </w:pPr>
      <w:r>
        <w:t>5</w:t>
      </w:r>
      <w:r w:rsidR="00280B91">
        <w:t>. Wnioski</w:t>
      </w:r>
      <w:r w:rsidR="007044C5">
        <w:t xml:space="preserve"> i uzupełnienia do wniosków należy składać w </w:t>
      </w:r>
      <w:r w:rsidR="00CC6C67">
        <w:t xml:space="preserve">terminie obowiązującego naboru, </w:t>
      </w:r>
      <w:r w:rsidR="00280B91">
        <w:t xml:space="preserve">określonym w ust. 1 </w:t>
      </w:r>
      <w:r w:rsidR="007044C5">
        <w:t>na adres</w:t>
      </w:r>
      <w:r w:rsidR="00280B91">
        <w:t>:</w:t>
      </w:r>
    </w:p>
    <w:p w14:paraId="3BC44B57" w14:textId="77777777" w:rsidR="00280B91" w:rsidRDefault="004B4B8D" w:rsidP="00280B91">
      <w:pPr>
        <w:jc w:val="both"/>
      </w:pPr>
      <w:hyperlink r:id="rId8" w:history="1">
        <w:r w:rsidR="00280B91" w:rsidRPr="00BC2C6F">
          <w:rPr>
            <w:rStyle w:val="Hipercze"/>
          </w:rPr>
          <w:t>polishday.london@msz.gov.pl</w:t>
        </w:r>
      </w:hyperlink>
      <w:r w:rsidR="00280B91">
        <w:t xml:space="preserve"> (organizacje w okręgu konsularnym Londyn)</w:t>
      </w:r>
    </w:p>
    <w:p w14:paraId="748B1FE5" w14:textId="77777777" w:rsidR="00280B91" w:rsidRDefault="004B4B8D" w:rsidP="00280B91">
      <w:pPr>
        <w:jc w:val="both"/>
      </w:pPr>
      <w:hyperlink r:id="rId9" w:history="1">
        <w:r w:rsidR="00280B91" w:rsidRPr="00BC2C6F">
          <w:rPr>
            <w:rStyle w:val="Hipercze"/>
          </w:rPr>
          <w:t>polishday.manchester@msz.gov.pl</w:t>
        </w:r>
      </w:hyperlink>
      <w:r w:rsidR="00280B91">
        <w:t xml:space="preserve"> (organizacje w okręgu konsularnym Manchester)</w:t>
      </w:r>
    </w:p>
    <w:p w14:paraId="1853857C" w14:textId="77777777" w:rsidR="00280B91" w:rsidRDefault="004B4B8D" w:rsidP="00280B91">
      <w:pPr>
        <w:jc w:val="both"/>
      </w:pPr>
      <w:hyperlink r:id="rId10" w:history="1">
        <w:r w:rsidR="00280B91" w:rsidRPr="00BC2C6F">
          <w:rPr>
            <w:rStyle w:val="Hipercze"/>
          </w:rPr>
          <w:t>polishday.edinburgh@msz.gov.pl</w:t>
        </w:r>
      </w:hyperlink>
      <w:r w:rsidR="00280B91">
        <w:t xml:space="preserve"> (organizacje w okręgu konsularnym Edynburg)</w:t>
      </w:r>
    </w:p>
    <w:p w14:paraId="5734B219" w14:textId="77777777" w:rsidR="00280B91" w:rsidRDefault="004B4B8D" w:rsidP="00280B91">
      <w:pPr>
        <w:jc w:val="both"/>
      </w:pPr>
      <w:hyperlink r:id="rId11" w:history="1">
        <w:r w:rsidR="00280B91" w:rsidRPr="00BC2C6F">
          <w:rPr>
            <w:rStyle w:val="Hipercze"/>
          </w:rPr>
          <w:t>polishday.belfast@msz.gov.pl</w:t>
        </w:r>
      </w:hyperlink>
      <w:r w:rsidR="00280B91">
        <w:t xml:space="preserve"> (organizacje w okręgu konsularnym Belfast)</w:t>
      </w:r>
      <w:r w:rsidR="00F02E8A">
        <w:t>.</w:t>
      </w:r>
    </w:p>
    <w:p w14:paraId="1BA150EF" w14:textId="77777777" w:rsidR="00AF7E8B" w:rsidRDefault="00AF7E8B" w:rsidP="00F02E8A">
      <w:pPr>
        <w:jc w:val="center"/>
        <w:rPr>
          <w:b/>
        </w:rPr>
      </w:pPr>
    </w:p>
    <w:p w14:paraId="16AAB13A" w14:textId="5EC2B536" w:rsidR="00F02E8A" w:rsidRDefault="00F02E8A" w:rsidP="00F02E8A">
      <w:pPr>
        <w:jc w:val="center"/>
        <w:rPr>
          <w:b/>
        </w:rPr>
      </w:pPr>
      <w:r w:rsidRPr="007044C5">
        <w:rPr>
          <w:b/>
        </w:rPr>
        <w:t xml:space="preserve">§ </w:t>
      </w:r>
      <w:r w:rsidR="005B5269">
        <w:rPr>
          <w:b/>
        </w:rPr>
        <w:t>8</w:t>
      </w:r>
    </w:p>
    <w:p w14:paraId="6EAECAA8" w14:textId="4C045D26" w:rsidR="00A91BC9" w:rsidRPr="007044C5" w:rsidRDefault="00A91BC9" w:rsidP="00F02E8A">
      <w:pPr>
        <w:jc w:val="center"/>
        <w:rPr>
          <w:b/>
        </w:rPr>
      </w:pPr>
      <w:r>
        <w:rPr>
          <w:b/>
        </w:rPr>
        <w:t>DECYZJA</w:t>
      </w:r>
    </w:p>
    <w:p w14:paraId="2D5DADBA" w14:textId="77777777" w:rsidR="007044C5" w:rsidRDefault="00F02E8A" w:rsidP="007044C5">
      <w:pPr>
        <w:jc w:val="both"/>
      </w:pPr>
      <w:r>
        <w:t>1</w:t>
      </w:r>
      <w:r w:rsidR="007044C5">
        <w:t xml:space="preserve">. </w:t>
      </w:r>
      <w:r w:rsidR="00C506AC">
        <w:t xml:space="preserve">Decyzja o przyznaniu lub odmowie przyznania dofinansowania jest ostateczna, nie wymaga uzasadnienia oraz nie przysługuje od niej odwołanie. </w:t>
      </w:r>
    </w:p>
    <w:p w14:paraId="7DDE8020" w14:textId="6911BDCF" w:rsidR="00F02E8A" w:rsidRPr="00F02E8A" w:rsidRDefault="00F02E8A" w:rsidP="00F02E8A">
      <w:pPr>
        <w:jc w:val="both"/>
      </w:pPr>
      <w:r>
        <w:t>2. Decyzja o przyznaniu dofinansowania może być w każdym czasie cofnięta w wypadku</w:t>
      </w:r>
      <w:r w:rsidR="00A41BBC">
        <w:t>,</w:t>
      </w:r>
      <w:r>
        <w:t xml:space="preserve"> gdy</w:t>
      </w:r>
      <w:r w:rsidR="00A41BBC">
        <w:t> </w:t>
      </w:r>
      <w:r>
        <w:t>wnioskodawca narusza postanowienia niniejszego regulaminu, w szczególności postanowienia</w:t>
      </w:r>
      <w:r w:rsidR="00DD564F">
        <w:br/>
      </w:r>
      <w:r w:rsidRPr="007044C5">
        <w:rPr>
          <w:b/>
        </w:rPr>
        <w:t xml:space="preserve">§ </w:t>
      </w:r>
      <w:r w:rsidR="005B5269">
        <w:rPr>
          <w:b/>
        </w:rPr>
        <w:t xml:space="preserve">5 </w:t>
      </w:r>
      <w:r>
        <w:rPr>
          <w:b/>
        </w:rPr>
        <w:t xml:space="preserve">i </w:t>
      </w:r>
      <w:r w:rsidR="00A41BBC" w:rsidRPr="00A41BBC">
        <w:rPr>
          <w:b/>
        </w:rPr>
        <w:t>§</w:t>
      </w:r>
      <w:r w:rsidR="00A41BBC">
        <w:rPr>
          <w:b/>
        </w:rPr>
        <w:t xml:space="preserve"> </w:t>
      </w:r>
      <w:r w:rsidR="005B5269">
        <w:rPr>
          <w:b/>
        </w:rPr>
        <w:t>6</w:t>
      </w:r>
      <w:r>
        <w:rPr>
          <w:b/>
        </w:rPr>
        <w:t xml:space="preserve"> </w:t>
      </w:r>
      <w:r>
        <w:t>niniejszego regulaminu</w:t>
      </w:r>
      <w:r w:rsidRPr="00F02E8A">
        <w:t xml:space="preserve">. </w:t>
      </w:r>
    </w:p>
    <w:p w14:paraId="5BE6375F" w14:textId="77777777" w:rsidR="00F02E8A" w:rsidRPr="007044C5" w:rsidRDefault="00F02E8A" w:rsidP="00F02E8A"/>
    <w:sectPr w:rsidR="00F02E8A" w:rsidRPr="0070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7632" w14:textId="77777777" w:rsidR="004B4B8D" w:rsidRDefault="004B4B8D" w:rsidP="007044C5">
      <w:pPr>
        <w:spacing w:after="0" w:line="240" w:lineRule="auto"/>
      </w:pPr>
      <w:r>
        <w:separator/>
      </w:r>
    </w:p>
  </w:endnote>
  <w:endnote w:type="continuationSeparator" w:id="0">
    <w:p w14:paraId="70DC0A05" w14:textId="77777777" w:rsidR="004B4B8D" w:rsidRDefault="004B4B8D" w:rsidP="0070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5D666" w14:textId="77777777" w:rsidR="004B4B8D" w:rsidRDefault="004B4B8D" w:rsidP="007044C5">
      <w:pPr>
        <w:spacing w:after="0" w:line="240" w:lineRule="auto"/>
      </w:pPr>
      <w:r>
        <w:separator/>
      </w:r>
    </w:p>
  </w:footnote>
  <w:footnote w:type="continuationSeparator" w:id="0">
    <w:p w14:paraId="164362AE" w14:textId="77777777" w:rsidR="004B4B8D" w:rsidRDefault="004B4B8D" w:rsidP="007044C5">
      <w:pPr>
        <w:spacing w:after="0" w:line="240" w:lineRule="auto"/>
      </w:pPr>
      <w:r>
        <w:continuationSeparator/>
      </w:r>
    </w:p>
  </w:footnote>
  <w:footnote w:id="1">
    <w:p w14:paraId="7068AE68" w14:textId="77777777" w:rsidR="007044C5" w:rsidRDefault="007044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0345">
        <w:t>W</w:t>
      </w:r>
      <w:r w:rsidRPr="007044C5">
        <w:t xml:space="preserve"> rozumieniu ustawy z dnia 29 września 1994 r. o rachunkowości (Dz.U. z 2019 poz.351)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FC0"/>
    <w:multiLevelType w:val="hybridMultilevel"/>
    <w:tmpl w:val="9162C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3E5"/>
    <w:multiLevelType w:val="hybridMultilevel"/>
    <w:tmpl w:val="E850D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A42BA"/>
    <w:multiLevelType w:val="hybridMultilevel"/>
    <w:tmpl w:val="5C28F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558"/>
    <w:multiLevelType w:val="hybridMultilevel"/>
    <w:tmpl w:val="667E6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F1ADE"/>
    <w:multiLevelType w:val="hybridMultilevel"/>
    <w:tmpl w:val="7E1C6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0178C"/>
    <w:multiLevelType w:val="hybridMultilevel"/>
    <w:tmpl w:val="26ACF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1597A"/>
    <w:multiLevelType w:val="hybridMultilevel"/>
    <w:tmpl w:val="D7D4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83E6C"/>
    <w:multiLevelType w:val="hybridMultilevel"/>
    <w:tmpl w:val="F5D48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D4AF8"/>
    <w:multiLevelType w:val="hybridMultilevel"/>
    <w:tmpl w:val="D7D4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D6"/>
    <w:rsid w:val="00043854"/>
    <w:rsid w:val="000867AB"/>
    <w:rsid w:val="000A741E"/>
    <w:rsid w:val="00126040"/>
    <w:rsid w:val="0014777F"/>
    <w:rsid w:val="0023733E"/>
    <w:rsid w:val="00253D12"/>
    <w:rsid w:val="00275290"/>
    <w:rsid w:val="00280B91"/>
    <w:rsid w:val="003A0D71"/>
    <w:rsid w:val="00403243"/>
    <w:rsid w:val="00414AE3"/>
    <w:rsid w:val="00482F7A"/>
    <w:rsid w:val="004B4B8D"/>
    <w:rsid w:val="0056336B"/>
    <w:rsid w:val="00582941"/>
    <w:rsid w:val="00584DB0"/>
    <w:rsid w:val="005B5269"/>
    <w:rsid w:val="005D44A0"/>
    <w:rsid w:val="005E2BD6"/>
    <w:rsid w:val="005E2D5F"/>
    <w:rsid w:val="00606203"/>
    <w:rsid w:val="00625363"/>
    <w:rsid w:val="00676B35"/>
    <w:rsid w:val="006B4B34"/>
    <w:rsid w:val="007044C5"/>
    <w:rsid w:val="007F2EF8"/>
    <w:rsid w:val="00813F5B"/>
    <w:rsid w:val="008C77E3"/>
    <w:rsid w:val="008E0345"/>
    <w:rsid w:val="009239C8"/>
    <w:rsid w:val="0093036F"/>
    <w:rsid w:val="00953A29"/>
    <w:rsid w:val="00956459"/>
    <w:rsid w:val="009C2FAD"/>
    <w:rsid w:val="009D07AE"/>
    <w:rsid w:val="00A1086B"/>
    <w:rsid w:val="00A41BBC"/>
    <w:rsid w:val="00A63527"/>
    <w:rsid w:val="00A86ADD"/>
    <w:rsid w:val="00A91BC9"/>
    <w:rsid w:val="00AF7E8B"/>
    <w:rsid w:val="00B633C9"/>
    <w:rsid w:val="00B84AFA"/>
    <w:rsid w:val="00BA3C89"/>
    <w:rsid w:val="00BC505C"/>
    <w:rsid w:val="00BF045A"/>
    <w:rsid w:val="00BF0839"/>
    <w:rsid w:val="00BF474D"/>
    <w:rsid w:val="00C0649D"/>
    <w:rsid w:val="00C353D4"/>
    <w:rsid w:val="00C506AC"/>
    <w:rsid w:val="00C50A23"/>
    <w:rsid w:val="00C61F1A"/>
    <w:rsid w:val="00CA0470"/>
    <w:rsid w:val="00CC6C67"/>
    <w:rsid w:val="00D40F9F"/>
    <w:rsid w:val="00DD564F"/>
    <w:rsid w:val="00DF04C8"/>
    <w:rsid w:val="00EA297A"/>
    <w:rsid w:val="00F02324"/>
    <w:rsid w:val="00F02E8A"/>
    <w:rsid w:val="00F82C0E"/>
    <w:rsid w:val="00FC39BB"/>
    <w:rsid w:val="00FD118A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6B86"/>
  <w15:chartTrackingRefBased/>
  <w15:docId w15:val="{50132230-3EB9-4E9F-91EE-FB781923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B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4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4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4C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0B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B9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shday.london@ms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ishday.belfast@ms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lishday.edinburgh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shday.manchester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F3E4-6634-4BCE-BDB3-AE403D04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Supińska Agata</dc:creator>
  <cp:keywords/>
  <dc:description/>
  <cp:lastModifiedBy>Balcerowski Tomasz</cp:lastModifiedBy>
  <cp:revision>5</cp:revision>
  <cp:lastPrinted>2021-02-12T09:28:00Z</cp:lastPrinted>
  <dcterms:created xsi:type="dcterms:W3CDTF">2024-02-16T11:10:00Z</dcterms:created>
  <dcterms:modified xsi:type="dcterms:W3CDTF">2024-02-28T11:06:00Z</dcterms:modified>
</cp:coreProperties>
</file>