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9A638" w14:textId="508FEF47" w:rsidR="001D77EC" w:rsidRPr="001D77EC" w:rsidRDefault="001D77EC" w:rsidP="001D77EC">
      <w:pPr>
        <w:spacing w:after="120" w:line="312" w:lineRule="auto"/>
        <w:rPr>
          <w:rFonts w:ascii="Arial" w:hAnsi="Arial" w:cs="Arial"/>
        </w:rPr>
      </w:pPr>
      <w:r w:rsidRPr="001D77EC">
        <w:rPr>
          <w:rFonts w:ascii="Arial" w:hAnsi="Arial" w:cs="Arial"/>
        </w:rPr>
        <w:t>GENERALNY DYREKTOR</w:t>
      </w:r>
    </w:p>
    <w:p w14:paraId="48461F45" w14:textId="4D3A95BE" w:rsidR="001D77EC" w:rsidRPr="001D77EC" w:rsidRDefault="001D77EC" w:rsidP="001D77EC">
      <w:pPr>
        <w:spacing w:after="120" w:line="312" w:lineRule="auto"/>
        <w:rPr>
          <w:rFonts w:ascii="Arial" w:hAnsi="Arial" w:cs="Arial"/>
        </w:rPr>
      </w:pPr>
      <w:r w:rsidRPr="001D77EC">
        <w:rPr>
          <w:rFonts w:ascii="Arial" w:hAnsi="Arial" w:cs="Arial"/>
        </w:rPr>
        <w:t>OCHRONY ŚRODOWISKA</w:t>
      </w:r>
    </w:p>
    <w:p w14:paraId="717450C5" w14:textId="03CD357D" w:rsidR="00000000" w:rsidRPr="001D77EC" w:rsidRDefault="00000000" w:rsidP="001D77EC">
      <w:pPr>
        <w:spacing w:after="120" w:line="312" w:lineRule="auto"/>
        <w:rPr>
          <w:rFonts w:ascii="Arial" w:hAnsi="Arial" w:cs="Arial"/>
        </w:rPr>
      </w:pPr>
      <w:r w:rsidRPr="001D77EC">
        <w:rPr>
          <w:rFonts w:ascii="Arial" w:hAnsi="Arial" w:cs="Arial"/>
        </w:rPr>
        <w:t xml:space="preserve">Warszawa, </w:t>
      </w:r>
      <w:bookmarkStart w:id="0" w:name="ezdDataPodpisu"/>
      <w:r w:rsidRPr="001D77EC">
        <w:rPr>
          <w:rFonts w:ascii="Arial" w:hAnsi="Arial" w:cs="Arial"/>
        </w:rPr>
        <w:t>24 września 2026</w:t>
      </w:r>
      <w:bookmarkEnd w:id="0"/>
      <w:r w:rsidRPr="001D77EC">
        <w:rPr>
          <w:rFonts w:ascii="Arial" w:hAnsi="Arial" w:cs="Arial"/>
        </w:rPr>
        <w:t xml:space="preserve"> r.</w:t>
      </w:r>
    </w:p>
    <w:p w14:paraId="164B9758" w14:textId="77777777" w:rsidR="00000000" w:rsidRPr="001D77EC" w:rsidRDefault="00000000" w:rsidP="000F1838">
      <w:pPr>
        <w:spacing w:after="120" w:line="312" w:lineRule="auto"/>
        <w:rPr>
          <w:rFonts w:ascii="Arial" w:hAnsi="Arial" w:cs="Arial"/>
        </w:rPr>
      </w:pPr>
      <w:bookmarkStart w:id="1" w:name="ezdSprawaZnak"/>
      <w:r w:rsidRPr="001D77EC">
        <w:rPr>
          <w:rFonts w:ascii="Arial" w:hAnsi="Arial" w:cs="Arial"/>
        </w:rPr>
        <w:t>DOOŚ-WDŚI.420.13.2026</w:t>
      </w:r>
      <w:bookmarkEnd w:id="1"/>
      <w:r w:rsidRPr="001D77EC">
        <w:rPr>
          <w:rFonts w:ascii="Arial" w:hAnsi="Arial" w:cs="Arial"/>
        </w:rPr>
        <w:t>.</w:t>
      </w:r>
      <w:bookmarkStart w:id="2" w:name="ezdAutorInicjaly"/>
      <w:bookmarkStart w:id="3" w:name="ezdAtrybut_ezdAutorInicjaly"/>
      <w:r w:rsidRPr="001D77EC">
        <w:rPr>
          <w:rFonts w:ascii="Arial" w:hAnsi="Arial" w:cs="Arial"/>
        </w:rPr>
        <w:t>PCh</w:t>
      </w:r>
      <w:bookmarkEnd w:id="2"/>
      <w:bookmarkEnd w:id="3"/>
      <w:r w:rsidRPr="001D77EC">
        <w:rPr>
          <w:rFonts w:ascii="Arial" w:hAnsi="Arial" w:cs="Arial"/>
        </w:rPr>
        <w:t>.4</w:t>
      </w:r>
    </w:p>
    <w:p w14:paraId="47814541" w14:textId="77777777" w:rsidR="00000000" w:rsidRPr="001D77EC" w:rsidRDefault="00000000" w:rsidP="00CC6D1D">
      <w:pPr>
        <w:spacing w:after="0" w:line="312" w:lineRule="auto"/>
        <w:rPr>
          <w:rFonts w:ascii="Garamond" w:eastAsia="Times New Roman" w:hAnsi="Garamond"/>
          <w:sz w:val="24"/>
          <w:szCs w:val="24"/>
        </w:rPr>
      </w:pPr>
    </w:p>
    <w:p w14:paraId="454AA4DB" w14:textId="77777777" w:rsidR="00000000" w:rsidRPr="001D77EC" w:rsidRDefault="00000000" w:rsidP="001D77EC">
      <w:pPr>
        <w:spacing w:after="240" w:line="312" w:lineRule="auto"/>
        <w:rPr>
          <w:rFonts w:ascii="Arial" w:eastAsia="Times New Roman" w:hAnsi="Arial" w:cs="Arial"/>
          <w:sz w:val="26"/>
          <w:szCs w:val="26"/>
        </w:rPr>
      </w:pPr>
      <w:r w:rsidRPr="001D77EC">
        <w:rPr>
          <w:rFonts w:ascii="Arial" w:eastAsia="Times New Roman" w:hAnsi="Arial" w:cs="Arial"/>
          <w:sz w:val="26"/>
          <w:szCs w:val="26"/>
        </w:rPr>
        <w:t>DECYZJA</w:t>
      </w:r>
    </w:p>
    <w:p w14:paraId="5BA34205" w14:textId="77777777" w:rsidR="00000000" w:rsidRPr="001D77EC" w:rsidRDefault="00000000" w:rsidP="00CC6D1D">
      <w:pPr>
        <w:spacing w:after="160" w:line="312" w:lineRule="auto"/>
        <w:jc w:val="both"/>
        <w:rPr>
          <w:rFonts w:ascii="Arial" w:hAnsi="Arial" w:cs="Arial"/>
          <w:i/>
          <w:kern w:val="2"/>
          <w14:ligatures w14:val="standardContextual"/>
        </w:rPr>
      </w:pPr>
      <w:r w:rsidRPr="001D77EC">
        <w:rPr>
          <w:rFonts w:ascii="Arial" w:hAnsi="Arial" w:cs="Arial"/>
          <w:kern w:val="2"/>
          <w14:ligatures w14:val="standardContextual"/>
        </w:rPr>
        <w:t xml:space="preserve">Generalny Dyrektor Ochrony Środowiska, po rozpatrzeniu odwołania Grand Agro Fundacja Ochrony Środowiska Naturalnego z 23 kwietnia 2026 r. od decyzji Regionalnego Dyrektora Ochrony Środowiska w Katowicach </w:t>
      </w:r>
      <w:bookmarkStart w:id="4" w:name="_Hlk240453573"/>
      <w:r w:rsidRPr="001D77EC">
        <w:rPr>
          <w:rFonts w:ascii="Arial" w:hAnsi="Arial" w:cs="Arial"/>
          <w:kern w:val="2"/>
          <w14:ligatures w14:val="standardContextual"/>
        </w:rPr>
        <w:t>z 23 kwietnia 2026 r.</w:t>
      </w:r>
      <w:bookmarkEnd w:id="4"/>
      <w:r w:rsidRPr="001D77EC">
        <w:rPr>
          <w:rFonts w:ascii="Arial" w:hAnsi="Arial" w:cs="Arial"/>
          <w:kern w:val="2"/>
          <w14:ligatures w14:val="standardContextual"/>
        </w:rPr>
        <w:t xml:space="preserve">, WOOŚ.420.8.2024.KM.24, zmieniającej </w:t>
      </w:r>
      <w:bookmarkStart w:id="5" w:name="_Hlk237245117"/>
      <w:r w:rsidRPr="001D77EC">
        <w:rPr>
          <w:rFonts w:ascii="Arial" w:hAnsi="Arial" w:cs="Arial"/>
          <w:kern w:val="2"/>
          <w14:ligatures w14:val="standardContextual"/>
        </w:rPr>
        <w:t xml:space="preserve">decyzję </w:t>
      </w:r>
      <w:bookmarkStart w:id="6" w:name="_Hlk237828683"/>
      <w:bookmarkStart w:id="7" w:name="_Hlk233797701"/>
      <w:r w:rsidRPr="001D77EC">
        <w:rPr>
          <w:rFonts w:ascii="Arial" w:hAnsi="Arial" w:cs="Arial"/>
          <w:kern w:val="2"/>
          <w14:ligatures w14:val="standardContextual"/>
        </w:rPr>
        <w:t>Wójta Gminy Pietrowice Wielkie z 21 lipca 2014 r., znak: IGR 7632.D1.2014</w:t>
      </w:r>
      <w:bookmarkEnd w:id="5"/>
      <w:bookmarkEnd w:id="6"/>
      <w:r w:rsidRPr="001D77EC">
        <w:rPr>
          <w:rFonts w:ascii="Arial" w:hAnsi="Arial" w:cs="Arial"/>
          <w:kern w:val="2"/>
          <w14:ligatures w14:val="standardContextual"/>
        </w:rPr>
        <w:t>,</w:t>
      </w:r>
      <w:bookmarkEnd w:id="7"/>
      <w:r w:rsidRPr="001D77EC">
        <w:rPr>
          <w:rFonts w:ascii="Arial" w:hAnsi="Arial" w:cs="Arial"/>
          <w:kern w:val="2"/>
          <w14:ligatures w14:val="standardContextual"/>
        </w:rPr>
        <w:t xml:space="preserve"> o środowiskowych uwarunkowaniach, na podstawie art. 138 § 1 pkt 2 </w:t>
      </w:r>
      <w:r w:rsidRPr="001D77EC">
        <w:rPr>
          <w:rFonts w:ascii="Arial" w:hAnsi="Arial" w:cs="Arial"/>
          <w:iCs/>
          <w:kern w:val="2"/>
          <w14:ligatures w14:val="standardContextual"/>
        </w:rPr>
        <w:t xml:space="preserve">ustawy z dnia 14 czerwca 1960 r. </w:t>
      </w:r>
      <w:r w:rsidRPr="001D77EC">
        <w:rPr>
          <w:rFonts w:ascii="Arial" w:hAnsi="Arial" w:cs="Arial"/>
          <w:i/>
          <w:iCs/>
          <w:kern w:val="2"/>
          <w14:ligatures w14:val="standardContextual"/>
        </w:rPr>
        <w:t xml:space="preserve">– </w:t>
      </w:r>
      <w:r w:rsidRPr="001D77EC">
        <w:rPr>
          <w:rFonts w:ascii="Arial" w:hAnsi="Arial" w:cs="Arial"/>
          <w:iCs/>
          <w:kern w:val="2"/>
          <w14:ligatures w14:val="standardContextual"/>
        </w:rPr>
        <w:t>Kodeks postępowania administracyjnego (Dz. U. z 2025 r. poz. 1691), dalej k.p.a.</w:t>
      </w:r>
      <w:r w:rsidRPr="001D77EC">
        <w:rPr>
          <w:rFonts w:ascii="Arial" w:hAnsi="Arial" w:cs="Arial"/>
          <w:kern w:val="2"/>
          <w14:ligatures w14:val="standardContextual"/>
        </w:rPr>
        <w:t>,</w:t>
      </w:r>
    </w:p>
    <w:p w14:paraId="21289934" w14:textId="77777777" w:rsidR="00000000" w:rsidRPr="001D77EC" w:rsidRDefault="00000000" w:rsidP="001D77EC">
      <w:pPr>
        <w:spacing w:after="240" w:line="312" w:lineRule="auto"/>
        <w:rPr>
          <w:rFonts w:ascii="Arial" w:hAnsi="Arial" w:cs="Arial"/>
          <w:kern w:val="2"/>
          <w14:ligatures w14:val="standardContextual"/>
        </w:rPr>
      </w:pPr>
      <w:r w:rsidRPr="001D77EC">
        <w:rPr>
          <w:rFonts w:ascii="Arial" w:eastAsia="Times New Roman" w:hAnsi="Arial" w:cs="Arial"/>
        </w:rPr>
        <w:t xml:space="preserve">uchyla powyższą decyzję RDOŚ w Katowicach z 23 kwietnia 2026 r. w całości oraz </w:t>
      </w:r>
      <w:bookmarkStart w:id="8" w:name="_Hlk171995855"/>
      <w:r w:rsidRPr="001D77EC">
        <w:rPr>
          <w:rFonts w:ascii="Arial" w:eastAsia="Times New Roman" w:hAnsi="Arial" w:cs="Arial"/>
        </w:rPr>
        <w:t>odmawia zmiany</w:t>
      </w:r>
      <w:bookmarkEnd w:id="8"/>
      <w:r w:rsidRPr="001D77EC">
        <w:rPr>
          <w:rFonts w:ascii="Arial" w:eastAsia="Times New Roman" w:hAnsi="Arial" w:cs="Arial"/>
        </w:rPr>
        <w:t xml:space="preserve"> decyzji Wójta Gminy Pietrowice Wielkie z 21 lipca 2014 r.</w:t>
      </w:r>
    </w:p>
    <w:p w14:paraId="2D8A1C22" w14:textId="77777777" w:rsidR="00000000" w:rsidRPr="001D77EC" w:rsidRDefault="00000000" w:rsidP="001D77EC">
      <w:pPr>
        <w:spacing w:after="160" w:line="312" w:lineRule="auto"/>
        <w:rPr>
          <w:rFonts w:ascii="Arial" w:hAnsi="Arial" w:cs="Arial"/>
          <w:kern w:val="2"/>
          <w14:ligatures w14:val="standardContextual"/>
        </w:rPr>
      </w:pPr>
      <w:r w:rsidRPr="001D77EC">
        <w:rPr>
          <w:rFonts w:ascii="Arial" w:hAnsi="Arial" w:cs="Arial"/>
          <w:kern w:val="2"/>
          <w14:ligatures w14:val="standardContextual"/>
        </w:rPr>
        <w:t>Uzasadnienie</w:t>
      </w:r>
    </w:p>
    <w:p w14:paraId="26661FB1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iCs/>
          <w:kern w:val="2"/>
          <w14:ligatures w14:val="standardContextual"/>
        </w:rPr>
      </w:pPr>
      <w:bookmarkStart w:id="9" w:name="_Hlk171699003"/>
      <w:r w:rsidRPr="001D77EC">
        <w:rPr>
          <w:rFonts w:ascii="Arial" w:hAnsi="Arial" w:cs="Arial"/>
          <w:iCs/>
          <w:kern w:val="2"/>
          <w14:ligatures w14:val="standardContextual"/>
        </w:rPr>
        <w:t xml:space="preserve">Decyzją z </w:t>
      </w:r>
      <w:bookmarkStart w:id="10" w:name="_Hlk183621291"/>
      <w:r w:rsidRPr="001D77EC">
        <w:rPr>
          <w:rFonts w:ascii="Arial" w:hAnsi="Arial" w:cs="Arial"/>
          <w:iCs/>
          <w:kern w:val="2"/>
          <w14:ligatures w14:val="standardContextual"/>
        </w:rPr>
        <w:t>23 kwietnia 2026 r.</w:t>
      </w:r>
      <w:bookmarkEnd w:id="9"/>
      <w:bookmarkEnd w:id="10"/>
      <w:r w:rsidRPr="001D77EC">
        <w:rPr>
          <w:rFonts w:ascii="Arial" w:hAnsi="Arial" w:cs="Arial"/>
          <w:iCs/>
          <w:kern w:val="2"/>
          <w14:ligatures w14:val="standardContextual"/>
        </w:rPr>
        <w:t xml:space="preserve"> RDOŚ w Katowicach, działając na podstawie art. 155 k.p.a. oraz art. 87 ustawy z dnia 3 października 2008 r. o udostępnianiu informacji o środowisku i jego ochronie, udziale społeczeństwa w ochronie środowiska oraz o ocenach oddziaływania na środowisko (Dz. U. z 2026 r. poz. 670</w:t>
      </w:r>
      <w:r w:rsidRPr="001D77EC">
        <w:rPr>
          <w:rFonts w:ascii="Arial" w:hAnsi="Arial" w:cs="Arial"/>
          <w:iCs/>
          <w:kern w:val="2"/>
          <w14:ligatures w14:val="standardContextual"/>
        </w:rPr>
        <w:t xml:space="preserve">, ze zm.), dalej u.o.o.ś., po rozpatrzeniu wniosku </w:t>
      </w:r>
      <w:bookmarkStart w:id="11" w:name="_Hlk233800096"/>
      <w:r w:rsidRPr="001D77EC">
        <w:rPr>
          <w:rFonts w:ascii="Arial" w:hAnsi="Arial" w:cs="Arial"/>
          <w:iCs/>
          <w:kern w:val="2"/>
          <w14:ligatures w14:val="standardContextual"/>
        </w:rPr>
        <w:t>FEN DWA Sp. z o.o.</w:t>
      </w:r>
      <w:bookmarkEnd w:id="11"/>
      <w:r w:rsidRPr="001D77EC">
        <w:rPr>
          <w:rFonts w:ascii="Arial" w:hAnsi="Arial" w:cs="Arial"/>
          <w:iCs/>
          <w:kern w:val="2"/>
          <w14:ligatures w14:val="standardContextual"/>
        </w:rPr>
        <w:t xml:space="preserve"> z 16 stycznia 2024 r., zmienił decyzję Wójta Gminy Pietrowice Wielkie z 21 lipca 2014 r. o środowiskowych uwarunkowaniach dla przedsięwzięcia polegającego na budowie jednej elektrowni wiatrowej na działce o nr ewid. 344, o maksymalnej mocy do 2 MW (włącznie), na terenie obrębu geodezyjnego Maków, Gmina Pietrowice Wielkie, powiat raciborski, województwo śląskie pn.: „Turbina wiatrowa MR5”.</w:t>
      </w:r>
    </w:p>
    <w:p w14:paraId="36DA8CE3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iCs/>
          <w:kern w:val="2"/>
          <w:lang w:bidi="pl-PL"/>
          <w14:ligatures w14:val="standardContextual"/>
        </w:rPr>
      </w:pPr>
      <w:r w:rsidRPr="001D77EC">
        <w:rPr>
          <w:rFonts w:ascii="Arial" w:hAnsi="Arial" w:cs="Arial"/>
          <w:iCs/>
          <w:kern w:val="2"/>
          <w14:ligatures w14:val="standardContextual"/>
        </w:rPr>
        <w:t xml:space="preserve">23 kwietnia 2026 r. odwołanie od decyzji RDOŚ w Katowicach z 23 kwietnia 2026 r. wniosła </w:t>
      </w:r>
      <w:bookmarkStart w:id="12" w:name="_Hlk233799862"/>
      <w:r w:rsidRPr="001D77EC">
        <w:rPr>
          <w:rFonts w:ascii="Arial" w:hAnsi="Arial" w:cs="Arial"/>
          <w:iCs/>
          <w:kern w:val="2"/>
          <w14:ligatures w14:val="standardContextual"/>
        </w:rPr>
        <w:t>Grand Agro Fundacja Ochrony Środowiska Naturalnego</w:t>
      </w:r>
      <w:bookmarkEnd w:id="12"/>
      <w:r w:rsidRPr="001D77EC">
        <w:rPr>
          <w:rFonts w:ascii="Arial" w:hAnsi="Arial" w:cs="Arial"/>
          <w:iCs/>
          <w:kern w:val="2"/>
          <w14:ligatures w14:val="standardContextual"/>
        </w:rPr>
        <w:t xml:space="preserve">. W odwołaniu fundacja wniosła o uchylenie ww. decyzji i </w:t>
      </w:r>
      <w:r w:rsidRPr="001D77EC">
        <w:rPr>
          <w:rFonts w:ascii="Arial" w:hAnsi="Arial" w:cs="Arial"/>
          <w:iCs/>
          <w:kern w:val="2"/>
          <w:lang w:bidi="pl-PL"/>
          <w14:ligatures w14:val="standardContextual"/>
        </w:rPr>
        <w:t>przekazanie sprawy do ponownego rozpatrzenia organowi pierwszej instancji oraz ewentualnie stwierdzenie nieważności decyzji RDOŚ w Katowicach.</w:t>
      </w:r>
    </w:p>
    <w:p w14:paraId="795BB428" w14:textId="77777777" w:rsidR="00000000" w:rsidRPr="001D77EC" w:rsidRDefault="00000000" w:rsidP="00CC6D1D">
      <w:pPr>
        <w:spacing w:after="0" w:line="312" w:lineRule="auto"/>
        <w:jc w:val="both"/>
        <w:rPr>
          <w:rFonts w:ascii="Arial" w:hAnsi="Arial" w:cs="Arial"/>
          <w:iCs/>
          <w:kern w:val="2"/>
          <w:lang w:bidi="pl-PL"/>
          <w14:ligatures w14:val="standardContextual"/>
        </w:rPr>
      </w:pPr>
      <w:r w:rsidRPr="001D77EC">
        <w:rPr>
          <w:rFonts w:ascii="Arial" w:hAnsi="Arial" w:cs="Arial"/>
          <w:iCs/>
          <w:kern w:val="2"/>
          <w:lang w:bidi="pl-PL"/>
          <w14:ligatures w14:val="standardContextual"/>
        </w:rPr>
        <w:t>Fundacja we wniesionym odwołaniu podniosła następujące zarzuty:</w:t>
      </w:r>
    </w:p>
    <w:p w14:paraId="4E1B5E9D" w14:textId="77777777" w:rsidR="00000000" w:rsidRPr="001D77EC" w:rsidRDefault="00000000" w:rsidP="00CC6D1D">
      <w:pPr>
        <w:pStyle w:val="Akapitzlist"/>
        <w:numPr>
          <w:ilvl w:val="0"/>
          <w:numId w:val="3"/>
        </w:numPr>
        <w:spacing w:after="160" w:line="312" w:lineRule="auto"/>
        <w:jc w:val="both"/>
        <w:rPr>
          <w:rFonts w:ascii="Arial" w:hAnsi="Arial" w:cs="Arial"/>
          <w:iCs/>
          <w:kern w:val="2"/>
          <w14:ligatures w14:val="standardContextual"/>
        </w:rPr>
      </w:pPr>
      <w:r w:rsidRPr="001D77EC">
        <w:rPr>
          <w:rFonts w:ascii="Arial" w:hAnsi="Arial" w:cs="Arial"/>
          <w:iCs/>
          <w:kern w:val="2"/>
          <w14:ligatures w14:val="standardContextual"/>
        </w:rPr>
        <w:t xml:space="preserve">naruszenie art. 155 k.p.a. w związku z art. 87 u.o.o.ś. poprzez zmianę decyzji wykraczającą poza dopuszczalne ramy prawne, co w konsekwencji doprowadziło do określenia środowiskowych uwarunkowań </w:t>
      </w:r>
      <w:r w:rsidRPr="001D77EC">
        <w:rPr>
          <w:rFonts w:ascii="Arial" w:hAnsi="Arial" w:cs="Arial"/>
          <w:iCs/>
          <w:kern w:val="2"/>
          <w14:ligatures w14:val="standardContextual"/>
        </w:rPr>
        <w:t xml:space="preserve">realizacji nowego przedsięwzięcia; </w:t>
      </w:r>
    </w:p>
    <w:p w14:paraId="0B097F16" w14:textId="77777777" w:rsidR="00000000" w:rsidRPr="001D77EC" w:rsidRDefault="00000000" w:rsidP="00CC6D1D">
      <w:pPr>
        <w:pStyle w:val="Akapitzlist"/>
        <w:numPr>
          <w:ilvl w:val="0"/>
          <w:numId w:val="3"/>
        </w:numPr>
        <w:spacing w:after="160" w:line="312" w:lineRule="auto"/>
        <w:jc w:val="both"/>
        <w:rPr>
          <w:rFonts w:ascii="Arial" w:hAnsi="Arial" w:cs="Arial"/>
          <w:iCs/>
          <w:kern w:val="2"/>
          <w14:ligatures w14:val="standardContextual"/>
        </w:rPr>
      </w:pPr>
      <w:r w:rsidRPr="001D77EC">
        <w:rPr>
          <w:rFonts w:ascii="Arial" w:hAnsi="Arial" w:cs="Arial"/>
          <w:iCs/>
          <w:kern w:val="2"/>
          <w14:ligatures w14:val="standardContextual"/>
        </w:rPr>
        <w:t>naruszenie art. 155 k.p.a. w związku z art. 87 u.o.o.ś. poprzez jego błędne zastosowanie w warunkach braku tożsamości sprawy, wynikającego ze zmiany stanu prawnego i środowiskowego, modyfikacji parametrów przedsięwzięcia oraz zmiany kręgu stron postępowania i obszaru oddziaływania inwestycji;</w:t>
      </w:r>
    </w:p>
    <w:p w14:paraId="065D1E80" w14:textId="77777777" w:rsidR="00000000" w:rsidRPr="001D77EC" w:rsidRDefault="00000000" w:rsidP="00CC6D1D">
      <w:pPr>
        <w:pStyle w:val="Akapitzlist"/>
        <w:numPr>
          <w:ilvl w:val="0"/>
          <w:numId w:val="3"/>
        </w:numPr>
        <w:spacing w:after="160" w:line="312" w:lineRule="auto"/>
        <w:jc w:val="both"/>
        <w:rPr>
          <w:rFonts w:ascii="Arial" w:hAnsi="Arial" w:cs="Arial"/>
          <w:iCs/>
          <w:kern w:val="2"/>
          <w14:ligatures w14:val="standardContextual"/>
        </w:rPr>
      </w:pPr>
      <w:r w:rsidRPr="001D77EC">
        <w:rPr>
          <w:rFonts w:ascii="Arial" w:hAnsi="Arial" w:cs="Arial"/>
          <w:iCs/>
          <w:kern w:val="2"/>
          <w14:ligatures w14:val="standardContextual"/>
        </w:rPr>
        <w:t>naruszenie art. 74 ust. 3a u.o.o.ś. poprzez błędne ustalenie stron postępowania;</w:t>
      </w:r>
    </w:p>
    <w:p w14:paraId="3D67CE1F" w14:textId="77777777" w:rsidR="00000000" w:rsidRPr="001D77EC" w:rsidRDefault="00000000" w:rsidP="00CC6D1D">
      <w:pPr>
        <w:pStyle w:val="Akapitzlist"/>
        <w:numPr>
          <w:ilvl w:val="0"/>
          <w:numId w:val="3"/>
        </w:numPr>
        <w:spacing w:after="160" w:line="312" w:lineRule="auto"/>
        <w:jc w:val="both"/>
        <w:rPr>
          <w:rFonts w:ascii="Arial" w:hAnsi="Arial" w:cs="Arial"/>
          <w:iCs/>
          <w:kern w:val="2"/>
          <w14:ligatures w14:val="standardContextual"/>
        </w:rPr>
      </w:pPr>
      <w:r w:rsidRPr="001D77EC">
        <w:rPr>
          <w:rFonts w:ascii="Arial" w:hAnsi="Arial" w:cs="Arial"/>
          <w:iCs/>
          <w:kern w:val="2"/>
          <w14:ligatures w14:val="standardContextual"/>
        </w:rPr>
        <w:t xml:space="preserve">naruszenie zasady przezorności i prewencji wyrażonych w art. 6 ustawy z dnia 27 kwietnia 2001 r. </w:t>
      </w:r>
      <w:r w:rsidRPr="001D77EC">
        <w:rPr>
          <w:rFonts w:ascii="Arial" w:hAnsi="Arial" w:cs="Arial"/>
          <w:iCs/>
          <w:kern w:val="2"/>
          <w14:ligatures w14:val="standardContextual"/>
        </w:rPr>
        <w:t>– Prawo ochrony środowiska (Dz. U. z 2025 r. poz. 647 ze zm.);</w:t>
      </w:r>
    </w:p>
    <w:p w14:paraId="525B48E3" w14:textId="77777777" w:rsidR="00000000" w:rsidRPr="001D77EC" w:rsidRDefault="00000000" w:rsidP="00CC6D1D">
      <w:pPr>
        <w:pStyle w:val="Akapitzlist"/>
        <w:numPr>
          <w:ilvl w:val="0"/>
          <w:numId w:val="3"/>
        </w:numPr>
        <w:spacing w:after="160" w:line="312" w:lineRule="auto"/>
        <w:jc w:val="both"/>
        <w:rPr>
          <w:rFonts w:ascii="Arial" w:hAnsi="Arial" w:cs="Arial"/>
          <w:iCs/>
          <w:kern w:val="2"/>
          <w14:ligatures w14:val="standardContextual"/>
        </w:rPr>
      </w:pPr>
      <w:r w:rsidRPr="001D77EC">
        <w:rPr>
          <w:rFonts w:ascii="Arial" w:hAnsi="Arial" w:cs="Arial"/>
          <w:iCs/>
          <w:kern w:val="2"/>
          <w14:ligatures w14:val="standardContextual"/>
        </w:rPr>
        <w:t xml:space="preserve">naruszenie art. 7 i </w:t>
      </w:r>
      <w:r w:rsidRPr="001D77EC">
        <w:rPr>
          <w:rFonts w:ascii="Arial" w:hAnsi="Arial" w:cs="Arial"/>
          <w:iCs/>
          <w:kern w:val="2"/>
          <w14:ligatures w14:val="standardContextual"/>
        </w:rPr>
        <w:t>art. 77 § 1 k.p.a. poprzez zaniechanie wyczerpującego zebrania materiału dowodowego w sprawie, co uniemożliwiło dokładne wyjaśnienie stanu faktycznego;</w:t>
      </w:r>
    </w:p>
    <w:p w14:paraId="13080D33" w14:textId="77777777" w:rsidR="00000000" w:rsidRPr="001D77EC" w:rsidRDefault="00000000" w:rsidP="00FE5CFC">
      <w:pPr>
        <w:pStyle w:val="Akapitzlist"/>
        <w:numPr>
          <w:ilvl w:val="0"/>
          <w:numId w:val="3"/>
        </w:numPr>
        <w:spacing w:after="120" w:line="312" w:lineRule="auto"/>
        <w:ind w:left="714" w:hanging="357"/>
        <w:jc w:val="both"/>
        <w:rPr>
          <w:rFonts w:ascii="Arial" w:hAnsi="Arial" w:cs="Arial"/>
          <w:iCs/>
          <w:kern w:val="2"/>
          <w14:ligatures w14:val="standardContextual"/>
        </w:rPr>
      </w:pPr>
      <w:r w:rsidRPr="001D77EC">
        <w:rPr>
          <w:rFonts w:ascii="Arial" w:hAnsi="Arial" w:cs="Arial"/>
          <w:iCs/>
          <w:kern w:val="2"/>
          <w14:ligatures w14:val="standardContextual"/>
        </w:rPr>
        <w:lastRenderedPageBreak/>
        <w:t>oparcie ustaleń faktycznych na wadliwym raporcie, który pozbawiony jest kluczowych analiz, w tym mapy zasięgu hałasu, oceny efektu migotania cienia oraz identyfikacji oddziaływań na przyrodę, zwłaszcza w zakresie ryzyka kolizji ptaków na wysokości 220 m, hałasu niskoczęstotliwościowego, wpływu na zdrowie ludzi oraz analizy oddziaływań skumulowanych.</w:t>
      </w:r>
    </w:p>
    <w:p w14:paraId="36EF241C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iCs/>
          <w:kern w:val="2"/>
          <w14:ligatures w14:val="standardContextual"/>
        </w:rPr>
      </w:pPr>
      <w:r w:rsidRPr="001D77EC">
        <w:rPr>
          <w:rFonts w:ascii="Arial" w:hAnsi="Arial" w:cs="Arial"/>
          <w:iCs/>
          <w:kern w:val="2"/>
          <w14:ligatures w14:val="standardContextual"/>
        </w:rPr>
        <w:t xml:space="preserve">Pismem z 29 kwietnia 2026 r. fundacja cofnęła złożone przez siebie odwołanie. GDOŚ postanowieniem z 18 lipca 2026 r., znak: DOOŚ-WDŚI.420.13.2026.PCh.1, odmówił uwzględnienia cofnięcia odwołania z 23 kwietnia 2026 r. </w:t>
      </w:r>
    </w:p>
    <w:p w14:paraId="0F49240F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iCs/>
          <w:kern w:val="2"/>
          <w14:ligatures w14:val="standardContextual"/>
        </w:rPr>
      </w:pPr>
      <w:r w:rsidRPr="001D77EC">
        <w:rPr>
          <w:rFonts w:ascii="Arial" w:hAnsi="Arial" w:cs="Arial"/>
          <w:iCs/>
          <w:kern w:val="2"/>
          <w14:ligatures w14:val="standardContextual"/>
        </w:rPr>
        <w:t xml:space="preserve">Przed wydaniem decyzji, pismem z 22 lipca 2026 r., znak: DOOŚ-WDŚI.420.13.2026.PCh.2, </w:t>
      </w:r>
      <w:r w:rsidRPr="001D77EC">
        <w:rPr>
          <w:rFonts w:ascii="Arial" w:hAnsi="Arial" w:cs="Arial"/>
          <w:iCs/>
          <w:kern w:val="2"/>
          <w14:ligatures w14:val="standardContextual"/>
        </w:rPr>
        <w:t xml:space="preserve">GDOŚ poinformował strony o zgromadzeniu materiału dowodowego i możliwości zapoznania się z aktami sprawy. FEN DWA Sp. z o.o. pismami z 31 lipca 2026 r. i 14 sierpnia 2026 r. przedstawiła stanowisko w sprawie. </w:t>
      </w:r>
    </w:p>
    <w:p w14:paraId="03F91DC8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kern w:val="2"/>
          <w14:ligatures w14:val="standardContextual"/>
        </w:rPr>
      </w:pPr>
      <w:r w:rsidRPr="001D77EC">
        <w:rPr>
          <w:rFonts w:ascii="Arial" w:hAnsi="Arial" w:cs="Arial"/>
          <w:kern w:val="2"/>
          <w14:ligatures w14:val="standardContextual"/>
        </w:rPr>
        <w:t>GDOŚ ustalił i zważył, co następuje</w:t>
      </w:r>
    </w:p>
    <w:p w14:paraId="06F83C54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kern w:val="2"/>
          <w14:ligatures w14:val="standardContextual"/>
        </w:rPr>
      </w:pPr>
      <w:bookmarkStart w:id="13" w:name="_Hlk126659402"/>
      <w:r w:rsidRPr="001D77EC">
        <w:rPr>
          <w:rFonts w:ascii="Arial" w:hAnsi="Arial" w:cs="Arial"/>
          <w:kern w:val="2"/>
          <w14:ligatures w14:val="standardContextual"/>
        </w:rPr>
        <w:t xml:space="preserve">Jak wynika z art. 127 ust. 3 u.o.o.ś., </w:t>
      </w:r>
      <w:bookmarkEnd w:id="13"/>
      <w:r w:rsidRPr="001D77EC">
        <w:rPr>
          <w:rFonts w:ascii="Arial" w:hAnsi="Arial" w:cs="Arial"/>
          <w:kern w:val="2"/>
          <w14:ligatures w14:val="standardContextual"/>
        </w:rPr>
        <w:t xml:space="preserve">GDOŚ pełni funkcję organu wyższego stopnia w rozumieniu Kodeksu postępowania administracyjnego w stosunku do regionalnych dyrektorów ochrony środowiska, zatem, zgodnie z art. 127 </w:t>
      </w:r>
      <w:bookmarkStart w:id="14" w:name="_Hlk237339343"/>
      <w:r w:rsidRPr="001D77EC">
        <w:rPr>
          <w:rFonts w:ascii="Arial" w:hAnsi="Arial" w:cs="Arial"/>
          <w:kern w:val="2"/>
          <w14:ligatures w14:val="standardContextual"/>
        </w:rPr>
        <w:t>§ 2</w:t>
      </w:r>
      <w:bookmarkEnd w:id="14"/>
      <w:r w:rsidRPr="001D77EC">
        <w:rPr>
          <w:rFonts w:ascii="Arial" w:hAnsi="Arial" w:cs="Arial"/>
          <w:kern w:val="2"/>
          <w14:ligatures w14:val="standardContextual"/>
        </w:rPr>
        <w:t xml:space="preserve"> k.p.a., jest organem właściwym do rozpatrzenia odwołania od decyzji RDOŚ w Katowicach.</w:t>
      </w:r>
    </w:p>
    <w:p w14:paraId="7C2F1E9B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kern w:val="2"/>
          <w:lang w:bidi="pl-PL"/>
          <w14:ligatures w14:val="standardContextual"/>
        </w:rPr>
      </w:pP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Decyzja RDOŚ w Katowicach </w:t>
      </w:r>
      <w:bookmarkStart w:id="15" w:name="_Hlk237831048"/>
      <w:r w:rsidRPr="001D77EC">
        <w:rPr>
          <w:rFonts w:ascii="Arial" w:hAnsi="Arial" w:cs="Arial"/>
          <w:kern w:val="2"/>
          <w:lang w:bidi="pl-PL"/>
          <w14:ligatures w14:val="standardContextual"/>
        </w:rPr>
        <w:t>z 23 kwietnia 2026 r.</w:t>
      </w:r>
      <w:bookmarkEnd w:id="15"/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 została doręczona skarżąc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ej 23 kwietnia 2026 r., a termin na wniesienie odwołania upłynął 7 maja 2026 r. Fundacja wniosła odwołanie 23 kwietnia 2026 r., a zatem z zachowaniem terminu określonego w </w:t>
      </w:r>
      <w:r w:rsidRPr="001D77EC">
        <w:rPr>
          <w:rFonts w:ascii="Arial" w:hAnsi="Arial" w:cs="Arial"/>
          <w:kern w:val="2"/>
          <w:lang w:bidi="en-US"/>
          <w14:ligatures w14:val="standardContextual"/>
        </w:rPr>
        <w:t xml:space="preserve">art. 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129 </w:t>
      </w:r>
      <w:bookmarkStart w:id="16" w:name="_Hlk237425021"/>
      <w:r w:rsidRPr="001D77EC">
        <w:rPr>
          <w:rFonts w:ascii="Arial" w:hAnsi="Arial" w:cs="Arial"/>
          <w:kern w:val="2"/>
          <w:lang w:bidi="pl-PL"/>
          <w14:ligatures w14:val="standardContextual"/>
        </w:rPr>
        <w:t>§ 2</w:t>
      </w:r>
      <w:bookmarkEnd w:id="16"/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 k.p.a. Uprawnienie fundacji do wniesienia odwołania statuuje przepis art. 44 ust. 2 u.o.o.ś.</w:t>
      </w:r>
    </w:p>
    <w:p w14:paraId="36B61413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kern w:val="2"/>
          <w:lang w:bidi="pl-PL"/>
          <w14:ligatures w14:val="standardContextual"/>
        </w:rPr>
      </w:pP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Organem właściwym do zmiany decyzji, co wynika z art. 155 k.p.a., jest organ, który ją wydał, jeżeli przepisy szczególne nie sprzeciwiają się uchyleniu lub zmianie takiej decyzji i przemawia za tym interes społeczny lub słuszny interes strony. W przypadku łącznego spełnienia wskazanych wyżej przesłanek, właściwy organ wydaje decyzję w sprawie zmiany decyzji dotychczasowej, co wynika z art. 154 § 2 w związku z art. 155 </w:t>
      </w:r>
      <w:r w:rsidRPr="001D77EC">
        <w:rPr>
          <w:rFonts w:ascii="Arial" w:hAnsi="Arial" w:cs="Arial"/>
          <w:i/>
          <w:iCs/>
          <w:kern w:val="2"/>
          <w:lang w:bidi="pl-PL"/>
          <w14:ligatures w14:val="standardContextual"/>
        </w:rPr>
        <w:t>in fine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 k.p.a. </w:t>
      </w:r>
    </w:p>
    <w:p w14:paraId="022CE8CF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kern w:val="2"/>
          <w:lang w:bidi="pl-PL"/>
          <w14:ligatures w14:val="standardContextual"/>
        </w:rPr>
      </w:pPr>
      <w:r w:rsidRPr="001D77EC">
        <w:rPr>
          <w:rFonts w:ascii="Arial" w:hAnsi="Arial" w:cs="Arial"/>
          <w:kern w:val="2"/>
          <w:lang w:bidi="pl-PL"/>
          <w14:ligatures w14:val="standardContextual"/>
        </w:rPr>
        <w:t>W tej sytuacji zastosowanie ma również art. 87 u.o.o.ś., zgodnie z którym do zmiany decyzji o środowiskowych uwarunkowaniach stosuje się odpowiednio przepisy działu V oraz działu VI u.o.o.ś. Przywołany przepis nakazuje również odpowiednie stosowanie przepisu art. 155 k.p.a., z zastrzeżeniem, że zgodę wyraża wyłącznie strona, która złożyła wniosek o wydanie decyzji o środowiskowych uwarunkowaniach, lub podmiot, na którego decyzja o środowiskowych uwarunkowaniach została przeniesiona.</w:t>
      </w:r>
    </w:p>
    <w:p w14:paraId="0FEC00C1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kern w:val="2"/>
          <w:lang w:bidi="pl-PL"/>
          <w14:ligatures w14:val="standardContextual"/>
        </w:rPr>
      </w:pP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Właściwość organów do wydania decyzji o środowiskowych uwarunkowaniach została uregulowana w art. 75 ust. 1 u.o.o.ś. W dacie złożenia wniosku o wydanie decyzji o środowiskowych uwarunkowaniach 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dla przedmiotowego przedsięwzięcia organem właściwym w sprawie był właściwy miejscowo wójt, burmistrz lub prezydent miasta. Na skutek wejścia w życie ustawy z 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>dnia 20 maja 2016 r. o inwestycjach w zakresie elektrowni wiatrowych (Dz. U. z 2016 r. poz. 961), dalej u.e.w., do u.o.o.ś. dodano art. 75 ust. 1 pkt 1 lit. r, z którego wynika, że obecnie to regionalny dyrektor ochrony środowiska jest organem właściwym do wydania decyzji o środowiskowych uwarunkowaniach w przypadku elektrowni wiatrowych. W sytuacji zmiany przepisów prawa materialnego, określających organ właściwy do wydania tej decyzji, właściwym do rozpatrzenia sprawy powinien być organ, który aktualnie jest organem pierwszej instancji w danej sprawie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, jeżeli decyzja ostateczna była decyzją wydaną w pierwszej instancji 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>(por. wyrok NSA z 23 lipca 2015 r., sygn. akt: II OSK 3064/13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). Opisana sytuacja dotyczy spraw, które wymagają ponownego merytorycznego rozpoznania. Badanie właściwości rzeczowej organu 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lastRenderedPageBreak/>
        <w:t>przeprowadzane jest bowiem przez pryzmat przedmiotu sprawy, która ma podlegać rozstrzygnięciu (postanowienie NSA z 28 stycznia 2025 r., sygn. akt: III OW 72/24, postanowienie NSA z 22 maja 2020 r. sygn. akt: II OW 31/20).</w:t>
      </w:r>
    </w:p>
    <w:p w14:paraId="6BE59E64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kern w:val="2"/>
          <w:lang w:bidi="pl-PL"/>
          <w14:ligatures w14:val="standardContextual"/>
        </w:rPr>
      </w:pP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Wobec powyższego organem właściwym do rozpatrzenia wniosku FEN DWA Sp. z o.o. z 16 stycznia 2024 r. o zmianę decyzji Wójta Gminy Pietrowice Wielkie z </w:t>
      </w:r>
      <w:bookmarkStart w:id="17" w:name="_Hlk237830096"/>
      <w:r w:rsidRPr="001D77EC">
        <w:rPr>
          <w:rFonts w:ascii="Arial" w:hAnsi="Arial" w:cs="Arial"/>
          <w:kern w:val="2"/>
          <w:lang w:bidi="pl-PL"/>
          <w14:ligatures w14:val="standardContextual"/>
        </w:rPr>
        <w:t>21 lipca 2014 r.</w:t>
      </w:r>
      <w:bookmarkEnd w:id="17"/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 jest Regionalny Dyrektor Ochrony Środowiska w Katowicach. </w:t>
      </w:r>
    </w:p>
    <w:p w14:paraId="62FA4E99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kern w:val="2"/>
          <w:lang w:bidi="pl-PL"/>
          <w14:ligatures w14:val="standardContextual"/>
        </w:rPr>
      </w:pP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Decyzja </w:t>
      </w:r>
      <w:bookmarkStart w:id="18" w:name="_Hlk237836114"/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Wójta Gminy Pietrowice Wielkie </w:t>
      </w:r>
      <w:bookmarkStart w:id="19" w:name="_Hlk237831237"/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z 21 lipca 2014 r. </w:t>
      </w:r>
      <w:bookmarkEnd w:id="18"/>
      <w:bookmarkEnd w:id="19"/>
      <w:r w:rsidRPr="001D77EC">
        <w:rPr>
          <w:rFonts w:ascii="Arial" w:hAnsi="Arial" w:cs="Arial"/>
          <w:kern w:val="2"/>
          <w:lang w:bidi="pl-PL"/>
          <w14:ligatures w14:val="standardContextual"/>
        </w:rPr>
        <w:t>określa środowiskowe uwarunkowania realizacji przedsięwzięcia polegającego na budowie jednej turbiny wiatrowej o mocy nominalnej do 2 MW wraz z drogą dojazdową, placem montażowym oraz podziemną linią kablową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, planowane do realizacji na działce ewid. 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>nr 344, obręb Maków, gmina Pietrowice Wielkie. Maksymalna wysokość instalacji wynosić będzie ok. 160,5 m</w:t>
      </w:r>
      <w:bookmarkStart w:id="20" w:name="_Hlk237831540"/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. </w:t>
      </w:r>
      <w:bookmarkEnd w:id="20"/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Przedmiotem kwestionowanej decyzji RDOŚ w Katowicach z 23 kwietnia 2026 r. jest zmiana warunków określonych w decyzji Wójta Gminy Pietrowice Wielkie z 21 lipca 2014 r., będąca wynikiem 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planowanej zmiany parametrów przedsięwzięcia. W wyniku zmiany przedsięwzięcie obejmuje budowę jednej turbiny wiatrowej o mocy nominalnej do 6 MW. Maksymalna wysokość instalacji wynosić będzie do 220 m. Przedsięwzięcie realizowane będzie na działce 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ewid. nr 41, obręb Maków, w gminie Pietrowice Wielkie. Powyższe zamierzenie inwestycyjne stanowi przedsięwzięcie mogące potencjalnie 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znacząco oddziaływać na środowisko, o którym mowa w § 3 ust. 1 pkt 6 lit. b 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>rozporządzenia Rady Ministrów z dnia 10 września 2019 r. w sprawie przedsięwzięć mogących znacząco oddziaływać na środowisko (Dz. U. z 2019 r. poz. 1839, ze zm.),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 dalej r.o.o.ś., jako instalacje wykorzystujące do wytwarzania energii elektrycznej energię wiatru, inne niż wymienione w § 2 ust. 1 pkt 5 ww. rozporządzenia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>, o całkowitej wysokości nie niższej niż 30 m.</w:t>
      </w:r>
    </w:p>
    <w:p w14:paraId="37A62F8E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kern w:val="2"/>
          <w:lang w:bidi="pl-PL"/>
          <w14:ligatures w14:val="standardContextual"/>
        </w:rPr>
      </w:pPr>
      <w:r w:rsidRPr="001D77EC">
        <w:rPr>
          <w:rFonts w:ascii="Arial" w:hAnsi="Arial" w:cs="Arial"/>
          <w:kern w:val="2"/>
          <w:lang w:bidi="pl-PL"/>
          <w14:ligatures w14:val="standardContextual"/>
        </w:rPr>
        <w:t>Dla przedsięwzięcia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 objętego decyzj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>ą Wójta Gminy Pietrowice Wielkie z 21 lipca 2014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 r. FEN DWA Sp. z o.o. uzyskała pozwolenie na budowę Starosty Raciborskiego z 29 stycznia 2015 r., nr 27.6.2015. Jak wynika ze zgromadzonej dokumentacji, wniosek 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>spółki z 16 stycznia 2024 r. o zmianę decyzji Wójta Gminy Pietrowice Wielkie z 21 lipca 2014 r. wynika z potrzeby uzyskania zamiennego pozwolenia na budowę zgodnie z art. 8 ustawy z dnia 9 marca 2023 r. o zmianie ustawy o inwestycjach w zakresie elektrowni wiatrowych oraz niektórych innych ustaw (Dz. U. z 2023 r. poz. 553, ze zm.) oraz art. 13 ust. 3a ustawy z dnia 20 maja 2016 r. o inwestycjach w zakresie elektrowni wiatrowych (Dz. U. 2024 r. poz. 317). Zatem za zmianą decyzji przemawia słuszny interes strony.</w:t>
      </w:r>
    </w:p>
    <w:p w14:paraId="7D7B2A9B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iCs/>
          <w:kern w:val="2"/>
          <w:lang w:bidi="pl-PL"/>
          <w14:ligatures w14:val="standardContextual"/>
        </w:rPr>
      </w:pPr>
      <w:r w:rsidRPr="001D77EC">
        <w:rPr>
          <w:rFonts w:ascii="Arial" w:hAnsi="Arial" w:cs="Arial"/>
          <w:iCs/>
          <w:kern w:val="2"/>
          <w:lang w:bidi="pl-PL"/>
          <w14:ligatures w14:val="standardContextual"/>
        </w:rPr>
        <w:t xml:space="preserve">W toku postępowania w sprawie zmiany decyzji organ administracji publicznej jest zobligowany ustalić, czy istnieją przepisy szczególne, które zmianę decyzji czynią niedopuszczalną. W przedmiotowym przypadku analiza zgromadzonego w sprawie materiału dowodowego wykazuje, że z taką sytuacją mamy do czynienia na gruncie niniejszej sprawy. </w:t>
      </w:r>
    </w:p>
    <w:p w14:paraId="791E7C35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iCs/>
          <w:kern w:val="2"/>
          <w:lang w:bidi="pl-PL"/>
          <w14:ligatures w14:val="standardContextual"/>
        </w:rPr>
      </w:pPr>
      <w:r w:rsidRPr="001D77EC">
        <w:rPr>
          <w:rFonts w:ascii="Arial" w:hAnsi="Arial" w:cs="Arial"/>
          <w:iCs/>
          <w:kern w:val="2"/>
          <w:lang w:bidi="pl-PL"/>
          <w14:ligatures w14:val="standardContextual"/>
        </w:rPr>
        <w:t>GDOŚ, odwołując się do art. 72 ust. 3 i 4 u.o.o.ś., wskazuje, że przepisy te określają temporalny charakter</w:t>
      </w:r>
      <w:r w:rsidRPr="001D77EC">
        <w:rPr>
          <w:rFonts w:ascii="Arial" w:hAnsi="Arial" w:cs="Arial"/>
          <w:iCs/>
          <w:kern w:val="2"/>
          <w:lang w:bidi="pl-PL"/>
          <w14:ligatures w14:val="standardContextual"/>
        </w:rPr>
        <w:t xml:space="preserve"> używania decyzji o środowiskowych uwarunkowaniach</w:t>
      </w:r>
      <w:r w:rsidRPr="001D77EC">
        <w:rPr>
          <w:rFonts w:ascii="Arial" w:hAnsi="Arial" w:cs="Arial"/>
          <w:iCs/>
          <w:kern w:val="2"/>
          <w:lang w:bidi="pl-PL"/>
          <w14:ligatures w14:val="standardContextual"/>
        </w:rPr>
        <w:t xml:space="preserve"> na potrzeby uzyskania decyzji następczych, tj. decyzji wymienionych w art. 72 ust. 1 u.o.o.ś. W myśl ust. 3 przywołanego artykułu decyzję o środowiskowych uwarunkowaniach dołącza się do wniosku o wydanie decyzji, o których mowa w ust. 1, oraz zgłoszenia, o którym mowa w ust. 1a. Złożenie wniosku lub dokonanie zgłoszenia następuje w terminie 6 lat od dnia, w którym decyzja o środowiskowych uwarunkowaniach stała się ostateczna, z zastrzeżeniem ust. 4 i 4b. Ponadto złożenie wniosku lub dokonanie zgłoszenia może nastąpić w terminie 10 lat od dnia, w którym decyzja o środowiskowych uwarunkowaniach stała się ostateczna, o ile strona, która złożyła wniosek o wydanie decyzji o środowiskowych uwarunkowaniach, lub podmiot, na który została przeniesiona ta decyzja, otrzymali, przed upływem terminu, o którym mowa w ust. 3, od organu, który wydał decyzję o środowiskowych uwarunkowaniach w pierwszej instancji, </w:t>
      </w:r>
      <w:r w:rsidRPr="001D77EC">
        <w:rPr>
          <w:rFonts w:ascii="Arial" w:hAnsi="Arial" w:cs="Arial"/>
          <w:iCs/>
          <w:kern w:val="2"/>
          <w:lang w:bidi="pl-PL"/>
          <w14:ligatures w14:val="standardContextual"/>
        </w:rPr>
        <w:lastRenderedPageBreak/>
        <w:t xml:space="preserve">stanowisko, że aktualne są warunki realizacji przedsięwzięcia określone w decyzji o środowiskowych uwarunkowaniach lub postanowieniu, o którym mowa w art. 90 ust. 1, jeżeli było wydane – </w:t>
      </w:r>
      <w:r w:rsidRPr="001D77EC">
        <w:rPr>
          <w:rFonts w:ascii="Arial" w:hAnsi="Arial" w:cs="Arial"/>
          <w:iCs/>
          <w:kern w:val="2"/>
          <w:lang w:bidi="pl-PL"/>
          <w14:ligatures w14:val="standardContextual"/>
        </w:rPr>
        <w:t xml:space="preserve">art. 72 ust. 4 </w:t>
      </w:r>
      <w:r w:rsidRPr="001D77EC">
        <w:rPr>
          <w:rFonts w:ascii="Arial" w:hAnsi="Arial" w:cs="Arial"/>
          <w:iCs/>
          <w:kern w:val="2"/>
          <w:lang w:bidi="pl-PL"/>
          <w14:ligatures w14:val="standardContextual"/>
        </w:rPr>
        <w:t>u.o.o.ś.</w:t>
      </w:r>
    </w:p>
    <w:p w14:paraId="218FFFDB" w14:textId="77777777" w:rsidR="00000000" w:rsidRPr="001D77EC" w:rsidRDefault="00000000" w:rsidP="00332CAF">
      <w:pPr>
        <w:spacing w:after="120" w:line="312" w:lineRule="auto"/>
        <w:jc w:val="both"/>
        <w:rPr>
          <w:rFonts w:ascii="Arial" w:hAnsi="Arial" w:cs="Arial"/>
          <w:kern w:val="2"/>
          <w:lang w:bidi="pl-PL"/>
          <w14:ligatures w14:val="standardContextual"/>
        </w:rPr>
      </w:pPr>
      <w:r w:rsidRPr="001D77EC">
        <w:rPr>
          <w:rFonts w:ascii="Arial" w:hAnsi="Arial" w:cs="Arial"/>
          <w:iCs/>
          <w:kern w:val="2"/>
          <w:lang w:bidi="pl-PL"/>
          <w14:ligatures w14:val="standardContextual"/>
        </w:rPr>
        <w:t xml:space="preserve">Zatem w analizowanej sprawie mamy do czynienia z sytuacją, w której używanie decyzji o środowiskowych uwarunkowaniach zostało ograniczone terminem. W przypadku decyzji o środowiskowych uwarunkowaniach możliwość jej zmiany determinuje termin wynikający z art. 72 ust. 3 i 4 u.o.o.ś. Decyzja Wójta Gminy Pietrowice Wielkie z 21 lipca 2014 r. stała się ostateczna 19 sierpnia 2014 r., a więc termin, o którym mowa w art. 72 ust. 4 u.o.o.ś. upłynął 19 sierpnia 2024 r., a </w:t>
      </w:r>
      <w:r w:rsidRPr="001D77EC">
        <w:rPr>
          <w:rFonts w:ascii="Arial" w:hAnsi="Arial" w:cs="Arial"/>
          <w:iCs/>
          <w:kern w:val="2"/>
          <w:lang w:bidi="pl-PL"/>
          <w14:ligatures w14:val="standardContextual"/>
        </w:rPr>
        <w:t>decyzja RDOŚ w Katowicach z</w:t>
      </w:r>
      <w:r w:rsidRPr="001D77EC">
        <w:rPr>
          <w:rFonts w:ascii="Arial" w:hAnsi="Arial" w:cs="Arial"/>
          <w:kern w:val="2"/>
          <w14:ligatures w14:val="standardContextual"/>
        </w:rPr>
        <w:t xml:space="preserve"> </w:t>
      </w:r>
      <w:r w:rsidRPr="001D77EC">
        <w:rPr>
          <w:rFonts w:ascii="Arial" w:hAnsi="Arial" w:cs="Arial"/>
          <w:iCs/>
          <w:kern w:val="2"/>
          <w:lang w:bidi="pl-PL"/>
          <w14:ligatures w14:val="standardContextual"/>
        </w:rPr>
        <w:t>23 kwietnia 2026 r.</w:t>
      </w:r>
      <w:r w:rsidRPr="001D77EC">
        <w:rPr>
          <w:rFonts w:ascii="Arial" w:hAnsi="Arial" w:cs="Arial"/>
          <w:iCs/>
          <w:kern w:val="2"/>
          <w:lang w:bidi="pl-PL"/>
          <w14:ligatures w14:val="standardContextual"/>
        </w:rPr>
        <w:t xml:space="preserve"> została wydana po tym terminie. </w:t>
      </w:r>
    </w:p>
    <w:p w14:paraId="2C573F1D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kern w:val="2"/>
          <w:lang w:bidi="pl-PL"/>
          <w14:ligatures w14:val="standardContextual"/>
        </w:rPr>
      </w:pPr>
      <w:r w:rsidRPr="001D77EC">
        <w:rPr>
          <w:rFonts w:ascii="Arial" w:hAnsi="Arial" w:cs="Arial"/>
          <w:kern w:val="2"/>
          <w:lang w:bidi="pl-PL"/>
          <w14:ligatures w14:val="standardContextual"/>
        </w:rPr>
        <w:t>Biorąc pod uwagę powyższe, jeśli inwestor uzyskał dla przedsięwzięcia decyzję o środowiskowych uwarunkowaniach</w:t>
      </w:r>
      <w:r w:rsidRPr="001D77EC">
        <w:t xml:space="preserve"> 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i chce wprowadzić istotne zmiany w zakresie inwestycji, ale upłynął termin wskazany w art. </w:t>
      </w:r>
      <w:bookmarkStart w:id="21" w:name="_Hlk237849169"/>
      <w:r w:rsidRPr="001D77EC">
        <w:rPr>
          <w:rFonts w:ascii="Arial" w:hAnsi="Arial" w:cs="Arial"/>
          <w:kern w:val="2"/>
          <w:lang w:bidi="pl-PL"/>
          <w14:ligatures w14:val="standardContextual"/>
        </w:rPr>
        <w:t>72 ust. 3 i 4 u.o.o.ś.</w:t>
      </w:r>
      <w:bookmarkEnd w:id="21"/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, powinien wystąpić o nową decyzję o środowiskowych uwarunkowaniach. </w:t>
      </w:r>
    </w:p>
    <w:p w14:paraId="2A1D0B1C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kern w:val="2"/>
          <w:lang w:bidi="pl-PL"/>
          <w14:ligatures w14:val="standardContextual"/>
        </w:rPr>
      </w:pP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Wyjaśnić należy, że w opisanych okolicznościach faktycznych i prawnych, tj. w przypadku potrzeby zmiany warunków 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>określonych w decyzji o środowiskowych uwarunkowaniach, w obliczu upływu terminów wskazanych w art. 72 ust. 3 i 4 u.o.o.ś.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>, ustawodawca przewidział określoną ścieżkę postępowania. W tak ukształtowanym stanie faktycznym właściwym trybem postępowania jest wystąpienie z wnioskiem o wydanie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 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>nowej decyzji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 o środowiskowych uwarunkowaniach. </w:t>
      </w:r>
    </w:p>
    <w:p w14:paraId="37400744" w14:textId="77777777" w:rsidR="00000000" w:rsidRPr="001D77EC" w:rsidRDefault="00000000" w:rsidP="00332CAF">
      <w:pPr>
        <w:spacing w:after="120" w:line="312" w:lineRule="auto"/>
        <w:jc w:val="both"/>
        <w:rPr>
          <w:rFonts w:ascii="Arial" w:eastAsia="Times New Roman" w:hAnsi="Arial" w:cs="Arial"/>
          <w:iCs/>
          <w:lang w:bidi="pl-PL"/>
        </w:rPr>
      </w:pPr>
      <w:r w:rsidRPr="001D77EC">
        <w:rPr>
          <w:rFonts w:ascii="Arial" w:eastAsia="Times New Roman" w:hAnsi="Arial" w:cs="Arial"/>
          <w:iCs/>
          <w:lang w:bidi="pl-PL"/>
        </w:rPr>
        <w:t xml:space="preserve">Kontynuując, wskazane wyżej okoliczności uzasadniają zakwalifikowanie analizowanego przedsięwzięcia zgodnie z </w:t>
      </w:r>
      <w:bookmarkStart w:id="22" w:name="_Hlk232680985"/>
      <w:bookmarkStart w:id="23" w:name="_Hlk237851546"/>
      <w:r w:rsidRPr="001D77EC">
        <w:rPr>
          <w:rFonts w:ascii="Arial" w:eastAsia="Times New Roman" w:hAnsi="Arial" w:cs="Arial"/>
          <w:iCs/>
          <w:lang w:bidi="pl-PL"/>
        </w:rPr>
        <w:t>§ 3 ust. 2</w:t>
      </w:r>
      <w:bookmarkEnd w:id="22"/>
      <w:r w:rsidRPr="001D77EC">
        <w:rPr>
          <w:rFonts w:ascii="Arial" w:eastAsia="Times New Roman" w:hAnsi="Arial" w:cs="Arial"/>
          <w:iCs/>
          <w:lang w:bidi="pl-PL"/>
        </w:rPr>
        <w:t xml:space="preserve"> pkt 2 </w:t>
      </w:r>
      <w:bookmarkEnd w:id="23"/>
      <w:r w:rsidRPr="001D77EC">
        <w:rPr>
          <w:rFonts w:ascii="Arial" w:eastAsia="Times New Roman" w:hAnsi="Arial" w:cs="Arial"/>
          <w:iCs/>
          <w:lang w:bidi="pl-PL"/>
        </w:rPr>
        <w:t>lub § 3 ust. 3 r.o.o.ś. Opisane zamierzenie inwestycyjne kwalifikuje się</w:t>
      </w:r>
      <w:r w:rsidRPr="001D77EC">
        <w:rPr>
          <w:rFonts w:ascii="Arial" w:eastAsia="Times New Roman" w:hAnsi="Arial" w:cs="Arial"/>
          <w:iCs/>
          <w:lang w:bidi="pl-PL"/>
        </w:rPr>
        <w:t xml:space="preserve"> bowiem do jednej z po</w:t>
      </w:r>
      <w:r w:rsidRPr="001D77EC">
        <w:rPr>
          <w:rFonts w:ascii="Arial" w:eastAsia="Times New Roman" w:hAnsi="Arial" w:cs="Arial"/>
          <w:iCs/>
          <w:lang w:bidi="pl-PL"/>
        </w:rPr>
        <w:t>wyższych kategorii.</w:t>
      </w:r>
    </w:p>
    <w:p w14:paraId="2E638A3B" w14:textId="77777777" w:rsidR="00000000" w:rsidRPr="001D77EC" w:rsidRDefault="00000000" w:rsidP="00332CAF">
      <w:pPr>
        <w:spacing w:after="120" w:line="312" w:lineRule="auto"/>
        <w:jc w:val="both"/>
        <w:rPr>
          <w:rFonts w:ascii="Arial" w:eastAsia="Times New Roman" w:hAnsi="Arial" w:cs="Arial"/>
          <w:iCs/>
          <w:lang w:bidi="pl-PL"/>
        </w:rPr>
      </w:pPr>
      <w:r w:rsidRPr="001D77EC">
        <w:rPr>
          <w:rFonts w:ascii="Arial" w:eastAsia="Times New Roman" w:hAnsi="Arial" w:cs="Arial"/>
          <w:iCs/>
          <w:lang w:bidi="pl-PL"/>
        </w:rPr>
        <w:t xml:space="preserve">Zgodnie z </w:t>
      </w:r>
      <w:bookmarkStart w:id="24" w:name="_Hlk237855208"/>
      <w:r w:rsidRPr="001D77EC">
        <w:rPr>
          <w:rFonts w:ascii="Arial" w:eastAsia="Times New Roman" w:hAnsi="Arial" w:cs="Arial"/>
          <w:iCs/>
          <w:lang w:bidi="pl-PL"/>
        </w:rPr>
        <w:t xml:space="preserve">§ 3 ust. 2 pkt 2 </w:t>
      </w:r>
      <w:bookmarkEnd w:id="24"/>
      <w:r w:rsidRPr="001D77EC">
        <w:rPr>
          <w:rFonts w:ascii="Arial" w:eastAsia="Times New Roman" w:hAnsi="Arial" w:cs="Arial"/>
          <w:iCs/>
          <w:lang w:bidi="pl-PL"/>
        </w:rPr>
        <w:t>r.o.o.ś. do przedsięwzięć mogących potencjalnie znacząco oddziaływać na środowisko zalicza się także przedsięwzięcia</w:t>
      </w:r>
      <w:r w:rsidRPr="001D77EC">
        <w:rPr>
          <w:rFonts w:ascii="Open Sans" w:hAnsi="Open Sans" w:cs="Open Sans"/>
          <w:color w:val="333333"/>
          <w:shd w:val="clear" w:color="auto" w:fill="FFFFFF"/>
        </w:rPr>
        <w:t xml:space="preserve"> </w:t>
      </w:r>
      <w:r w:rsidRPr="001D77EC">
        <w:rPr>
          <w:rFonts w:ascii="Arial" w:eastAsia="Times New Roman" w:hAnsi="Arial" w:cs="Arial"/>
          <w:iCs/>
          <w:lang w:bidi="pl-PL"/>
        </w:rPr>
        <w:t>polegające na rozbudowie, przebudowie lub montażu realizowanego lub zrealizowanego przedsięwzięcia wymienionego w ust. 1, z wyłączeniem przypadków, w których ulegająca zmianie lub powstająca w wyniku rozbudowy, przebudowy lub montażu część realizowanego lub zrealizowanego przedsięwzięcia nie osiąga progów określonych w ust. 1, o ile zostały one określone; w przypadku gdy jest to druga lub kolejna rozbudowa, przebudowa lub montaż, sumowaniu podlegają parametry tej rozbudowy, przebudowy lub montażu z poprzednimi rozbudowami, przebudowami lub montażami, o ile nie zostały one objęte decyzją o środowiskowych uwarunkowaniach.</w:t>
      </w:r>
    </w:p>
    <w:p w14:paraId="3BBABAB2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kern w:val="2"/>
          <w:lang w:bidi="pl-PL"/>
          <w14:ligatures w14:val="standardContextual"/>
        </w:rPr>
      </w:pPr>
      <w:r w:rsidRPr="001D77EC">
        <w:rPr>
          <w:rFonts w:ascii="Arial" w:eastAsia="Times New Roman" w:hAnsi="Arial" w:cs="Arial"/>
          <w:iCs/>
          <w:lang w:bidi="pl-PL"/>
        </w:rPr>
        <w:t>Z kolei zgodnie z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 </w:t>
      </w:r>
      <w:bookmarkStart w:id="25" w:name="_Hlk237344419"/>
      <w:bookmarkStart w:id="26" w:name="_Hlk237854753"/>
      <w:bookmarkStart w:id="27" w:name="_Hlk237344896"/>
      <w:r w:rsidRPr="001D77EC">
        <w:rPr>
          <w:rFonts w:ascii="Arial" w:hAnsi="Arial" w:cs="Arial"/>
          <w:kern w:val="2"/>
          <w:lang w:bidi="pl-PL"/>
          <w14:ligatures w14:val="standardContextual"/>
        </w:rPr>
        <w:t>§ 3</w:t>
      </w:r>
      <w:bookmarkEnd w:id="25"/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 ust. 3 </w:t>
      </w:r>
      <w:bookmarkEnd w:id="26"/>
      <w:r w:rsidRPr="001D77EC">
        <w:rPr>
          <w:rFonts w:ascii="Arial" w:hAnsi="Arial" w:cs="Arial"/>
          <w:kern w:val="2"/>
          <w:lang w:bidi="pl-PL"/>
          <w14:ligatures w14:val="standardContextual"/>
        </w:rPr>
        <w:t>r.o.o.ś.</w:t>
      </w:r>
      <w:bookmarkEnd w:id="27"/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 do </w:t>
      </w:r>
      <w:bookmarkStart w:id="28" w:name="_Hlk237853564"/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przedsięwzięć mogących potencjalnie znacząco oddziaływać na środowisko zalicza się także przedsięwzięcia </w:t>
      </w:r>
      <w:bookmarkEnd w:id="28"/>
      <w:r w:rsidRPr="001D77EC">
        <w:rPr>
          <w:rFonts w:ascii="Arial" w:hAnsi="Arial" w:cs="Arial"/>
          <w:kern w:val="2"/>
          <w:lang w:bidi="pl-PL"/>
          <w14:ligatures w14:val="standardContextual"/>
        </w:rPr>
        <w:t>niezwiązane z przebudową, rozbudową lub montażem realizowanego lub zrealizowanego przedsięwzięcia, powodujące potrzebę zmiany uwarunkowań określonych w decyzji o środowiskowych uwarunkowaniach. Są to przedsięwzięcia, których realizacja wymaga zmiany uwarunkowań określonych w decyzji o środowiskowych uwarunkowaniach, np. zwiększenie czasu pracy instalacji czy zmiany jej maksymalnej wydajności, które może powodować zmianę oddziaływania przedsięwzięcia na środowisko – a co za tym idzie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, wynikającą stąd potrzebę zmiany uwarunkowań. </w:t>
      </w:r>
    </w:p>
    <w:p w14:paraId="05992086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kern w:val="2"/>
          <w:lang w:bidi="pl-PL"/>
          <w14:ligatures w14:val="standardContextual"/>
        </w:rPr>
      </w:pP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Zauważyć również należy, że przyjęcie koncepcji wnioskodawcy, że mimo upływu relewantnych terminów </w:t>
      </w:r>
      <w:bookmarkStart w:id="29" w:name="_Hlk237855272"/>
      <w:r w:rsidRPr="001D77EC">
        <w:rPr>
          <w:rFonts w:ascii="Arial" w:hAnsi="Arial" w:cs="Arial"/>
          <w:kern w:val="2"/>
          <w:lang w:bidi="pl-PL"/>
          <w14:ligatures w14:val="standardContextual"/>
        </w:rPr>
        <w:t>określonych w art. 72 ust. 3 i 4 u.o.o.ś.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, </w:t>
      </w:r>
      <w:bookmarkEnd w:id="29"/>
      <w:r w:rsidRPr="001D77EC">
        <w:rPr>
          <w:rFonts w:ascii="Arial" w:hAnsi="Arial" w:cs="Arial"/>
          <w:kern w:val="2"/>
          <w:lang w:bidi="pl-PL"/>
          <w14:ligatures w14:val="standardContextual"/>
        </w:rPr>
        <w:t>zmiana warunków określonych w decyzji o środowiskowych uwarunkowaniach może się odbywać w trybie art. 155 k.p.a. w związku z art. 87 u.o.o.ś.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, prowadzi do sytuacji, w której </w:t>
      </w:r>
      <w:r w:rsidRPr="001D77EC">
        <w:rPr>
          <w:rFonts w:ascii="Arial" w:hAnsi="Arial" w:cs="Arial"/>
          <w:iCs/>
          <w:kern w:val="2"/>
          <w:lang w:bidi="pl-PL"/>
          <w14:ligatures w14:val="standardContextual"/>
        </w:rPr>
        <w:t>§ 3 ust. 2 pkt 2 lub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 § 3 ust. 3 r.o.o.ś. są przepisami zbędnymi. Wskazać tutaj należy na przyjętą zarówno w doktrynie, jak i orzecznictwie sądów administracyjnych dyrektywę zakazującą dokonywania wykładni w taki sposób, że pewne przepisy są zbędne 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>(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L. 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lastRenderedPageBreak/>
        <w:t xml:space="preserve">Morawski, </w:t>
      </w:r>
      <w:r w:rsidRPr="001D77EC">
        <w:rPr>
          <w:rFonts w:ascii="Arial" w:hAnsi="Arial" w:cs="Arial"/>
          <w:i/>
          <w:iCs/>
          <w:kern w:val="2"/>
          <w:lang w:bidi="pl-PL"/>
          <w14:ligatures w14:val="standardContextual"/>
        </w:rPr>
        <w:t>Zasady wykładni prawa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, Toruń 2010, s. 122 oraz wyrok 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WSA w Warszawie z 4 października 2017 r., sygn. akt IV SA/Wa 1583/17).  </w:t>
      </w:r>
    </w:p>
    <w:p w14:paraId="5E8170B2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kern w:val="2"/>
          <w:lang w:bidi="pl-PL"/>
          <w14:ligatures w14:val="standardContextual"/>
        </w:rPr>
      </w:pP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Podsumowując, niezależnie od tego, do którego z punktów – </w:t>
      </w:r>
      <w:bookmarkStart w:id="30" w:name="_Hlk232671909"/>
      <w:r w:rsidRPr="001D77EC">
        <w:rPr>
          <w:rFonts w:ascii="Arial" w:hAnsi="Arial" w:cs="Arial"/>
          <w:kern w:val="2"/>
          <w:lang w:bidi="pl-PL"/>
          <w14:ligatures w14:val="standardContextual"/>
        </w:rPr>
        <w:t>§ 3</w:t>
      </w:r>
      <w:bookmarkEnd w:id="30"/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 ust. 2 pkt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 2 lub § 3 ust. 3  r.o.o.ś. przedsięwzięcie zostałoby zakwalifikowane, nie ulega wątpliwości, że w obliczu upływu terminów określonych w art. 72 ust. 3 i 4 u.o.o.ś.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>, charakter zmian, o które wnioskuje inwestor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, posiada cechy przedsięwzięcia wymienionego w r.o.o.ś. i </w:t>
      </w:r>
      <w:bookmarkStart w:id="31" w:name="_Hlk237855253"/>
      <w:r w:rsidRPr="001D77EC">
        <w:rPr>
          <w:rFonts w:ascii="Arial" w:hAnsi="Arial" w:cs="Arial"/>
          <w:kern w:val="2"/>
          <w:lang w:bidi="pl-PL"/>
          <w14:ligatures w14:val="standardContextual"/>
        </w:rPr>
        <w:t>należałoby je zakwalifikować jako nowe przedsięwzięcie.</w:t>
      </w:r>
      <w:bookmarkEnd w:id="31"/>
    </w:p>
    <w:p w14:paraId="26CD4976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iCs/>
          <w:kern w:val="2"/>
          <w14:ligatures w14:val="standardContextual"/>
        </w:rPr>
      </w:pPr>
      <w:r w:rsidRPr="001D77EC">
        <w:rPr>
          <w:rFonts w:ascii="Arial" w:hAnsi="Arial" w:cs="Arial"/>
          <w:kern w:val="2"/>
          <w14:ligatures w14:val="standardContextual"/>
        </w:rPr>
        <w:t xml:space="preserve">Zgodnie z art. 138 </w:t>
      </w:r>
      <w:bookmarkStart w:id="32" w:name="_Hlk132905805"/>
      <w:r w:rsidRPr="001D77EC">
        <w:rPr>
          <w:rFonts w:ascii="Arial" w:hAnsi="Arial" w:cs="Arial"/>
          <w:iCs/>
          <w:kern w:val="2"/>
          <w14:ligatures w14:val="standardContextual"/>
        </w:rPr>
        <w:t xml:space="preserve">§ 1 pkt 2 </w:t>
      </w:r>
      <w:r w:rsidRPr="001D77EC">
        <w:rPr>
          <w:rFonts w:ascii="Arial" w:hAnsi="Arial" w:cs="Arial"/>
          <w:i/>
          <w:kern w:val="2"/>
          <w14:ligatures w14:val="standardContextual"/>
        </w:rPr>
        <w:t xml:space="preserve">ab initio </w:t>
      </w:r>
      <w:r w:rsidRPr="001D77EC">
        <w:rPr>
          <w:rFonts w:ascii="Arial" w:hAnsi="Arial" w:cs="Arial"/>
          <w:iCs/>
          <w:kern w:val="2"/>
          <w14:ligatures w14:val="standardContextual"/>
        </w:rPr>
        <w:t xml:space="preserve">k.p.a. </w:t>
      </w:r>
      <w:bookmarkEnd w:id="32"/>
      <w:r w:rsidRPr="001D77EC">
        <w:rPr>
          <w:rFonts w:ascii="Arial" w:hAnsi="Arial" w:cs="Arial"/>
          <w:iCs/>
          <w:kern w:val="2"/>
          <w14:ligatures w14:val="standardContextual"/>
        </w:rPr>
        <w:t xml:space="preserve">organ odwoławczy uchyla zaskarżoną decyzję w całości albo w części i w tym zakresie orzeka co do istoty sprawy. Tego rodzaju sytuacja ma miejsce wówczas, gdy zaskarżona decyzja jest nieprawidłowa – to znaczy niezgodna z przepisami prawa lub niecelowa. Organ administracji w pierwszej części rozstrzygnięcia określa zakres tego uchylenia (w całości lub w części), zaś w drugiej – rozstrzyga sprawę co do jej istoty (por. A. Gołęba [w:] </w:t>
      </w:r>
      <w:r w:rsidRPr="001D77EC">
        <w:rPr>
          <w:rFonts w:ascii="Arial" w:hAnsi="Arial" w:cs="Arial"/>
          <w:i/>
          <w:kern w:val="2"/>
          <w14:ligatures w14:val="standardContextual"/>
        </w:rPr>
        <w:t xml:space="preserve">Kodeks postępowania administracyjnego. Komentarz, </w:t>
      </w:r>
      <w:r w:rsidRPr="001D77EC">
        <w:rPr>
          <w:rFonts w:ascii="Arial" w:hAnsi="Arial" w:cs="Arial"/>
          <w:iCs/>
          <w:kern w:val="2"/>
          <w14:ligatures w14:val="standardContextual"/>
        </w:rPr>
        <w:t>wyd. II, red. H. Knysiak-Sudyka, Warszawa 2019, LEX, komentarz do art. 138, teza 3).</w:t>
      </w:r>
    </w:p>
    <w:p w14:paraId="2C8803D1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iCs/>
          <w:kern w:val="2"/>
          <w:lang w:bidi="pl-PL"/>
          <w14:ligatures w14:val="standardContextual"/>
        </w:rPr>
      </w:pPr>
      <w:r w:rsidRPr="001D77EC">
        <w:rPr>
          <w:rFonts w:ascii="Arial" w:hAnsi="Arial" w:cs="Arial"/>
          <w:iCs/>
          <w:kern w:val="2"/>
          <w:lang w:bidi="pl-PL"/>
          <w14:ligatures w14:val="standardContextual"/>
        </w:rPr>
        <w:t xml:space="preserve">Podkreślić raz jeszcze należy, iż decyzję o środowiskowych uwarunkowaniach charakteryzują czasowe ograniczenia, co do okresu w którym można się nią posłużyć w celu uzyskania kolejnych decyzji inwestycyjnych. </w:t>
      </w:r>
      <w:r w:rsidRPr="001D77EC">
        <w:rPr>
          <w:rFonts w:ascii="Arial" w:hAnsi="Arial" w:cs="Arial"/>
          <w:iCs/>
          <w:kern w:val="2"/>
          <w14:ligatures w14:val="standardContextual"/>
        </w:rPr>
        <w:t>Wobec powyższego w ocenie GDOŚ upływ terminów określonych w art. 72 ust 3 i 4 u.o.o.ś czyni zmianę decyzji Wójta Gminy Pietrowice Wielkie z 21 lipca 2014 r. na podstawie art. 155 k.p.a. w związku z art. 87 u.o.o.ś. niedopuszczalną.</w:t>
      </w:r>
    </w:p>
    <w:p w14:paraId="79073B7E" w14:textId="77777777" w:rsidR="00000000" w:rsidRPr="001D77EC" w:rsidRDefault="00000000" w:rsidP="00FE5CFC">
      <w:pPr>
        <w:spacing w:after="120" w:line="312" w:lineRule="auto"/>
        <w:jc w:val="both"/>
        <w:rPr>
          <w:rFonts w:ascii="Arial" w:hAnsi="Arial" w:cs="Arial"/>
          <w:kern w:val="2"/>
          <w14:ligatures w14:val="standardContextual"/>
        </w:rPr>
      </w:pPr>
      <w:r w:rsidRPr="001D77EC">
        <w:rPr>
          <w:rFonts w:ascii="Arial" w:hAnsi="Arial" w:cs="Arial"/>
          <w:iCs/>
          <w:kern w:val="2"/>
          <w14:ligatures w14:val="standardContextual"/>
        </w:rPr>
        <w:t>W świetle powyższych okoliczności zarzuty skarżące</w:t>
      </w:r>
      <w:r w:rsidRPr="001D77EC">
        <w:rPr>
          <w:rFonts w:ascii="Arial" w:hAnsi="Arial" w:cs="Arial"/>
          <w:iCs/>
          <w:kern w:val="2"/>
          <w14:ligatures w14:val="standardContextual"/>
        </w:rPr>
        <w:t>j nie miały wpływu na sposób rozstrzygnięcia sprawy, w związku z tym GDOŚ nie odniósł się merytorycznie do przedstawionych w odwołaniu zarzutów.</w:t>
      </w:r>
    </w:p>
    <w:p w14:paraId="2582576C" w14:textId="77777777" w:rsidR="00000000" w:rsidRPr="001D77EC" w:rsidRDefault="00000000" w:rsidP="00CC6D1D">
      <w:pPr>
        <w:spacing w:after="160" w:line="312" w:lineRule="auto"/>
        <w:jc w:val="both"/>
        <w:rPr>
          <w:rFonts w:ascii="Arial" w:hAnsi="Arial" w:cs="Arial"/>
          <w:kern w:val="2"/>
          <w14:ligatures w14:val="standardContextual"/>
        </w:rPr>
      </w:pPr>
      <w:r w:rsidRPr="001D77EC">
        <w:rPr>
          <w:rFonts w:ascii="Arial" w:hAnsi="Arial" w:cs="Arial"/>
          <w:kern w:val="2"/>
          <w:lang w:bidi="en-US"/>
          <w14:ligatures w14:val="standardContextual"/>
        </w:rPr>
        <w:t xml:space="preserve">Wobec 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powyższego GDOŚ orzekł, </w:t>
      </w:r>
      <w:r w:rsidRPr="001D77EC">
        <w:rPr>
          <w:rFonts w:ascii="Arial" w:hAnsi="Arial" w:cs="Arial"/>
          <w:kern w:val="2"/>
          <w:lang w:bidi="en-US"/>
          <w14:ligatures w14:val="standardContextual"/>
        </w:rPr>
        <w:t>jak w sentencji.</w:t>
      </w:r>
    </w:p>
    <w:p w14:paraId="14608D73" w14:textId="77777777" w:rsidR="00000000" w:rsidRPr="001D77EC" w:rsidRDefault="00000000" w:rsidP="001D77EC">
      <w:pPr>
        <w:spacing w:after="160" w:line="312" w:lineRule="auto"/>
        <w:rPr>
          <w:rFonts w:ascii="Arial" w:hAnsi="Arial" w:cs="Arial"/>
          <w:kern w:val="2"/>
          <w14:ligatures w14:val="standardContextual"/>
        </w:rPr>
      </w:pPr>
      <w:bookmarkStart w:id="33" w:name="bookmark8"/>
      <w:bookmarkStart w:id="34" w:name="bookmark9"/>
      <w:r w:rsidRPr="001D77EC">
        <w:rPr>
          <w:rFonts w:ascii="Arial" w:hAnsi="Arial" w:cs="Arial"/>
          <w:kern w:val="2"/>
          <w:lang w:bidi="en-US"/>
          <w14:ligatures w14:val="standardContextual"/>
        </w:rPr>
        <w:t>Pouczenie</w:t>
      </w:r>
      <w:bookmarkEnd w:id="33"/>
      <w:bookmarkEnd w:id="34"/>
    </w:p>
    <w:p w14:paraId="571F25A1" w14:textId="77777777" w:rsidR="00000000" w:rsidRPr="001D77EC" w:rsidRDefault="00000000" w:rsidP="00CC6D1D">
      <w:pPr>
        <w:numPr>
          <w:ilvl w:val="0"/>
          <w:numId w:val="1"/>
        </w:numPr>
        <w:spacing w:after="0" w:line="312" w:lineRule="auto"/>
        <w:ind w:left="357" w:hanging="357"/>
        <w:jc w:val="both"/>
        <w:rPr>
          <w:rFonts w:ascii="Arial" w:eastAsia="Times New Roman" w:hAnsi="Arial" w:cs="Arial"/>
        </w:rPr>
      </w:pPr>
      <w:bookmarkStart w:id="35" w:name="_Hlk153181224"/>
      <w:bookmarkStart w:id="36" w:name="_Hlk205499864"/>
      <w:r w:rsidRPr="001D77EC">
        <w:rPr>
          <w:rFonts w:ascii="Arial" w:eastAsia="Times New Roman" w:hAnsi="Arial" w:cs="Arial"/>
        </w:rPr>
        <w:t xml:space="preserve">niniejsza decyzja jest ostateczna w administracyjnym toku instancji. Na decyzję, zgodnie z art. 50 oraz art. 52 § 1 i 2 w związku z art. 3 § 2 pkt 1 ustawy z dnia 30 sierpnia 2002 r. – Prawo o postępowaniu przed sądami administracyjnymi (Dz. U. z 2026 r. poz. 143, ze zm.), dalej </w:t>
      </w:r>
      <w:r w:rsidRPr="001D77EC">
        <w:rPr>
          <w:rFonts w:ascii="Arial" w:eastAsia="Times New Roman" w:hAnsi="Arial" w:cs="Arial"/>
          <w:iCs/>
        </w:rPr>
        <w:t>p.p.s.a.</w:t>
      </w:r>
      <w:r w:rsidRPr="001D77EC">
        <w:rPr>
          <w:rFonts w:ascii="Arial" w:eastAsia="Times New Roman" w:hAnsi="Arial" w:cs="Arial"/>
        </w:rPr>
        <w:t>, służy skarga do Wojewódzkiego Sądu Administracyjnego w Warszawie;</w:t>
      </w:r>
    </w:p>
    <w:p w14:paraId="60F37BCF" w14:textId="77777777" w:rsidR="00000000" w:rsidRPr="001D77EC" w:rsidRDefault="00000000" w:rsidP="00CC6D1D">
      <w:pPr>
        <w:numPr>
          <w:ilvl w:val="0"/>
          <w:numId w:val="1"/>
        </w:numPr>
        <w:spacing w:after="0" w:line="312" w:lineRule="auto"/>
        <w:ind w:left="357" w:hanging="357"/>
        <w:jc w:val="both"/>
        <w:rPr>
          <w:rFonts w:ascii="Arial" w:eastAsia="Times New Roman" w:hAnsi="Arial" w:cs="Arial"/>
        </w:rPr>
      </w:pPr>
      <w:r w:rsidRPr="001D77EC">
        <w:rPr>
          <w:rFonts w:ascii="Arial" w:eastAsia="Times New Roman" w:hAnsi="Arial" w:cs="Arial"/>
        </w:rPr>
        <w:t>zgodnie z art. 53 § 1 oraz art. 54 § 1 p.p.s.a. skargę należy wnieść, za pośrednictwem GDOŚ, w terminie trzydziestu dni od dnia otrzymania decyzji;</w:t>
      </w:r>
    </w:p>
    <w:p w14:paraId="77E1AABC" w14:textId="77777777" w:rsidR="00000000" w:rsidRPr="001D77EC" w:rsidRDefault="00000000" w:rsidP="00CC6D1D">
      <w:pPr>
        <w:numPr>
          <w:ilvl w:val="0"/>
          <w:numId w:val="1"/>
        </w:numPr>
        <w:spacing w:after="0" w:line="312" w:lineRule="auto"/>
        <w:ind w:left="357" w:hanging="357"/>
        <w:jc w:val="both"/>
        <w:rPr>
          <w:rFonts w:ascii="Arial" w:eastAsia="Times New Roman" w:hAnsi="Arial" w:cs="Arial"/>
        </w:rPr>
      </w:pPr>
      <w:r w:rsidRPr="001D77EC">
        <w:rPr>
          <w:rFonts w:ascii="Arial" w:eastAsia="Times New Roman" w:hAnsi="Arial" w:cs="Arial"/>
        </w:rPr>
        <w:t xml:space="preserve">skarżący, zgodnie z art. 230 </w:t>
      </w:r>
      <w:r w:rsidRPr="001D77EC">
        <w:rPr>
          <w:rFonts w:ascii="Arial" w:eastAsia="Times New Roman" w:hAnsi="Arial" w:cs="Arial"/>
          <w:iCs/>
        </w:rPr>
        <w:t>p.p.s.a. w związku z § 2 ust. 3 pkt 3 rozporządzenia Rady Ministrów z dnia 16 grudnia 2003 r.</w:t>
      </w:r>
      <w:r w:rsidRPr="001D77EC">
        <w:rPr>
          <w:rFonts w:ascii="Arial" w:eastAsia="Times New Roman" w:hAnsi="Arial" w:cs="Arial"/>
          <w:i/>
          <w:iCs/>
        </w:rPr>
        <w:t xml:space="preserve"> </w:t>
      </w:r>
      <w:r w:rsidRPr="001D77EC">
        <w:rPr>
          <w:rFonts w:ascii="Arial" w:eastAsia="Times New Roman" w:hAnsi="Arial" w:cs="Arial"/>
        </w:rPr>
        <w:t>w sprawie wysokości oraz szczegółowych zasad pobierania wpisu w postępowaniu przed sądami administracyjnymi</w:t>
      </w:r>
      <w:r w:rsidRPr="001D77EC">
        <w:rPr>
          <w:rFonts w:ascii="Arial" w:eastAsia="Times New Roman" w:hAnsi="Arial" w:cs="Arial"/>
          <w:i/>
          <w:iCs/>
        </w:rPr>
        <w:t xml:space="preserve"> </w:t>
      </w:r>
      <w:r w:rsidRPr="001D77EC">
        <w:rPr>
          <w:rFonts w:ascii="Arial" w:eastAsia="Times New Roman" w:hAnsi="Arial" w:cs="Arial"/>
          <w:iCs/>
        </w:rPr>
        <w:t>(Dz. U. z 2021 r. poz. 535)</w:t>
      </w:r>
      <w:r w:rsidRPr="001D77EC">
        <w:rPr>
          <w:rFonts w:ascii="Arial" w:eastAsia="Times New Roman" w:hAnsi="Arial" w:cs="Arial"/>
        </w:rPr>
        <w:t xml:space="preserve">, obowiązany jest do uiszczenia wpisu od skargi w kwocie 200 zł. Skarżący, co wynika z art. 239 </w:t>
      </w:r>
      <w:r w:rsidRPr="001D77EC">
        <w:rPr>
          <w:rFonts w:ascii="Arial" w:eastAsia="Times New Roman" w:hAnsi="Arial" w:cs="Arial"/>
          <w:iCs/>
        </w:rPr>
        <w:t>p.p.s.a.</w:t>
      </w:r>
      <w:r w:rsidRPr="001D77EC">
        <w:rPr>
          <w:rFonts w:ascii="Arial" w:eastAsia="Times New Roman" w:hAnsi="Arial" w:cs="Arial"/>
        </w:rPr>
        <w:t>, może być zwolniony z obowiązku uiszczenia kosztów sądowych;</w:t>
      </w:r>
    </w:p>
    <w:p w14:paraId="275FD5C6" w14:textId="77777777" w:rsidR="00000000" w:rsidRPr="001D77EC" w:rsidRDefault="00000000" w:rsidP="00CC6D1D">
      <w:pPr>
        <w:numPr>
          <w:ilvl w:val="0"/>
          <w:numId w:val="1"/>
        </w:numPr>
        <w:spacing w:after="0" w:line="312" w:lineRule="auto"/>
        <w:ind w:left="357" w:hanging="357"/>
        <w:jc w:val="both"/>
        <w:rPr>
          <w:rFonts w:ascii="Arial" w:eastAsia="Times New Roman" w:hAnsi="Arial" w:cs="Arial"/>
        </w:rPr>
      </w:pPr>
      <w:r w:rsidRPr="001D77EC">
        <w:rPr>
          <w:rFonts w:ascii="Arial" w:eastAsia="Times New Roman" w:hAnsi="Arial" w:cs="Arial"/>
        </w:rPr>
        <w:t xml:space="preserve">skarżącemu, zgodnie z art. 243 </w:t>
      </w:r>
      <w:r w:rsidRPr="001D77EC">
        <w:rPr>
          <w:rFonts w:ascii="Arial" w:eastAsia="Times New Roman" w:hAnsi="Arial" w:cs="Arial"/>
          <w:iCs/>
        </w:rPr>
        <w:t>p.p.s.a.</w:t>
      </w:r>
      <w:r w:rsidRPr="001D77EC">
        <w:rPr>
          <w:rFonts w:ascii="Arial" w:eastAsia="Times New Roman" w:hAnsi="Arial" w:cs="Arial"/>
        </w:rPr>
        <w:t>, może być przyznane, na jego wniosek, prawo pomocy. Wniosek ten wolny jest od opłat sądowych;</w:t>
      </w:r>
    </w:p>
    <w:p w14:paraId="2298E0ED" w14:textId="77777777" w:rsidR="00000000" w:rsidRPr="001D77EC" w:rsidRDefault="00000000" w:rsidP="00CC6D1D">
      <w:pPr>
        <w:numPr>
          <w:ilvl w:val="0"/>
          <w:numId w:val="1"/>
        </w:numPr>
        <w:spacing w:after="0" w:line="312" w:lineRule="auto"/>
        <w:ind w:left="357" w:hanging="357"/>
        <w:jc w:val="both"/>
        <w:rPr>
          <w:rFonts w:ascii="Arial" w:eastAsia="Times New Roman" w:hAnsi="Arial" w:cs="Arial"/>
        </w:rPr>
      </w:pPr>
      <w:r w:rsidRPr="001D77EC">
        <w:rPr>
          <w:rFonts w:ascii="Arial" w:eastAsia="Times New Roman" w:hAnsi="Arial" w:cs="Arial"/>
        </w:rPr>
        <w:t>skargę w formie elektronicznej należy wnieść na adres ePUAP: /gdosgovpl/SkrytkaESP, natomiast w formie papierowej – na adres siedziby Generalnej Dyrekcji Ochrony Środowiska: Al. Jerozolimskie 136, 02-305 Warszawa.</w:t>
      </w:r>
    </w:p>
    <w:bookmarkEnd w:id="35"/>
    <w:p w14:paraId="5DF9AF53" w14:textId="77777777" w:rsidR="00000000" w:rsidRPr="001D77EC" w:rsidRDefault="00000000" w:rsidP="00CC6D1D">
      <w:pPr>
        <w:spacing w:after="60" w:line="240" w:lineRule="auto"/>
        <w:rPr>
          <w:rFonts w:ascii="Arial" w:hAnsi="Arial" w:cs="Arial"/>
          <w:kern w:val="2"/>
          <w:lang w:bidi="en-US"/>
          <w14:ligatures w14:val="standardContextual"/>
        </w:rPr>
      </w:pPr>
    </w:p>
    <w:p w14:paraId="4EC7EB14" w14:textId="77777777" w:rsidR="00000000" w:rsidRPr="001D77EC" w:rsidRDefault="00000000" w:rsidP="001D77EC">
      <w:pPr>
        <w:spacing w:after="60" w:line="240" w:lineRule="auto"/>
        <w:rPr>
          <w:rFonts w:ascii="Arial" w:hAnsi="Arial" w:cs="Arial"/>
          <w:kern w:val="2"/>
          <w14:ligatures w14:val="standardContextual"/>
        </w:rPr>
      </w:pPr>
      <w:r w:rsidRPr="001D77EC">
        <w:rPr>
          <w:rFonts w:ascii="Arial" w:hAnsi="Arial" w:cs="Arial"/>
          <w:kern w:val="2"/>
          <w14:ligatures w14:val="standardContextual"/>
        </w:rPr>
        <w:t>PIOTR OTAWSKI</w:t>
      </w:r>
    </w:p>
    <w:p w14:paraId="669235A1" w14:textId="77777777" w:rsidR="00000000" w:rsidRPr="001D77EC" w:rsidRDefault="00000000" w:rsidP="001D77EC">
      <w:pPr>
        <w:spacing w:after="120" w:line="240" w:lineRule="auto"/>
        <w:rPr>
          <w:rFonts w:ascii="Arial" w:hAnsi="Arial" w:cs="Arial"/>
          <w:kern w:val="2"/>
          <w14:ligatures w14:val="standardContextual"/>
        </w:rPr>
      </w:pPr>
      <w:r w:rsidRPr="001D77EC">
        <w:rPr>
          <w:rFonts w:ascii="Arial" w:hAnsi="Arial" w:cs="Arial"/>
          <w:kern w:val="2"/>
          <w14:ligatures w14:val="standardContextual"/>
        </w:rPr>
        <w:lastRenderedPageBreak/>
        <w:t>Generalny Dyrektor Ochrony Środowiska</w:t>
      </w:r>
    </w:p>
    <w:p w14:paraId="122059C0" w14:textId="77777777" w:rsidR="00000000" w:rsidRPr="001D77EC" w:rsidRDefault="00000000" w:rsidP="001D77EC">
      <w:pPr>
        <w:spacing w:after="0" w:line="240" w:lineRule="auto"/>
        <w:rPr>
          <w:rFonts w:ascii="Arial" w:hAnsi="Arial" w:cs="Arial"/>
          <w:kern w:val="2"/>
          <w14:ligatures w14:val="standardContextual"/>
        </w:rPr>
      </w:pPr>
      <w:r w:rsidRPr="001D77EC">
        <w:rPr>
          <w:rFonts w:ascii="Arial" w:hAnsi="Arial" w:cs="Arial"/>
          <w:kern w:val="2"/>
          <w14:ligatures w14:val="standardContextual"/>
        </w:rPr>
        <w:t>/podpis elektroniczny/</w:t>
      </w:r>
      <w:bookmarkEnd w:id="36"/>
    </w:p>
    <w:p w14:paraId="7E1FE2AD" w14:textId="77777777" w:rsidR="00000000" w:rsidRPr="001D77EC" w:rsidRDefault="00000000" w:rsidP="00CC6D1D">
      <w:pPr>
        <w:spacing w:after="0" w:line="312" w:lineRule="auto"/>
        <w:jc w:val="both"/>
        <w:rPr>
          <w:rFonts w:ascii="Arial" w:hAnsi="Arial" w:cs="Arial"/>
          <w:kern w:val="2"/>
          <w:lang w:bidi="pl-PL"/>
          <w14:ligatures w14:val="standardContextual"/>
        </w:rPr>
      </w:pPr>
    </w:p>
    <w:p w14:paraId="54EDE13A" w14:textId="77777777" w:rsidR="00000000" w:rsidRPr="001D77EC" w:rsidRDefault="00000000" w:rsidP="00CC6D1D">
      <w:pPr>
        <w:spacing w:after="0" w:line="312" w:lineRule="auto"/>
        <w:jc w:val="both"/>
        <w:rPr>
          <w:rFonts w:ascii="Arial" w:hAnsi="Arial" w:cs="Arial"/>
          <w:kern w:val="2"/>
          <w:lang w:bidi="pl-PL"/>
          <w14:ligatures w14:val="standardContextual"/>
        </w:rPr>
      </w:pPr>
    </w:p>
    <w:p w14:paraId="44E6497C" w14:textId="77777777" w:rsidR="00000000" w:rsidRPr="001D77EC" w:rsidRDefault="00000000" w:rsidP="00CC6D1D">
      <w:pPr>
        <w:spacing w:after="0" w:line="312" w:lineRule="auto"/>
        <w:jc w:val="both"/>
        <w:rPr>
          <w:rFonts w:ascii="Arial" w:hAnsi="Arial" w:cs="Arial"/>
          <w:kern w:val="2"/>
          <w:lang w:bidi="pl-PL"/>
          <w14:ligatures w14:val="standardContextual"/>
        </w:rPr>
      </w:pPr>
      <w:r w:rsidRPr="001D77EC">
        <w:rPr>
          <w:rFonts w:ascii="Arial" w:hAnsi="Arial" w:cs="Arial"/>
          <w:kern w:val="2"/>
          <w:lang w:bidi="pl-PL"/>
          <w14:ligatures w14:val="standardContextual"/>
        </w:rPr>
        <w:t>Otrzymują:</w:t>
      </w:r>
    </w:p>
    <w:p w14:paraId="519DE49A" w14:textId="77777777" w:rsidR="00000000" w:rsidRPr="001D77EC" w:rsidRDefault="00000000" w:rsidP="00CC6D1D">
      <w:pPr>
        <w:pStyle w:val="Akapitzlist"/>
        <w:numPr>
          <w:ilvl w:val="0"/>
          <w:numId w:val="2"/>
        </w:numPr>
        <w:spacing w:after="0" w:line="312" w:lineRule="auto"/>
        <w:jc w:val="both"/>
        <w:rPr>
          <w:rFonts w:ascii="Arial" w:hAnsi="Arial" w:cs="Arial"/>
          <w:kern w:val="2"/>
          <w14:ligatures w14:val="standardContextual"/>
        </w:rPr>
      </w:pPr>
      <w:r w:rsidRPr="001D77EC">
        <w:rPr>
          <w:rFonts w:ascii="Arial" w:hAnsi="Arial" w:cs="Arial"/>
          <w:kern w:val="2"/>
          <w14:ligatures w14:val="standardContextual"/>
        </w:rPr>
        <w:t xml:space="preserve">Grand Agro Fundacja Ochrony Środowiska Naturalnego; 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 xml:space="preserve">adres do e-Doręczeń: </w:t>
      </w:r>
      <w:r w:rsidRPr="001D77EC">
        <w:rPr>
          <w:rFonts w:ascii="Arial" w:hAnsi="Arial" w:cs="Arial"/>
          <w:kern w:val="2"/>
          <w14:ligatures w14:val="standardContextual"/>
        </w:rPr>
        <w:t xml:space="preserve"> </w:t>
      </w:r>
      <w:r w:rsidRPr="001D77EC">
        <w:rPr>
          <w:rFonts w:ascii="Arial" w:hAnsi="Arial" w:cs="Arial"/>
          <w:kern w:val="2"/>
          <w:lang w:bidi="pl-PL"/>
          <w14:ligatures w14:val="standardContextual"/>
        </w:rPr>
        <w:t>AE:PL-47968-32702-TCBJB-15</w:t>
      </w:r>
    </w:p>
    <w:p w14:paraId="3157B785" w14:textId="77777777" w:rsidR="00000000" w:rsidRPr="001D77EC" w:rsidRDefault="00000000" w:rsidP="00CC6D1D">
      <w:pPr>
        <w:pStyle w:val="Akapitzlist"/>
        <w:numPr>
          <w:ilvl w:val="0"/>
          <w:numId w:val="2"/>
        </w:numPr>
        <w:spacing w:after="0" w:line="312" w:lineRule="auto"/>
        <w:jc w:val="both"/>
        <w:rPr>
          <w:rFonts w:ascii="Arial" w:hAnsi="Arial" w:cs="Arial"/>
          <w:kern w:val="2"/>
          <w14:ligatures w14:val="standardContextual"/>
        </w:rPr>
      </w:pPr>
      <w:r w:rsidRPr="001D77EC">
        <w:rPr>
          <w:rFonts w:ascii="Arial" w:hAnsi="Arial" w:cs="Arial"/>
          <w:kern w:val="2"/>
          <w14:ligatures w14:val="standardContextual"/>
        </w:rPr>
        <w:t>FEN DWA Sp. z o.o.; adres do e-Doręczeń:</w:t>
      </w:r>
      <w:r w:rsidRPr="001D77EC">
        <w:rPr>
          <w:rFonts w:ascii="NotoSans-Regular" w:hAnsi="NotoSans-Regular" w:cs="NotoSans-Regular"/>
        </w:rPr>
        <w:t xml:space="preserve"> </w:t>
      </w:r>
      <w:r w:rsidRPr="001D77EC">
        <w:rPr>
          <w:rFonts w:ascii="Arial" w:hAnsi="Arial" w:cs="Arial"/>
          <w:kern w:val="2"/>
          <w14:ligatures w14:val="standardContextual"/>
        </w:rPr>
        <w:t xml:space="preserve">AE:PL-89410-68115-BVHBB-29 </w:t>
      </w:r>
    </w:p>
    <w:p w14:paraId="0D283F6A" w14:textId="77777777" w:rsidR="00000000" w:rsidRPr="001D77EC" w:rsidRDefault="00000000" w:rsidP="00CC6D1D">
      <w:pPr>
        <w:pStyle w:val="Akapitzlist"/>
        <w:numPr>
          <w:ilvl w:val="0"/>
          <w:numId w:val="2"/>
        </w:numPr>
        <w:spacing w:after="0" w:line="312" w:lineRule="auto"/>
        <w:jc w:val="both"/>
        <w:rPr>
          <w:rFonts w:ascii="Arial" w:hAnsi="Arial" w:cs="Arial"/>
          <w:kern w:val="2"/>
          <w14:ligatures w14:val="standardContextual"/>
        </w:rPr>
      </w:pPr>
      <w:r w:rsidRPr="001D77EC">
        <w:rPr>
          <w:rFonts w:ascii="Arial" w:hAnsi="Arial" w:cs="Arial"/>
          <w:kern w:val="2"/>
          <w14:ligatures w14:val="standardContextual"/>
        </w:rPr>
        <w:t>Rolnicza Spółdzielnia Produkcyjna w Makowie, ul. Spółdzielcza 1</w:t>
      </w:r>
      <w:r w:rsidRPr="001D77EC">
        <w:rPr>
          <w:rFonts w:ascii="Arial" w:hAnsi="Arial" w:cs="Arial"/>
          <w:kern w:val="2"/>
          <w14:ligatures w14:val="standardContextual"/>
        </w:rPr>
        <w:t>, 47-494 Maków</w:t>
      </w:r>
    </w:p>
    <w:p w14:paraId="5C156DAB" w14:textId="77777777" w:rsidR="00000000" w:rsidRPr="001D77EC" w:rsidRDefault="00000000" w:rsidP="00CC6D1D">
      <w:pPr>
        <w:pStyle w:val="Akapitzlist"/>
        <w:numPr>
          <w:ilvl w:val="0"/>
          <w:numId w:val="2"/>
        </w:numPr>
        <w:spacing w:after="120" w:line="312" w:lineRule="auto"/>
        <w:ind w:left="714" w:hanging="357"/>
        <w:jc w:val="both"/>
        <w:rPr>
          <w:rFonts w:ascii="Arial" w:hAnsi="Arial" w:cs="Arial"/>
          <w:kern w:val="2"/>
          <w14:ligatures w14:val="standardContextual"/>
        </w:rPr>
      </w:pPr>
      <w:r w:rsidRPr="001D77EC">
        <w:rPr>
          <w:rFonts w:ascii="Arial" w:hAnsi="Arial" w:cs="Arial"/>
          <w:kern w:val="2"/>
          <w14:ligatures w14:val="standardContextual"/>
        </w:rPr>
        <w:t>Gmina Pietrowice Wielkie; adres do e-Doręczeń: AE:PL-63597-86156-DCTVA-28</w:t>
      </w:r>
    </w:p>
    <w:p w14:paraId="3D1D20BF" w14:textId="77777777" w:rsidR="00000000" w:rsidRPr="001D77EC" w:rsidRDefault="00000000" w:rsidP="00CC6D1D">
      <w:pPr>
        <w:spacing w:after="0" w:line="312" w:lineRule="auto"/>
        <w:jc w:val="both"/>
        <w:rPr>
          <w:rFonts w:ascii="Arial" w:hAnsi="Arial" w:cs="Arial"/>
          <w:kern w:val="2"/>
          <w14:ligatures w14:val="standardContextual"/>
        </w:rPr>
      </w:pPr>
      <w:r w:rsidRPr="001D77EC">
        <w:rPr>
          <w:rFonts w:ascii="Arial" w:hAnsi="Arial" w:cs="Arial"/>
          <w:kern w:val="2"/>
          <w:lang w:bidi="pl-PL"/>
          <w14:ligatures w14:val="standardContextual"/>
        </w:rPr>
        <w:t>Do wiadomości:</w:t>
      </w:r>
    </w:p>
    <w:p w14:paraId="217E213F" w14:textId="77777777" w:rsidR="00000000" w:rsidRPr="00CC6D1D" w:rsidRDefault="00000000" w:rsidP="00CC6D1D">
      <w:pPr>
        <w:spacing w:after="0" w:line="312" w:lineRule="auto"/>
        <w:ind w:left="357"/>
        <w:jc w:val="both"/>
        <w:rPr>
          <w:rFonts w:ascii="Arial" w:hAnsi="Arial" w:cs="Arial"/>
          <w:kern w:val="2"/>
          <w14:ligatures w14:val="standardContextual"/>
        </w:rPr>
      </w:pPr>
      <w:r w:rsidRPr="001D77EC">
        <w:rPr>
          <w:rFonts w:ascii="Arial" w:hAnsi="Arial" w:cs="Arial"/>
          <w:kern w:val="2"/>
          <w:lang w:bidi="pl-PL"/>
          <w14:ligatures w14:val="standardContextual"/>
        </w:rPr>
        <w:t>1. Regionalny Dyrektor Ochrony Środowiska</w:t>
      </w:r>
      <w:r w:rsidRPr="008106AA">
        <w:rPr>
          <w:rFonts w:ascii="Arial" w:hAnsi="Arial" w:cs="Arial"/>
          <w:kern w:val="2"/>
          <w:lang w:bidi="pl-PL"/>
          <w14:ligatures w14:val="standardContextual"/>
        </w:rPr>
        <w:t xml:space="preserve"> w Katowicach</w:t>
      </w:r>
    </w:p>
    <w:sectPr w:rsidR="00CC6D1D" w:rsidRPr="00CC6D1D" w:rsidSect="00454CA9">
      <w:headerReference w:type="default" r:id="rId8"/>
      <w:footerReference w:type="default" r:id="rId9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B49D8" w14:textId="77777777" w:rsidR="00DC3429" w:rsidRDefault="00DC3429">
      <w:pPr>
        <w:spacing w:before="0" w:after="0" w:line="240" w:lineRule="auto"/>
      </w:pPr>
      <w:r>
        <w:separator/>
      </w:r>
    </w:p>
  </w:endnote>
  <w:endnote w:type="continuationSeparator" w:id="0">
    <w:p w14:paraId="17F06F44" w14:textId="77777777" w:rsidR="00DC3429" w:rsidRDefault="00DC342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Noto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3628104"/>
      <w:docPartObj>
        <w:docPartGallery w:val="Page Numbers (Bottom of Page)"/>
        <w:docPartUnique/>
      </w:docPartObj>
    </w:sdtPr>
    <w:sdtContent>
      <w:p w14:paraId="348D1EA9" w14:textId="77777777" w:rsidR="00000000" w:rsidRDefault="0000000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DE0453" w14:textId="77777777" w:rsidR="00000000" w:rsidRDefault="00000000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9C5CB" w14:textId="77777777" w:rsidR="00DC3429" w:rsidRDefault="00DC3429">
      <w:pPr>
        <w:spacing w:before="0" w:after="0" w:line="240" w:lineRule="auto"/>
      </w:pPr>
      <w:r>
        <w:separator/>
      </w:r>
    </w:p>
  </w:footnote>
  <w:footnote w:type="continuationSeparator" w:id="0">
    <w:p w14:paraId="0FB76A80" w14:textId="77777777" w:rsidR="00DC3429" w:rsidRDefault="00DC342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3AE" w14:textId="77777777" w:rsidR="00000000" w:rsidRDefault="00000000" w:rsidP="000F38F9">
    <w:pPr>
      <w:pStyle w:val="Nagwek"/>
      <w:ind w:hanging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7A62"/>
    <w:multiLevelType w:val="hybridMultilevel"/>
    <w:tmpl w:val="6B344C00"/>
    <w:lvl w:ilvl="0" w:tplc="FB020DF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F3EEA90C" w:tentative="1">
      <w:start w:val="1"/>
      <w:numFmt w:val="lowerLetter"/>
      <w:lvlText w:val="%2."/>
      <w:lvlJc w:val="left"/>
      <w:pPr>
        <w:ind w:left="1440" w:hanging="360"/>
      </w:pPr>
    </w:lvl>
    <w:lvl w:ilvl="2" w:tplc="C3563EFE" w:tentative="1">
      <w:start w:val="1"/>
      <w:numFmt w:val="lowerRoman"/>
      <w:lvlText w:val="%3."/>
      <w:lvlJc w:val="right"/>
      <w:pPr>
        <w:ind w:left="2160" w:hanging="180"/>
      </w:pPr>
    </w:lvl>
    <w:lvl w:ilvl="3" w:tplc="23BA00AE" w:tentative="1">
      <w:start w:val="1"/>
      <w:numFmt w:val="decimal"/>
      <w:lvlText w:val="%4."/>
      <w:lvlJc w:val="left"/>
      <w:pPr>
        <w:ind w:left="2880" w:hanging="360"/>
      </w:pPr>
    </w:lvl>
    <w:lvl w:ilvl="4" w:tplc="89B2D4EC" w:tentative="1">
      <w:start w:val="1"/>
      <w:numFmt w:val="lowerLetter"/>
      <w:lvlText w:val="%5."/>
      <w:lvlJc w:val="left"/>
      <w:pPr>
        <w:ind w:left="3600" w:hanging="360"/>
      </w:pPr>
    </w:lvl>
    <w:lvl w:ilvl="5" w:tplc="F18E7F82" w:tentative="1">
      <w:start w:val="1"/>
      <w:numFmt w:val="lowerRoman"/>
      <w:lvlText w:val="%6."/>
      <w:lvlJc w:val="right"/>
      <w:pPr>
        <w:ind w:left="4320" w:hanging="180"/>
      </w:pPr>
    </w:lvl>
    <w:lvl w:ilvl="6" w:tplc="19BC807E" w:tentative="1">
      <w:start w:val="1"/>
      <w:numFmt w:val="decimal"/>
      <w:lvlText w:val="%7."/>
      <w:lvlJc w:val="left"/>
      <w:pPr>
        <w:ind w:left="5040" w:hanging="360"/>
      </w:pPr>
    </w:lvl>
    <w:lvl w:ilvl="7" w:tplc="CAF477C6" w:tentative="1">
      <w:start w:val="1"/>
      <w:numFmt w:val="lowerLetter"/>
      <w:lvlText w:val="%8."/>
      <w:lvlJc w:val="left"/>
      <w:pPr>
        <w:ind w:left="5760" w:hanging="360"/>
      </w:pPr>
    </w:lvl>
    <w:lvl w:ilvl="8" w:tplc="6BDC5D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41282"/>
    <w:multiLevelType w:val="hybridMultilevel"/>
    <w:tmpl w:val="71B0E87C"/>
    <w:lvl w:ilvl="0" w:tplc="2E3E814A">
      <w:start w:val="1"/>
      <w:numFmt w:val="decimal"/>
      <w:lvlText w:val="%1."/>
      <w:lvlJc w:val="left"/>
      <w:pPr>
        <w:ind w:left="720" w:hanging="360"/>
      </w:pPr>
    </w:lvl>
    <w:lvl w:ilvl="1" w:tplc="73AAA646" w:tentative="1">
      <w:start w:val="1"/>
      <w:numFmt w:val="lowerLetter"/>
      <w:lvlText w:val="%2."/>
      <w:lvlJc w:val="left"/>
      <w:pPr>
        <w:ind w:left="1440" w:hanging="360"/>
      </w:pPr>
    </w:lvl>
    <w:lvl w:ilvl="2" w:tplc="65FAAD86" w:tentative="1">
      <w:start w:val="1"/>
      <w:numFmt w:val="lowerRoman"/>
      <w:lvlText w:val="%3."/>
      <w:lvlJc w:val="right"/>
      <w:pPr>
        <w:ind w:left="2160" w:hanging="180"/>
      </w:pPr>
    </w:lvl>
    <w:lvl w:ilvl="3" w:tplc="7646E536" w:tentative="1">
      <w:start w:val="1"/>
      <w:numFmt w:val="decimal"/>
      <w:lvlText w:val="%4."/>
      <w:lvlJc w:val="left"/>
      <w:pPr>
        <w:ind w:left="2880" w:hanging="360"/>
      </w:pPr>
    </w:lvl>
    <w:lvl w:ilvl="4" w:tplc="D0DE4E2E" w:tentative="1">
      <w:start w:val="1"/>
      <w:numFmt w:val="lowerLetter"/>
      <w:lvlText w:val="%5."/>
      <w:lvlJc w:val="left"/>
      <w:pPr>
        <w:ind w:left="3600" w:hanging="360"/>
      </w:pPr>
    </w:lvl>
    <w:lvl w:ilvl="5" w:tplc="C78276D6" w:tentative="1">
      <w:start w:val="1"/>
      <w:numFmt w:val="lowerRoman"/>
      <w:lvlText w:val="%6."/>
      <w:lvlJc w:val="right"/>
      <w:pPr>
        <w:ind w:left="4320" w:hanging="180"/>
      </w:pPr>
    </w:lvl>
    <w:lvl w:ilvl="6" w:tplc="7B249F72" w:tentative="1">
      <w:start w:val="1"/>
      <w:numFmt w:val="decimal"/>
      <w:lvlText w:val="%7."/>
      <w:lvlJc w:val="left"/>
      <w:pPr>
        <w:ind w:left="5040" w:hanging="360"/>
      </w:pPr>
    </w:lvl>
    <w:lvl w:ilvl="7" w:tplc="409AAE58" w:tentative="1">
      <w:start w:val="1"/>
      <w:numFmt w:val="lowerLetter"/>
      <w:lvlText w:val="%8."/>
      <w:lvlJc w:val="left"/>
      <w:pPr>
        <w:ind w:left="5760" w:hanging="360"/>
      </w:pPr>
    </w:lvl>
    <w:lvl w:ilvl="8" w:tplc="142886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0801CE"/>
    <w:multiLevelType w:val="hybridMultilevel"/>
    <w:tmpl w:val="E5688950"/>
    <w:lvl w:ilvl="0" w:tplc="13F270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A96D2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700AD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8E92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D62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F203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9EF7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60CD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7EB1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2964981">
    <w:abstractNumId w:val="2"/>
  </w:num>
  <w:num w:numId="2" w16cid:durableId="2092313184">
    <w:abstractNumId w:val="0"/>
  </w:num>
  <w:num w:numId="3" w16cid:durableId="1669406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87F"/>
    <w:rsid w:val="001D77EC"/>
    <w:rsid w:val="00444309"/>
    <w:rsid w:val="00D2187F"/>
    <w:rsid w:val="00DC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F0C1A"/>
  <w15:docId w15:val="{FD3A5B70-94E1-4B3C-A4E7-E2A2C962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1D77EC"/>
  </w:style>
  <w:style w:type="paragraph" w:styleId="Nagwek1">
    <w:name w:val="heading 1"/>
    <w:basedOn w:val="Normalny"/>
    <w:next w:val="Normalny"/>
    <w:link w:val="Nagwek1Znak"/>
    <w:uiPriority w:val="9"/>
    <w:qFormat/>
    <w:rsid w:val="001D77EC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77EC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77EC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77EC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77EC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77EC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77EC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77EC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77EC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kapitzlist">
    <w:name w:val="List Paragraph"/>
    <w:aliases w:val="List Paragraph_0,Obiekt,Wyliczanie"/>
    <w:basedOn w:val="Normalny"/>
    <w:link w:val="AkapitzlistZnak"/>
    <w:uiPriority w:val="34"/>
    <w:qFormat/>
    <w:rsid w:val="00CC6D1D"/>
    <w:pPr>
      <w:ind w:left="720"/>
      <w:contextualSpacing/>
    </w:pPr>
  </w:style>
  <w:style w:type="character" w:customStyle="1" w:styleId="AkapitzlistZnak">
    <w:name w:val="Akapit z listą Znak"/>
    <w:aliases w:val="List Paragraph_0 Znak,Obiekt Znak,Wyliczanie Znak"/>
    <w:link w:val="Akapitzlist"/>
    <w:uiPriority w:val="34"/>
    <w:rsid w:val="00CC6D1D"/>
  </w:style>
  <w:style w:type="paragraph" w:styleId="Poprawka">
    <w:name w:val="Revision"/>
    <w:hidden/>
    <w:uiPriority w:val="99"/>
    <w:semiHidden/>
    <w:rsid w:val="00332CAF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1D77EC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77EC"/>
    <w:rPr>
      <w:caps/>
      <w:spacing w:val="15"/>
      <w:shd w:val="clear" w:color="auto" w:fill="DBE5F1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77EC"/>
    <w:rPr>
      <w:caps/>
      <w:color w:val="243F60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77EC"/>
    <w:rPr>
      <w:caps/>
      <w:color w:val="365F91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77EC"/>
    <w:rPr>
      <w:caps/>
      <w:color w:val="365F91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77EC"/>
    <w:rPr>
      <w:caps/>
      <w:color w:val="365F91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77EC"/>
    <w:rPr>
      <w:caps/>
      <w:color w:val="365F91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77EC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77EC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D77EC"/>
    <w:rPr>
      <w:b/>
      <w:bCs/>
      <w:color w:val="365F91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1D77EC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D77EC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77EC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1D77EC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1D77EC"/>
    <w:rPr>
      <w:b/>
      <w:bCs/>
    </w:rPr>
  </w:style>
  <w:style w:type="character" w:styleId="Uwydatnienie">
    <w:name w:val="Emphasis"/>
    <w:uiPriority w:val="20"/>
    <w:qFormat/>
    <w:rsid w:val="001D77EC"/>
    <w:rPr>
      <w:caps/>
      <w:color w:val="243F60" w:themeColor="accent1" w:themeShade="7F"/>
      <w:spacing w:val="5"/>
    </w:rPr>
  </w:style>
  <w:style w:type="paragraph" w:styleId="Bezodstpw">
    <w:name w:val="No Spacing"/>
    <w:uiPriority w:val="1"/>
    <w:qFormat/>
    <w:rsid w:val="001D77E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1D77EC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1D77EC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77EC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77EC"/>
    <w:rPr>
      <w:color w:val="4F81BD" w:themeColor="accent1"/>
      <w:sz w:val="24"/>
      <w:szCs w:val="24"/>
    </w:rPr>
  </w:style>
  <w:style w:type="character" w:styleId="Wyrnieniedelikatne">
    <w:name w:val="Subtle Emphasis"/>
    <w:uiPriority w:val="19"/>
    <w:qFormat/>
    <w:rsid w:val="001D77EC"/>
    <w:rPr>
      <w:i/>
      <w:iCs/>
      <w:color w:val="243F60" w:themeColor="accent1" w:themeShade="7F"/>
    </w:rPr>
  </w:style>
  <w:style w:type="character" w:styleId="Wyrnienieintensywne">
    <w:name w:val="Intense Emphasis"/>
    <w:uiPriority w:val="21"/>
    <w:qFormat/>
    <w:rsid w:val="001D77EC"/>
    <w:rPr>
      <w:b/>
      <w:bCs/>
      <w:caps/>
      <w:color w:val="243F60" w:themeColor="accent1" w:themeShade="7F"/>
      <w:spacing w:val="10"/>
    </w:rPr>
  </w:style>
  <w:style w:type="character" w:styleId="Odwoaniedelikatne">
    <w:name w:val="Subtle Reference"/>
    <w:uiPriority w:val="31"/>
    <w:qFormat/>
    <w:rsid w:val="001D77EC"/>
    <w:rPr>
      <w:b/>
      <w:bCs/>
      <w:color w:val="4F81BD" w:themeColor="accent1"/>
    </w:rPr>
  </w:style>
  <w:style w:type="character" w:styleId="Odwoanieintensywne">
    <w:name w:val="Intense Reference"/>
    <w:uiPriority w:val="32"/>
    <w:qFormat/>
    <w:rsid w:val="001D77EC"/>
    <w:rPr>
      <w:b/>
      <w:bCs/>
      <w:i/>
      <w:iCs/>
      <w:caps/>
      <w:color w:val="4F81BD" w:themeColor="accent1"/>
    </w:rPr>
  </w:style>
  <w:style w:type="character" w:styleId="Tytuksiki">
    <w:name w:val="Book Title"/>
    <w:uiPriority w:val="33"/>
    <w:qFormat/>
    <w:rsid w:val="001D77EC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D77E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81</TotalTime>
  <Pages>6</Pages>
  <Words>2566</Words>
  <Characters>15399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Patrycja Chibowska</cp:lastModifiedBy>
  <cp:revision>18</cp:revision>
  <cp:lastPrinted>2010-12-24T09:23:00Z</cp:lastPrinted>
  <dcterms:created xsi:type="dcterms:W3CDTF">2026-03-27T07:08:00Z</dcterms:created>
  <dcterms:modified xsi:type="dcterms:W3CDTF">2026-09-25T07:44:00Z</dcterms:modified>
</cp:coreProperties>
</file>