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</w:t>
      </w:r>
      <w:bookmarkStart w:id="0" w:name="_GoBack"/>
      <w:bookmarkEnd w:id="0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134"/>
        <w:gridCol w:w="3969"/>
      </w:tblGrid>
      <w:tr w:rsidR="0086183F" w:rsidRPr="00766653" w14:paraId="6ADA1875" w14:textId="77777777" w:rsidTr="0039369D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86183F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86183F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86183F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425CA2" w14:textId="73767E4A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A3675E" w:rsidRPr="00A3675E">
        <w:rPr>
          <w:rFonts w:eastAsia="SimSun" w:cstheme="minorHAnsi"/>
          <w:kern w:val="1"/>
          <w:sz w:val="24"/>
          <w:szCs w:val="24"/>
          <w:lang w:eastAsia="hi-IN" w:bidi="hi-IN"/>
        </w:rPr>
        <w:t>Główny Inspektorat Ochrony Środowiska Regionalny Wydział Monitoringu Środowiska we Wrocławiu, ul. Józefa Chełmońskiego 14.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46F2E" w14:textId="628ADBA1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3E6F11">
      <w:rPr>
        <w:rFonts w:ascii="Arial" w:eastAsia="Calibri" w:hAnsi="Arial" w:cs="Arial"/>
        <w:b/>
        <w:sz w:val="20"/>
      </w:rPr>
      <w:t xml:space="preserve"> 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48B6FCA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6CCDDEA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1464E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268757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23AF83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0AEC9C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00A8ED6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FC48E4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2C6204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E6F11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675E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C64F-DD7E-43E3-92B7-B65B53BA0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4</cp:revision>
  <cp:lastPrinted>2025-03-06T12:57:00Z</cp:lastPrinted>
  <dcterms:created xsi:type="dcterms:W3CDTF">2025-05-05T06:10:00Z</dcterms:created>
  <dcterms:modified xsi:type="dcterms:W3CDTF">2025-05-07T14:45:00Z</dcterms:modified>
</cp:coreProperties>
</file>