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8C20D2" w:rsidRDefault="00D657EC" w:rsidP="008C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C20D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8C20D2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8C20D2" w:rsidRDefault="00D657EC" w:rsidP="008C20D2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432D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lutego </w:t>
      </w:r>
      <w:r w:rsidR="0078274E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86FD6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432D91">
        <w:rPr>
          <w:rFonts w:asciiTheme="minorHAnsi" w:eastAsia="Times New Roman" w:hAnsiTheme="minorHAnsi" w:cstheme="minorHAnsi"/>
          <w:sz w:val="24"/>
          <w:szCs w:val="24"/>
          <w:lang w:eastAsia="pl-PL"/>
        </w:rPr>
        <w:t>29 lutego</w:t>
      </w:r>
      <w:r w:rsidR="008C20D2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F06C86" w:rsidRPr="008C20D2" w:rsidRDefault="00D657EC" w:rsidP="008C20D2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20D2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10508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803"/>
        <w:gridCol w:w="1937"/>
        <w:gridCol w:w="6143"/>
      </w:tblGrid>
      <w:tr w:rsidR="00D64DBD" w:rsidRPr="008C20D2" w:rsidTr="00092D6F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657EC" w:rsidP="008C20D2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657E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657E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657E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092D6F" w:rsidRDefault="00D657E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092D6F" w:rsidRDefault="00432D9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PN.4131.58</w:t>
            </w:r>
            <w:r w:rsidR="003D4086"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LIV/507/2023 Rady Gminy Nowe Miasto Lubawskie z dnia 21 grudnia 2023 r.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przyjęcia „Wieloletniego programu gospodarowania mieszkaniowym zasobem Gminy Nowe Miasto Lubawskie na lata 2023-2028”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PN.4131.59.2024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LXXIX/506/2023 Rady Miejskiej w Dobrym Mieście z dnia 21 grudnia 2023 r.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uchwalenia miejscowego planu zagospodarowania przestrzennego fragmentu gminy Dobre Miasto w rejonie wsi Smolajny-Majątek w części 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PN.4131.60.2024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LXV-609/2023 Rady Miejskiej w Olsztynku z dnia 28 grudnia 2023 r. w sprawie określenia przystanków komunikacyjnych, których właścicielem lub zarządzającym jest Gmina Olsztynek oraz warunków i zasad korzystania z tych obiektów w części. 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PN.4131.61.2024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LXVIII/533/23 Rady Miejskiej w Tolkmicku z dnia 30 listopada 2023 r., w sprawie uchwalenia zmiany miejscowego planu zagospodarowania przestrzennego obejmującego obręb geodezyjny Kamionek Wielki 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PN.4131.62.2024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LXI.386.2023 Rady Gminy Miłki z dnia 19 grudnia 2023 r. w sprawie określenia zasad zwrotu wydatków w zakresie dożywiania w formie posiłku albo świadczenia rzeczowego w postaci produktów żywnościowych dla osób objętych wieloletnim rządowym programem „Posiłek w szkole i w domu” na lata 2024-2028.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PN.4131.63.2024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LXI.385.2023 Rady Gminy Miłki z dnia 19 grudnia 2023 r. w sprawie podwyższenia kryterium dochodowego uprawni</w:t>
            </w:r>
            <w:r w:rsidR="00C03CF8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aj</w:t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ącego do przyznawania nieodpłatnej pomocy w zakresie dożywiania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formie świadczenia pieniężnego w postaci zasiłku celowego na zakup posiłku lub żywności dla osób objętych wieloletnim rządowym programem „Posiłek w szkole i w domu” na lata 2024-2028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PN.4131.64.2024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</w:t>
            </w:r>
            <w:r w:rsidR="00AB2CB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ć uchwały Rady Gminy Świętajno N</w:t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 LI/333/23 z dnia 20 grudnia 2023 r. w sprawie uchwalenia zmiany miejscowego planu zagospodarowania przestrzennego gminy Świętajno, w części wsi Borki.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PN.4131.65.2024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 3 uchwały Nr LX/518/23 Rady Miejskiej w Lidzbarku z dnia 28 grudnia 2023 r. w sprawie upoważnienia Burmistrza Lidzbarka do ustalenia cen i opłat za usługi komunalne o charakterze użyteczności publicznej oraz za korzystanie z obiektów i urządzeń użyteczności publicznej jednostek organizacyjnych Gminy Lidzbark.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PN.4131.66.2024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Nr LXIX/525/2023 Rady Gminy Grunwald z dnia 28 grudnia 2023 r. w sprawie "Programu Współpracy Gminy Grunwald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organizacjami pozarządowymi i innymi podmiotami prowadzącymi działalność pożytku publicznego na 2024 rok”, w części. 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PN.4131.67.2024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XXXVII/306/23 Rady Gminy Dubeninki z dnia 28 grudnia 2023 r. w sprawie określenia szczegółowych warunków przyznawania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odpłatności za usługi opiekuńcze sąsiedzkie oraz szczegółowych warunków częściowego lub całkowitego zwolnienia z opłat, a także trybu ich pobierania.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PN.4131.68.2024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LXXXIV/658/2023 Rady Gminy Ełk z dnia 27 grudnia 2023 r. w sprawie zasad przeznaczania do sprzedaży nieruchomości gruntowych </w:t>
            </w:r>
            <w:r w:rsidR="0050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oddanych w użytkowanie wieczyste oraz szczegółowych wytycznych sprzedaży nieruchomości gruntowych </w:t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 rzecz ich uży</w:t>
            </w:r>
            <w:r w:rsidR="0050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tkowników wieczystych, w części.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372C5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PN.4131.69.2024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§25 i §26 uchwały nr BRM.0007.104.2023 Rady Miejskiej w Olecku z dnia 28 grudnia 2023 r. w sprawie miejscowego planu zagospodarowania przestrzennego w kwartale ulic: Kościuszki, Targowej, Broniewskiego i Słowackiego w Olecku.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PN.4131.70.2024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§2 pkt 3) uchwały Rady Gminy Działdowo nr LXXXVIII/593/23 z dnia 29 grudnia 2023 r</w:t>
            </w:r>
            <w:r w:rsidR="00C03CF8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="00C03CF8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określenia wymagań jakie powinien spełniać przedsiębiorca ubiegający się o uzyskanie zwolnienia na prowadzenie działalności w zakresie opróżniania zbiorników bezodpływowych oraz osadników w instalacjach przydomowych oczyszczalni ścieków i transportu nieczystości ciekłych na terenie Gminy Działdowo, w części. 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>PN.4131.71.2024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zarządzenia nr 160/2023 Burmistrza Miasta Mikołajki z dnia 13 grudnia 2023 r. </w:t>
            </w:r>
            <w:r w:rsidR="00C03CF8" w:rsidRPr="00092D6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>w sprawie ustalenia procedury uzyskania informacji oraz materiałów dla których administratorem jest Gmina Mikołajki</w:t>
            </w:r>
            <w:r w:rsidR="00C03CF8" w:rsidRPr="00092D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32D91" w:rsidRPr="00092D6F" w:rsidTr="00AB2CBC">
        <w:trPr>
          <w:trHeight w:val="120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1C0F00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>PN.4131.72.2024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432D91" w:rsidP="000560EF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LXII/453/2023 Rady Gminy Elbląg z dnia 28 grudnia 2023 r. w sprawie ustanowienia corocznych „Nagród Wójta Gminy Elbląg za osiągnięte wyniki sportowe oraz za osiągnięcia w działalności spo</w:t>
            </w:r>
            <w:r w:rsidR="00C03CF8" w:rsidRPr="00092D6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>towej”</w:t>
            </w:r>
            <w:r w:rsidR="005009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009CC" w:rsidRPr="00092D6F" w:rsidTr="00092D6F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009CC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009CC" w:rsidRPr="00092D6F" w:rsidRDefault="005009C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5009CC" w:rsidRPr="00092D6F" w:rsidRDefault="005009CC" w:rsidP="008C20D2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PN.4131.73</w:t>
            </w: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>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5009CC" w:rsidRPr="005009CC" w:rsidRDefault="005009CC" w:rsidP="000560EF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5009CC">
              <w:rPr>
                <w:rFonts w:asciiTheme="minorHAnsi" w:hAnsiTheme="minorHAnsi" w:cstheme="minorHAnsi"/>
                <w:sz w:val="24"/>
                <w:szCs w:val="24"/>
              </w:rPr>
              <w:t>twierdzające nieważność uchwały Nr LXXVI/455/2023 Rady Miejskiej w Ostródzie z dnia 29 listopada 2023 r. w sprawie uchwalenia miejscowego planu zagospodarowania przestrzennego miasta Ostródy dla terenu przy ul. Grunwaldzkiej- etap 1,w części.</w:t>
            </w:r>
          </w:p>
        </w:tc>
      </w:tr>
      <w:tr w:rsidR="00432D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</w:t>
            </w:r>
            <w:r w:rsidR="00A3281C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32D91" w:rsidRPr="00092D6F" w:rsidRDefault="00C03CF8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PN.4131.74.2024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32D91" w:rsidRPr="00092D6F" w:rsidRDefault="00C03CF8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§3 uchwały nr LXXI/493/24 Rady Gminy Iłowo-Osada z dnia 10 stycznia 2024 r. w sprawie przekształcenia z dniem 31 sierpnia 2024 r. Szkoły Podstawowej</w:t>
            </w:r>
            <w:r w:rsidR="0050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Białutach o strukturze klas I</w:t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-VIII wraz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oddziałem przedszkolnym w Szkołę Podstawową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 strukturze klas I-III wraz z oddziałem przedszkolnym. 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</w:t>
            </w:r>
            <w:r w:rsidR="00A3281C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3281C" w:rsidP="00A3281C">
            <w:pPr>
              <w:spacing w:after="0" w:line="25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  14.02.2024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C03CF8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PN.4131.75.2024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C03CF8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L.337.2024 Rady Gminy Kalinowo z dnia 18 stycznia 2024 r. w sprawie przyjęcia gminnego programu opieki nad zabytkami g</w:t>
            </w:r>
            <w:r w:rsidR="0050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miny Kalinowo na lata 2024-2027, </w:t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</w:t>
            </w:r>
            <w:r w:rsidR="00A3281C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C03CF8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PN.4131.76.2024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C03CF8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2/VIII/2024 Rady Gminy Braniewo z dnia 10 stycznia 2024 roku w sprawie uchwalenia programu opieki nad zwierzętami bezdomnymi oraz zapobiegania bezdomności zwierząt na ter</w:t>
            </w:r>
            <w:r w:rsidR="005009C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enie Gminy Braniewo w 2024 roku, </w:t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</w:t>
            </w:r>
            <w:r w:rsidR="00A3281C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C03CF8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PN.4131.77.2024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C03CF8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§1 ust. 3 uchwały nr LXX/559/24 Rady Miejskiej w Tolkmicku z dnia 25 stycznia 2024 r.,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zarządzenia przeprowadzenia wyborów uzupełniających w sołectwie Pagórki 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</w:t>
            </w:r>
            <w:r w:rsidR="00A3281C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3281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C03CF8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PN.4131.78.2024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C03CF8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§4 uchwały nr LXXVI/697/2024 Rady Miejskiej </w:t>
            </w:r>
            <w:proofErr w:type="spellStart"/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Ruciane-Nida</w:t>
            </w:r>
            <w:proofErr w:type="spellEnd"/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29 stycznia 2024 r.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zasad przeznaczania do sprzedaży nieruchomości gruntowych oddanych w użytkowanie wieczyste oraz szczegółowych wytycznych sprzedaży nieruchomości gruntowych na rzecz ich użytkowników wieczystych.</w:t>
            </w:r>
          </w:p>
        </w:tc>
      </w:tr>
      <w:tr w:rsidR="00C03CF8" w:rsidRPr="00092D6F" w:rsidTr="000560EF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47129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PN.4131.79.2024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LXXXII/1033/2024 Rady Miejskiej w Nidzicy z dnia 18 stycznia 2024 r. w sprawie zmiany 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statutu Miejskiego Ośrodka Pomocy Społecznej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Nidzicy</w:t>
            </w:r>
            <w:r w:rsidR="00092D6F"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23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47129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PN.4131.80.2024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Rady Miejskiej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Ostródzie z dnia 24 stycznia 2024 r. Nr LXXVIII/470/2024 </w:t>
            </w:r>
            <w:r w:rsidR="00AB2CB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uchwalenia Programu Osłonowego „Korpus Wsparcia Seniorów” na rok 2024 w Gminie Miejskiej Ostróda, w części.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0350C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47129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PN.4131.81</w:t>
            </w: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E8509C" w:rsidRDefault="000350C2" w:rsidP="000560EF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509C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LXXI/353/2024 Rady Gminy Kętrzyn z dnia 29 stycznia 2024 r. w sprawie przyjęcia programu osłonowego „Posiłek w szkole i w domu” Gminy Kętrzyn na lata 2024-2028, w części.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PN.4131.82.2024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E8509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LXXXII/1031/2024 Rady Miejskiej w Nidzicy z dnia 18 stycznia 2024 r. w sprawie ustalenia zasad ponoszenia odpłatności za pobyt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mieszkaniach treningowych i wspomaganych prowadzonych przez Miejski Ośrodek Pomocy Społecznej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Nidzicy, w części.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PN.4131.83.2024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E8509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LXIII/434/2024 Rady Miejskiej w Młynarach z dnia 17 stycznia 2024 r. w sprawie określenia przystanków komunikacyjnych zlokalizowanych na terenie Gminy Młynary, których właścicielem lub zarządzającym jest Gmina Młynary oraz warunków i zasad korzystania z tych przystanków, w części. </w:t>
            </w: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PN.4131.84.2024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471291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LI/289/2024 Rady Gminy Godkowo z dnia 18 stycznia 2024 r. w sprawie przyjęcia „Programu opieki nad zw</w:t>
            </w:r>
            <w:r w:rsid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ierzętami bezdomnymi oraz zapobie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gania bezdomności zwierząt na terenie gminy Godkowo w 2024 r. ”, w części.</w:t>
            </w:r>
          </w:p>
          <w:p w:rsidR="00C03CF8" w:rsidRPr="00092D6F" w:rsidRDefault="00C03CF8" w:rsidP="000560EF">
            <w:pPr>
              <w:pStyle w:val="Akapitzlist"/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03CF8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C03CF8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>PN.4131.85.2024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03CF8" w:rsidRPr="00092D6F" w:rsidRDefault="00471291" w:rsidP="000560EF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LVIII/536/2024 Rady Gminy Dywity z dnia 18 stycznia 2024 r. w sprawie wymagań, jakie powinien spełnić przedsiębiorca ubiegający się </w:t>
            </w:r>
            <w:r w:rsidR="00092D6F" w:rsidRPr="00092D6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>o uzyskanie zezwolenia w zakresie opróżnienia zbiorników bezodpływowych lub osadników w instalacjach przydomowych oczyszczalni ścieków i transportu nieczystości ciekłych na terenie Gminy Dywity, w części.</w:t>
            </w:r>
          </w:p>
        </w:tc>
      </w:tr>
      <w:tr w:rsidR="00471291" w:rsidRPr="00092D6F" w:rsidTr="00CB15C0">
        <w:trPr>
          <w:trHeight w:val="78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1623B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PN.4131.86.2024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LXIV/544/2024 Rady Miasta Lubawa z dnia 26 stycznia 2024 r. w sprawie ustalenia ekwiwalentu pieniężnego dla strażaka ratownika oraz kandydata na strażaka ratownika ochotniczej straży pożarnej, w części.</w:t>
            </w:r>
          </w:p>
        </w:tc>
      </w:tr>
      <w:tr w:rsidR="004712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30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PN.4131.87.2024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LIV.346.2024 Rady Gminy Stare Juchy z dnia 30 stycznia 2024 r. w sprawie ustalenia wys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kości ekwiwalentu pieniężnego dla strażaków ratowników ochotniczych straży pożarnych oraz kandydatów na strażaków ratowników ochotniczych straży pożarnych,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4712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PN.4131.88.2024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LXXX/603/2024 Rady Miejskiej w Lidzbarku Warmińskim z dnia 24 stycznia 2024 r.  </w:t>
            </w:r>
            <w:r w:rsidR="00CB15C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usług opiekuńczych i usług sąsiedzkich, w części.</w:t>
            </w:r>
          </w:p>
        </w:tc>
      </w:tr>
      <w:tr w:rsidR="00471291" w:rsidRPr="00092D6F" w:rsidTr="00092D6F">
        <w:trPr>
          <w:trHeight w:val="145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PN.4131.89.2024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LXXX/610/2024 Rady Miejskiej w Lidzbarku Warmińskim z dnia 24 stycznia 2024 r. </w:t>
            </w:r>
            <w:r w:rsidR="00CB15C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zakazu odpalania fajerwerków, petard, ogni sztucznych i innych materiałów pirotechnicznych na terenie Miasta Lidzbark Warmiński.</w:t>
            </w:r>
          </w:p>
        </w:tc>
      </w:tr>
      <w:tr w:rsidR="00471291" w:rsidRPr="00092D6F" w:rsidTr="00092D6F">
        <w:trPr>
          <w:trHeight w:val="141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PN.4131.90.2024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LXVI/415/2024 Rady Powiatu w Nowym Mieście Lubawskim z dnia 25 stycznia 2024 r. w sprawie ustalenia wysokości i zasad przyznawania diet dla radnych</w:t>
            </w:r>
            <w:r w:rsidR="00A57084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Rady Powiatu  w Nowym Mieście Lubawskim, 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4712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34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PN.4131.91.2024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LXXVIII/475/2024 Rady Miejskiej w Ostródzie z dnia 24 stycznia 2024 r. w sprawie ustalenia wysokości diet radnych Rady Miejskiej w Ostródzie, w części.</w:t>
            </w:r>
          </w:p>
        </w:tc>
      </w:tr>
      <w:tr w:rsidR="004712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PN.4131.92.2024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 nr LXIII(674)2024 Rady Miejskiej w Barczewie z dnia 25 stycznia 2024 r. w sprawie przyjęcia Programu opieki nad zwierzętami bezdomnymi oraz zapobiegania bezdomności zwierząt na terenie Gminy Barczewo na 2024 rok, w części.</w:t>
            </w:r>
          </w:p>
        </w:tc>
      </w:tr>
      <w:tr w:rsidR="00471291" w:rsidRPr="00092D6F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PN.4131.93.2024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LXX/558/2024 rady mi</w:t>
            </w:r>
            <w:r w:rsidR="00A57084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ejskiej w Tolkmi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cku z dnia 25 stycznia 2024 r. w sprawie określenia wysokości diet dla radnych, zasad ich ustalania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wypłacania, w części.</w:t>
            </w:r>
          </w:p>
        </w:tc>
      </w:tr>
      <w:tr w:rsidR="00471291" w:rsidRPr="00092D6F" w:rsidTr="00AB2CBC">
        <w:trPr>
          <w:trHeight w:val="50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37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PN.4131.94.2024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LXXI/352/2024 Rady Gminy Kętrzyn z dnia 29 stycznia 2024 r. w sprawie określenia szczegółowych warunków przyznawania i odpłatności za usługi opiekuńcze i sąsiedzkie oraz szczegółowych w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arunków częściowego lub całkowi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tego zw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lnienia z opłat, a także trybu ich pobierania.</w:t>
            </w:r>
          </w:p>
        </w:tc>
      </w:tr>
      <w:tr w:rsidR="00471291" w:rsidRPr="00092D6F" w:rsidTr="000560EF">
        <w:trPr>
          <w:trHeight w:val="78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092D6F" w:rsidRDefault="001623B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38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A5708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29.02.2024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71291" w:rsidRPr="00092D6F" w:rsidRDefault="00092D6F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PN.4131.95.2024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71291" w:rsidRPr="00AB2CBC" w:rsidRDefault="00471291" w:rsidP="000560E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129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LVIII/41</w:t>
            </w:r>
            <w:r w:rsidR="00CB15C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4/2024 R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Gminy Sorkwity z dni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26 stycznia 2024 r. w spra</w:t>
            </w:r>
            <w:r w:rsidR="00092D6F" w:rsidRPr="00092D6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ie uchwalenia miejscowego planu zagospodarowania </w:t>
            </w:r>
            <w:r w:rsidRPr="0047129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przestrzennego dla terenu zabudowy letniskowej lub rekreacji indywidualnej w miejscowości Zyndaki gmina Sorkwity.</w:t>
            </w:r>
          </w:p>
        </w:tc>
      </w:tr>
    </w:tbl>
    <w:p w:rsidR="002A1F96" w:rsidRPr="00092D6F" w:rsidRDefault="002A1F96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92D6F" w:rsidRPr="00092D6F" w:rsidRDefault="00092D6F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92D6F" w:rsidRPr="00092D6F" w:rsidRDefault="00092D6F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1F96" w:rsidRPr="00092D6F" w:rsidRDefault="002A1F96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D7F0A" w:rsidRPr="00092D6F" w:rsidRDefault="006D7F0A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2D6F">
        <w:rPr>
          <w:rFonts w:asciiTheme="minorHAnsi" w:hAnsiTheme="minorHAnsi" w:cstheme="minorHAnsi"/>
          <w:b/>
          <w:sz w:val="24"/>
          <w:szCs w:val="24"/>
        </w:rPr>
        <w:t xml:space="preserve">  Skargi do Wojewódzkiego Sądu Administracyjnego</w:t>
      </w:r>
      <w:r w:rsidR="007B6F56" w:rsidRPr="00092D6F">
        <w:rPr>
          <w:rFonts w:asciiTheme="minorHAnsi" w:hAnsiTheme="minorHAnsi" w:cstheme="minorHAnsi"/>
          <w:b/>
          <w:sz w:val="24"/>
          <w:szCs w:val="24"/>
        </w:rPr>
        <w:t xml:space="preserve"> i Naczelnego Sądu Administracyjnego</w:t>
      </w:r>
      <w:r w:rsidR="0017388B">
        <w:rPr>
          <w:rFonts w:asciiTheme="minorHAnsi" w:hAnsiTheme="minorHAnsi" w:cstheme="minorHAnsi"/>
          <w:b/>
          <w:sz w:val="24"/>
          <w:szCs w:val="24"/>
        </w:rPr>
        <w:t xml:space="preserve"> na uchwały organów samorządu</w:t>
      </w:r>
      <w:bookmarkStart w:id="0" w:name="_GoBack"/>
      <w:bookmarkEnd w:id="0"/>
      <w:r w:rsidRPr="00092D6F">
        <w:rPr>
          <w:rFonts w:asciiTheme="minorHAnsi" w:hAnsiTheme="minorHAnsi" w:cstheme="minorHAnsi"/>
          <w:b/>
          <w:sz w:val="24"/>
          <w:szCs w:val="24"/>
        </w:rPr>
        <w:t xml:space="preserve"> terytorialnego wnoszone przez Wojewodę:</w:t>
      </w:r>
    </w:p>
    <w:tbl>
      <w:tblPr>
        <w:tblW w:w="102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713"/>
        <w:gridCol w:w="2142"/>
        <w:gridCol w:w="5853"/>
      </w:tblGrid>
      <w:tr w:rsidR="006D7F0A" w:rsidRPr="00092D6F" w:rsidTr="00092D6F">
        <w:trPr>
          <w:trHeight w:val="599"/>
        </w:trPr>
        <w:tc>
          <w:tcPr>
            <w:tcW w:w="571" w:type="dxa"/>
            <w:shd w:val="clear" w:color="auto" w:fill="auto"/>
          </w:tcPr>
          <w:p w:rsidR="006D7F0A" w:rsidRPr="00092D6F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auto"/>
          </w:tcPr>
          <w:p w:rsidR="006D7F0A" w:rsidRPr="00092D6F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42" w:type="dxa"/>
            <w:shd w:val="clear" w:color="auto" w:fill="auto"/>
          </w:tcPr>
          <w:p w:rsidR="006D7F0A" w:rsidRPr="00092D6F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53" w:type="dxa"/>
            <w:shd w:val="clear" w:color="auto" w:fill="auto"/>
          </w:tcPr>
          <w:p w:rsidR="006D7F0A" w:rsidRPr="00092D6F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6D7F0A" w:rsidRPr="00092D6F" w:rsidTr="00092D6F">
        <w:trPr>
          <w:trHeight w:val="404"/>
        </w:trPr>
        <w:tc>
          <w:tcPr>
            <w:tcW w:w="571" w:type="dxa"/>
            <w:shd w:val="clear" w:color="auto" w:fill="auto"/>
          </w:tcPr>
          <w:p w:rsidR="006D7F0A" w:rsidRPr="00092D6F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13" w:type="dxa"/>
            <w:shd w:val="clear" w:color="auto" w:fill="auto"/>
          </w:tcPr>
          <w:p w:rsidR="006D7F0A" w:rsidRPr="00092D6F" w:rsidRDefault="00F95CA2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6.02.2024 r.</w:t>
            </w:r>
          </w:p>
        </w:tc>
        <w:tc>
          <w:tcPr>
            <w:tcW w:w="2142" w:type="dxa"/>
            <w:shd w:val="clear" w:color="auto" w:fill="auto"/>
          </w:tcPr>
          <w:p w:rsidR="006D7F0A" w:rsidRPr="00092D6F" w:rsidRDefault="007B6F56" w:rsidP="00092D6F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95CA2">
              <w:rPr>
                <w:rFonts w:asciiTheme="minorHAnsi" w:hAnsiTheme="minorHAnsi" w:cstheme="minorHAnsi"/>
                <w:b/>
                <w:sz w:val="24"/>
                <w:szCs w:val="24"/>
              </w:rPr>
              <w:t>PN.0552.6.2024</w:t>
            </w:r>
          </w:p>
        </w:tc>
        <w:tc>
          <w:tcPr>
            <w:tcW w:w="5853" w:type="dxa"/>
            <w:shd w:val="clear" w:color="auto" w:fill="auto"/>
          </w:tcPr>
          <w:p w:rsidR="006D7F0A" w:rsidRPr="00092D6F" w:rsidRDefault="00F95CA2" w:rsidP="00E57F8E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Skarga do WSA na uchwałę Rady Miejskiej w Biskupcu Nr LXXII/410/2023 z dnia 18 października 2023 r. w sprawie uchwalenia miejscowego planu zagospodarowania </w:t>
            </w:r>
            <w:r w:rsidR="00FE1533">
              <w:rPr>
                <w:rFonts w:asciiTheme="minorHAnsi" w:hAnsiTheme="minorHAnsi" w:cstheme="minorHAnsi"/>
                <w:sz w:val="24"/>
                <w:szCs w:val="24"/>
              </w:rPr>
              <w:t>przestrzennego w obrębie Biskupiec Kolonia, gmina Biskupiec.</w:t>
            </w:r>
          </w:p>
        </w:tc>
      </w:tr>
      <w:tr w:rsidR="00092D6F" w:rsidRPr="00092D6F" w:rsidTr="00092D6F">
        <w:trPr>
          <w:trHeight w:val="404"/>
        </w:trPr>
        <w:tc>
          <w:tcPr>
            <w:tcW w:w="571" w:type="dxa"/>
            <w:shd w:val="clear" w:color="auto" w:fill="auto"/>
          </w:tcPr>
          <w:p w:rsidR="00092D6F" w:rsidRPr="00092D6F" w:rsidRDefault="00092D6F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13" w:type="dxa"/>
            <w:shd w:val="clear" w:color="auto" w:fill="auto"/>
          </w:tcPr>
          <w:p w:rsidR="00092D6F" w:rsidRPr="00092D6F" w:rsidRDefault="00FE1533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FE1533">
              <w:rPr>
                <w:rFonts w:asciiTheme="minorHAnsi" w:hAnsiTheme="minorHAnsi" w:cstheme="minorHAnsi"/>
                <w:sz w:val="24"/>
                <w:szCs w:val="24"/>
              </w:rPr>
              <w:t>.02.2024 r.</w:t>
            </w:r>
          </w:p>
        </w:tc>
        <w:tc>
          <w:tcPr>
            <w:tcW w:w="2142" w:type="dxa"/>
            <w:shd w:val="clear" w:color="auto" w:fill="auto"/>
          </w:tcPr>
          <w:p w:rsidR="00092D6F" w:rsidRPr="00092D6F" w:rsidRDefault="00FE1533" w:rsidP="00092D6F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PN.0552.7.2024</w:t>
            </w:r>
          </w:p>
        </w:tc>
        <w:tc>
          <w:tcPr>
            <w:tcW w:w="5853" w:type="dxa"/>
            <w:shd w:val="clear" w:color="auto" w:fill="auto"/>
          </w:tcPr>
          <w:p w:rsidR="00092D6F" w:rsidRPr="00092D6F" w:rsidRDefault="00FE1533" w:rsidP="00E57F8E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Skarga do WSA na uchwałę Rady Gminy Gronowo Elbląskie NR LIII/339/2023 z dnia 20 grudnia 2023 r. w sprawie uchwalenia miejscowego planu zagospodarowania przestrzennego gminy Gronowo Elbląskie w miejscowości Jegłownik, w części.</w:t>
            </w:r>
          </w:p>
        </w:tc>
      </w:tr>
      <w:tr w:rsidR="00092D6F" w:rsidRPr="00092D6F" w:rsidTr="00092D6F">
        <w:trPr>
          <w:trHeight w:val="404"/>
        </w:trPr>
        <w:tc>
          <w:tcPr>
            <w:tcW w:w="571" w:type="dxa"/>
            <w:shd w:val="clear" w:color="auto" w:fill="auto"/>
          </w:tcPr>
          <w:p w:rsidR="00092D6F" w:rsidRPr="00092D6F" w:rsidRDefault="00092D6F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2D6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13" w:type="dxa"/>
            <w:shd w:val="clear" w:color="auto" w:fill="auto"/>
          </w:tcPr>
          <w:p w:rsidR="00092D6F" w:rsidRPr="00092D6F" w:rsidRDefault="00FE1533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29.02.2024 r.</w:t>
            </w:r>
          </w:p>
        </w:tc>
        <w:tc>
          <w:tcPr>
            <w:tcW w:w="2142" w:type="dxa"/>
            <w:shd w:val="clear" w:color="auto" w:fill="auto"/>
          </w:tcPr>
          <w:p w:rsidR="00092D6F" w:rsidRPr="00092D6F" w:rsidRDefault="00FE1533" w:rsidP="00092D6F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PN.0552.8.2024</w:t>
            </w:r>
          </w:p>
        </w:tc>
        <w:tc>
          <w:tcPr>
            <w:tcW w:w="5853" w:type="dxa"/>
            <w:shd w:val="clear" w:color="auto" w:fill="auto"/>
          </w:tcPr>
          <w:p w:rsidR="00092D6F" w:rsidRPr="00092D6F" w:rsidRDefault="00FE1533" w:rsidP="00E57F8E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Skarga </w:t>
            </w:r>
            <w:r w:rsidR="009D7483">
              <w:rPr>
                <w:rFonts w:asciiTheme="minorHAnsi" w:hAnsiTheme="minorHAnsi" w:cstheme="minorHAnsi"/>
                <w:sz w:val="24"/>
                <w:szCs w:val="24"/>
              </w:rPr>
              <w:t>na WSA na uchwałę 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ady Miejskiej w Olsztynku Nr LXIV-594/2023 z dnia 5 grudnia 2023 r. zmieniające uchwałę w sprawie ustalenia czasu na realizację bezpłatnego nauczania, wychowania i opieki oraz określenia  wysokości opłat za korzystanie z wychowania przedszkolnego w publicznych przedszkolach  i oddziałach przedszkolnych w publicznych szkołach podstawowych.</w:t>
            </w:r>
          </w:p>
        </w:tc>
      </w:tr>
    </w:tbl>
    <w:p w:rsidR="00450C31" w:rsidRPr="00092D6F" w:rsidRDefault="00450C31" w:rsidP="008C20D2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092D6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350C2"/>
    <w:rsid w:val="000560EF"/>
    <w:rsid w:val="00056AA0"/>
    <w:rsid w:val="00063B7B"/>
    <w:rsid w:val="00077D84"/>
    <w:rsid w:val="00092D6F"/>
    <w:rsid w:val="000966D1"/>
    <w:rsid w:val="000A0511"/>
    <w:rsid w:val="000A4BC7"/>
    <w:rsid w:val="000A539C"/>
    <w:rsid w:val="000B59E8"/>
    <w:rsid w:val="000B62B0"/>
    <w:rsid w:val="001248C3"/>
    <w:rsid w:val="00147C7C"/>
    <w:rsid w:val="00156EDF"/>
    <w:rsid w:val="001623BC"/>
    <w:rsid w:val="00172065"/>
    <w:rsid w:val="0017388B"/>
    <w:rsid w:val="001819D1"/>
    <w:rsid w:val="00181E45"/>
    <w:rsid w:val="00186FD6"/>
    <w:rsid w:val="00195BCC"/>
    <w:rsid w:val="001B3967"/>
    <w:rsid w:val="001C0F00"/>
    <w:rsid w:val="001C71B6"/>
    <w:rsid w:val="001F655B"/>
    <w:rsid w:val="00225C86"/>
    <w:rsid w:val="00231AE1"/>
    <w:rsid w:val="002445C7"/>
    <w:rsid w:val="002754C6"/>
    <w:rsid w:val="0029672C"/>
    <w:rsid w:val="002A1F96"/>
    <w:rsid w:val="002D1F8E"/>
    <w:rsid w:val="002D475E"/>
    <w:rsid w:val="00306A9E"/>
    <w:rsid w:val="00352570"/>
    <w:rsid w:val="00372C55"/>
    <w:rsid w:val="00382DCA"/>
    <w:rsid w:val="003A0BC0"/>
    <w:rsid w:val="003A324A"/>
    <w:rsid w:val="003C24B1"/>
    <w:rsid w:val="003D4086"/>
    <w:rsid w:val="003E6122"/>
    <w:rsid w:val="003E7A06"/>
    <w:rsid w:val="003F25B9"/>
    <w:rsid w:val="00411EB4"/>
    <w:rsid w:val="004210CE"/>
    <w:rsid w:val="00430D69"/>
    <w:rsid w:val="00432D91"/>
    <w:rsid w:val="004347CA"/>
    <w:rsid w:val="004424DC"/>
    <w:rsid w:val="00450C31"/>
    <w:rsid w:val="0045211A"/>
    <w:rsid w:val="004529BF"/>
    <w:rsid w:val="004577F1"/>
    <w:rsid w:val="00471291"/>
    <w:rsid w:val="00483435"/>
    <w:rsid w:val="004C3681"/>
    <w:rsid w:val="004C6CD2"/>
    <w:rsid w:val="004E5CB1"/>
    <w:rsid w:val="005009CC"/>
    <w:rsid w:val="005454F3"/>
    <w:rsid w:val="005509B2"/>
    <w:rsid w:val="005A009B"/>
    <w:rsid w:val="005A7F55"/>
    <w:rsid w:val="005B050B"/>
    <w:rsid w:val="005D33B2"/>
    <w:rsid w:val="005E635E"/>
    <w:rsid w:val="006100B2"/>
    <w:rsid w:val="006126A6"/>
    <w:rsid w:val="006527F1"/>
    <w:rsid w:val="006618B5"/>
    <w:rsid w:val="0067089F"/>
    <w:rsid w:val="00675EC3"/>
    <w:rsid w:val="00681D72"/>
    <w:rsid w:val="006C4450"/>
    <w:rsid w:val="006D141A"/>
    <w:rsid w:val="006D7F0A"/>
    <w:rsid w:val="006E4C62"/>
    <w:rsid w:val="006E563E"/>
    <w:rsid w:val="006F60EF"/>
    <w:rsid w:val="007022A7"/>
    <w:rsid w:val="00720635"/>
    <w:rsid w:val="00730AB0"/>
    <w:rsid w:val="0073187D"/>
    <w:rsid w:val="00735A37"/>
    <w:rsid w:val="00740FD0"/>
    <w:rsid w:val="0075290E"/>
    <w:rsid w:val="007644F5"/>
    <w:rsid w:val="007645E3"/>
    <w:rsid w:val="0077036D"/>
    <w:rsid w:val="007749F1"/>
    <w:rsid w:val="0078274E"/>
    <w:rsid w:val="007955DD"/>
    <w:rsid w:val="007A7ED2"/>
    <w:rsid w:val="007B6F56"/>
    <w:rsid w:val="007C7AED"/>
    <w:rsid w:val="007E52C0"/>
    <w:rsid w:val="007F5695"/>
    <w:rsid w:val="007F7A97"/>
    <w:rsid w:val="00806C6C"/>
    <w:rsid w:val="008124FE"/>
    <w:rsid w:val="00832D5F"/>
    <w:rsid w:val="00843EB0"/>
    <w:rsid w:val="00860CC0"/>
    <w:rsid w:val="008B262C"/>
    <w:rsid w:val="008B3FED"/>
    <w:rsid w:val="008C20D2"/>
    <w:rsid w:val="008D0C36"/>
    <w:rsid w:val="008E4D4F"/>
    <w:rsid w:val="008F084E"/>
    <w:rsid w:val="008F7033"/>
    <w:rsid w:val="00906480"/>
    <w:rsid w:val="00936AC6"/>
    <w:rsid w:val="009520D6"/>
    <w:rsid w:val="00965057"/>
    <w:rsid w:val="00981903"/>
    <w:rsid w:val="0099588F"/>
    <w:rsid w:val="009B3942"/>
    <w:rsid w:val="009D7483"/>
    <w:rsid w:val="009E0844"/>
    <w:rsid w:val="00A13B38"/>
    <w:rsid w:val="00A26755"/>
    <w:rsid w:val="00A3281C"/>
    <w:rsid w:val="00A542D0"/>
    <w:rsid w:val="00A57084"/>
    <w:rsid w:val="00A61BFF"/>
    <w:rsid w:val="00A63540"/>
    <w:rsid w:val="00A654E0"/>
    <w:rsid w:val="00A75F48"/>
    <w:rsid w:val="00AB2CBC"/>
    <w:rsid w:val="00AC491B"/>
    <w:rsid w:val="00AC4A24"/>
    <w:rsid w:val="00AD48B0"/>
    <w:rsid w:val="00B004AD"/>
    <w:rsid w:val="00B03B12"/>
    <w:rsid w:val="00B6675E"/>
    <w:rsid w:val="00B767FC"/>
    <w:rsid w:val="00B918E9"/>
    <w:rsid w:val="00B921E5"/>
    <w:rsid w:val="00B95C2D"/>
    <w:rsid w:val="00BB5A9C"/>
    <w:rsid w:val="00BB6627"/>
    <w:rsid w:val="00BD5F18"/>
    <w:rsid w:val="00BE4E58"/>
    <w:rsid w:val="00C00044"/>
    <w:rsid w:val="00C03CF8"/>
    <w:rsid w:val="00C26CB2"/>
    <w:rsid w:val="00C30D56"/>
    <w:rsid w:val="00C32E72"/>
    <w:rsid w:val="00C32EBB"/>
    <w:rsid w:val="00C43278"/>
    <w:rsid w:val="00C50D87"/>
    <w:rsid w:val="00C75F95"/>
    <w:rsid w:val="00C90FCC"/>
    <w:rsid w:val="00C95A46"/>
    <w:rsid w:val="00CA73F9"/>
    <w:rsid w:val="00CB15C0"/>
    <w:rsid w:val="00CB4529"/>
    <w:rsid w:val="00CC0AF0"/>
    <w:rsid w:val="00CF1CFC"/>
    <w:rsid w:val="00D261F7"/>
    <w:rsid w:val="00D44BDF"/>
    <w:rsid w:val="00D45917"/>
    <w:rsid w:val="00D61E66"/>
    <w:rsid w:val="00D64DBD"/>
    <w:rsid w:val="00D657EC"/>
    <w:rsid w:val="00D95568"/>
    <w:rsid w:val="00DA105D"/>
    <w:rsid w:val="00DA35B5"/>
    <w:rsid w:val="00DB2526"/>
    <w:rsid w:val="00DC53FC"/>
    <w:rsid w:val="00DD43E4"/>
    <w:rsid w:val="00DE2244"/>
    <w:rsid w:val="00DF1662"/>
    <w:rsid w:val="00E137A9"/>
    <w:rsid w:val="00E44170"/>
    <w:rsid w:val="00E57F8E"/>
    <w:rsid w:val="00E8509C"/>
    <w:rsid w:val="00E91216"/>
    <w:rsid w:val="00EB75E4"/>
    <w:rsid w:val="00EC22D9"/>
    <w:rsid w:val="00EC4922"/>
    <w:rsid w:val="00ED46C0"/>
    <w:rsid w:val="00EF52D5"/>
    <w:rsid w:val="00F04268"/>
    <w:rsid w:val="00F06C86"/>
    <w:rsid w:val="00F11A4E"/>
    <w:rsid w:val="00F127CE"/>
    <w:rsid w:val="00F21BA0"/>
    <w:rsid w:val="00F268ED"/>
    <w:rsid w:val="00F274E5"/>
    <w:rsid w:val="00F44C7E"/>
    <w:rsid w:val="00F46109"/>
    <w:rsid w:val="00F724BE"/>
    <w:rsid w:val="00F91797"/>
    <w:rsid w:val="00F95CA2"/>
    <w:rsid w:val="00F96EA9"/>
    <w:rsid w:val="00FA0242"/>
    <w:rsid w:val="00FA4A3A"/>
    <w:rsid w:val="00FC3405"/>
    <w:rsid w:val="00FE1533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17EC-842A-4C96-B935-6D3A9307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12</cp:revision>
  <dcterms:created xsi:type="dcterms:W3CDTF">2024-02-19T11:46:00Z</dcterms:created>
  <dcterms:modified xsi:type="dcterms:W3CDTF">2024-03-19T08:25:00Z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