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003BC" w14:textId="3B591780" w:rsidR="0083598F" w:rsidRDefault="00F90637">
      <w:pPr>
        <w:rPr>
          <w:rFonts w:ascii="Calibri,Bold" w:hAnsi="Calibri,Bold" w:cs="Calibri,Bold"/>
          <w:b/>
          <w:bCs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sz w:val="24"/>
          <w:szCs w:val="24"/>
        </w:rPr>
        <w:t xml:space="preserve">Załącznik </w:t>
      </w:r>
      <w:r w:rsidR="001F4D0C">
        <w:rPr>
          <w:rFonts w:ascii="Calibri,Bold" w:hAnsi="Calibri,Bold" w:cs="Calibri,Bold"/>
          <w:b/>
          <w:bCs/>
          <w:sz w:val="24"/>
          <w:szCs w:val="24"/>
        </w:rPr>
        <w:t>8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– </w:t>
      </w:r>
      <w:r w:rsidR="00DA2149" w:rsidRPr="00DA2149">
        <w:rPr>
          <w:rFonts w:ascii="Calibri,Bold" w:hAnsi="Calibri,Bold" w:cs="Calibri,Bold"/>
          <w:b/>
          <w:bCs/>
          <w:sz w:val="24"/>
          <w:szCs w:val="24"/>
        </w:rPr>
        <w:t xml:space="preserve">Standardy dotyczące kosztów w projekcie </w:t>
      </w:r>
    </w:p>
    <w:tbl>
      <w:tblPr>
        <w:tblW w:w="1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  <w:gridCol w:w="8215"/>
      </w:tblGrid>
      <w:tr w:rsidR="00A3194B" w:rsidRPr="00A3194B" w14:paraId="4235B578" w14:textId="77777777" w:rsidTr="00A3194B">
        <w:trPr>
          <w:trHeight w:val="12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C174B" w14:textId="77777777" w:rsidR="00A3194B" w:rsidRPr="00A3194B" w:rsidRDefault="00A3194B" w:rsidP="00A3194B">
            <w:pPr>
              <w:spacing w:before="120" w:after="0" w:line="276" w:lineRule="auto"/>
              <w:jc w:val="both"/>
              <w:rPr>
                <w:rFonts w:eastAsia="Calibri" w:cs="Times New Roman"/>
              </w:rPr>
            </w:pPr>
            <w:r w:rsidRPr="00A3194B">
              <w:rPr>
                <w:rFonts w:eastAsia="Calibri" w:cs="Times New Roman"/>
                <w:noProof/>
                <w:lang w:eastAsia="pl-PL"/>
              </w:rPr>
              <w:drawing>
                <wp:inline distT="0" distB="0" distL="0" distR="0" wp14:anchorId="6BAB9301" wp14:editId="3033858D">
                  <wp:extent cx="1725295" cy="776605"/>
                  <wp:effectExtent l="0" t="0" r="8255" b="4445"/>
                  <wp:docPr id="1" name="Obraz 1" descr="FE_WER_POZIOM-Kolor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_WER_POZIOM-Kolor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66379" w14:textId="77777777" w:rsidR="00A3194B" w:rsidRPr="00A3194B" w:rsidRDefault="00A3194B" w:rsidP="00A3194B">
            <w:pPr>
              <w:spacing w:before="120" w:after="0" w:line="276" w:lineRule="auto"/>
              <w:jc w:val="both"/>
              <w:rPr>
                <w:rFonts w:eastAsia="Calibri" w:cs="Times New Roman"/>
              </w:rPr>
            </w:pPr>
            <w:r w:rsidRPr="00A3194B">
              <w:rPr>
                <w:rFonts w:eastAsia="Calibri" w:cs="Times New Roman"/>
                <w:noProof/>
                <w:lang w:eastAsia="pl-PL"/>
              </w:rPr>
              <w:drawing>
                <wp:inline distT="0" distB="0" distL="0" distR="0" wp14:anchorId="43973330" wp14:editId="1A937E6C">
                  <wp:extent cx="1638935" cy="647065"/>
                  <wp:effectExtent l="0" t="0" r="0" b="635"/>
                  <wp:docPr id="2" name="Obraz 2" descr="ncbr_logo_z_czerwonym_napis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br_logo_z_czerwonym_napis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300E1" w14:textId="77777777" w:rsidR="00A3194B" w:rsidRPr="00A3194B" w:rsidRDefault="00A3194B" w:rsidP="00A3194B">
            <w:pPr>
              <w:spacing w:before="120" w:after="0" w:line="276" w:lineRule="auto"/>
              <w:jc w:val="both"/>
              <w:rPr>
                <w:rFonts w:eastAsia="Calibri" w:cs="Times New Roman"/>
              </w:rPr>
            </w:pPr>
            <w:r w:rsidRPr="00A3194B">
              <w:rPr>
                <w:rFonts w:eastAsia="Calibri" w:cs="Times New Roman"/>
                <w:noProof/>
                <w:lang w:eastAsia="pl-PL"/>
              </w:rPr>
              <w:drawing>
                <wp:inline distT="0" distB="0" distL="0" distR="0" wp14:anchorId="2765C1BD" wp14:editId="05C63499">
                  <wp:extent cx="2052955" cy="681355"/>
                  <wp:effectExtent l="0" t="0" r="4445" b="4445"/>
                  <wp:docPr id="3" name="Obraz 3" descr="UE_EFS_POZIOM-K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E_EFS_POZIOM-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7F8E7E" w14:textId="77777777" w:rsidR="00A3194B" w:rsidRPr="00A3194B" w:rsidRDefault="00A3194B" w:rsidP="00A3194B">
      <w:pPr>
        <w:spacing w:after="200" w:line="276" w:lineRule="auto"/>
        <w:jc w:val="both"/>
        <w:rPr>
          <w:rFonts w:eastAsia="Calibri" w:cs="Times New Roman"/>
        </w:rPr>
      </w:pPr>
    </w:p>
    <w:p w14:paraId="509A84E2" w14:textId="12FEACF9" w:rsidR="00C67B54" w:rsidRPr="00C67B54" w:rsidRDefault="00A3194B" w:rsidP="00C67B54">
      <w:pPr>
        <w:spacing w:after="240" w:line="240" w:lineRule="atLeast"/>
        <w:jc w:val="both"/>
        <w:rPr>
          <w:rFonts w:eastAsia="Calibri" w:cs="Times New Roman"/>
          <w:i/>
        </w:rPr>
      </w:pPr>
      <w:r w:rsidRPr="00A3194B">
        <w:rPr>
          <w:rFonts w:eastAsia="Calibri" w:cs="Times New Roman"/>
          <w:b/>
        </w:rPr>
        <w:t xml:space="preserve">Niniejszy załącznik określa wymagane standardy kosztów działań realizowanych w projektach złożonych w odpowiedzi na konkurs </w:t>
      </w:r>
      <w:r w:rsidR="00F24A95">
        <w:rPr>
          <w:rFonts w:eastAsia="Calibri" w:cs="Times New Roman"/>
          <w:b/>
        </w:rPr>
        <w:br/>
      </w:r>
      <w:r w:rsidRPr="00A3194B">
        <w:rPr>
          <w:rFonts w:eastAsia="Calibri" w:cs="Times New Roman"/>
          <w:b/>
        </w:rPr>
        <w:t xml:space="preserve">nr </w:t>
      </w:r>
      <w:r w:rsidR="0061010C">
        <w:rPr>
          <w:rFonts w:eastAsia="Calibri" w:cs="Times New Roman"/>
          <w:b/>
        </w:rPr>
        <w:t>POWR.03.04</w:t>
      </w:r>
      <w:r w:rsidR="00BB2D50">
        <w:rPr>
          <w:rFonts w:eastAsia="Calibri" w:cs="Times New Roman"/>
          <w:b/>
        </w:rPr>
        <w:t>.00-IP.08-00-</w:t>
      </w:r>
      <w:r w:rsidR="0061010C">
        <w:rPr>
          <w:rFonts w:eastAsia="Calibri" w:cs="Times New Roman"/>
          <w:b/>
        </w:rPr>
        <w:t>KPU</w:t>
      </w:r>
      <w:r w:rsidR="00F24A95" w:rsidRPr="00F24A95">
        <w:rPr>
          <w:rFonts w:eastAsia="Calibri" w:cs="Times New Roman"/>
          <w:b/>
        </w:rPr>
        <w:t>/</w:t>
      </w:r>
      <w:r w:rsidR="0061010C">
        <w:rPr>
          <w:rFonts w:eastAsia="Calibri" w:cs="Times New Roman"/>
          <w:b/>
        </w:rPr>
        <w:t>21</w:t>
      </w:r>
      <w:r w:rsidR="0008549A">
        <w:rPr>
          <w:rFonts w:eastAsia="Calibri" w:cs="Times New Roman"/>
          <w:b/>
        </w:rPr>
        <w:t xml:space="preserve"> </w:t>
      </w:r>
      <w:r w:rsidR="0008549A" w:rsidRPr="0008549A">
        <w:rPr>
          <w:rFonts w:eastAsia="Calibri" w:cs="Times New Roman"/>
        </w:rPr>
        <w:t>z</w:t>
      </w:r>
      <w:r w:rsidR="00D5684D" w:rsidRPr="0008549A">
        <w:rPr>
          <w:rFonts w:eastAsia="Calibri" w:cs="Times New Roman"/>
        </w:rPr>
        <w:t>os</w:t>
      </w:r>
      <w:r w:rsidR="00D5684D" w:rsidRPr="00144C2B">
        <w:rPr>
          <w:rFonts w:eastAsia="Calibri" w:cs="Times New Roman"/>
        </w:rPr>
        <w:t xml:space="preserve">tał opracowany </w:t>
      </w:r>
      <w:r w:rsidR="00D5684D">
        <w:rPr>
          <w:rFonts w:eastAsia="Calibri" w:cs="Times New Roman"/>
        </w:rPr>
        <w:t xml:space="preserve">m.in. </w:t>
      </w:r>
      <w:r w:rsidR="00D5684D" w:rsidRPr="00144C2B">
        <w:rPr>
          <w:rFonts w:eastAsia="Calibri" w:cs="Times New Roman"/>
        </w:rPr>
        <w:t>na podstawie</w:t>
      </w:r>
      <w:r w:rsidR="00D5684D" w:rsidRPr="00144C2B">
        <w:rPr>
          <w:rFonts w:eastAsia="Calibri" w:cs="Times New Roman"/>
          <w:i/>
        </w:rPr>
        <w:t xml:space="preserve"> Wskazówek IZ PO WER do opracowania zestawienia standardu i ceny rynkowych wybranych wydatków w ramach PO WER.</w:t>
      </w:r>
    </w:p>
    <w:p w14:paraId="496E9FF3" w14:textId="77777777" w:rsidR="0061010C" w:rsidRPr="00214379" w:rsidRDefault="0061010C" w:rsidP="0061010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480" w:after="120" w:line="240" w:lineRule="atLeast"/>
        <w:ind w:hanging="218"/>
        <w:jc w:val="both"/>
        <w:rPr>
          <w:rFonts w:eastAsia="Calibri" w:cs="Arial,Bold"/>
          <w:b/>
          <w:bCs/>
          <w:sz w:val="28"/>
          <w:szCs w:val="28"/>
          <w:u w:val="single"/>
          <w:lang w:eastAsia="pl-PL"/>
        </w:rPr>
      </w:pPr>
      <w:r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Zasady ogólne:</w:t>
      </w:r>
    </w:p>
    <w:p w14:paraId="33FB0458" w14:textId="77777777" w:rsidR="0061010C" w:rsidRPr="006467C9" w:rsidRDefault="0061010C" w:rsidP="0061010C">
      <w:pPr>
        <w:spacing w:after="120" w:line="240" w:lineRule="atLeast"/>
        <w:jc w:val="both"/>
        <w:rPr>
          <w:rFonts w:eastAsia="Calibri" w:cs="Times New Roman"/>
        </w:rPr>
      </w:pPr>
      <w:r>
        <w:rPr>
          <w:rFonts w:eastAsia="Calibri" w:cs="Times New Roman"/>
          <w:b/>
        </w:rPr>
        <w:t>S</w:t>
      </w:r>
      <w:r w:rsidRPr="00A3194B">
        <w:rPr>
          <w:rFonts w:eastAsia="Calibri" w:cs="Times New Roman"/>
          <w:b/>
        </w:rPr>
        <w:t xml:space="preserve">tandardy dotyczące kosztów w projekcie stanowią </w:t>
      </w:r>
      <w:r w:rsidRPr="00144C2B">
        <w:rPr>
          <w:rFonts w:eastAsia="Calibri" w:cs="Times New Roman"/>
          <w:b/>
          <w:u w:val="single"/>
        </w:rPr>
        <w:t>katalog otwarty</w:t>
      </w:r>
      <w:r w:rsidRPr="00A3194B">
        <w:rPr>
          <w:rFonts w:eastAsia="Calibri" w:cs="Times New Roman"/>
          <w:b/>
        </w:rPr>
        <w:t xml:space="preserve">. </w:t>
      </w:r>
      <w:r w:rsidRPr="00D01122">
        <w:rPr>
          <w:rFonts w:eastAsia="Calibri" w:cs="Times New Roman"/>
        </w:rPr>
        <w:t>Niemniej jednak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</w:rPr>
        <w:t>b</w:t>
      </w:r>
      <w:r w:rsidRPr="006467C9">
        <w:rPr>
          <w:rFonts w:eastAsia="Calibri" w:cs="Times New Roman"/>
        </w:rPr>
        <w:t>eneficjent jest zo</w:t>
      </w:r>
      <w:r>
        <w:rPr>
          <w:rFonts w:eastAsia="Calibri" w:cs="Times New Roman"/>
        </w:rPr>
        <w:t>bowiązany do stosowania także innych przedstawionych w nich zasad.</w:t>
      </w:r>
    </w:p>
    <w:p w14:paraId="3FE2805B" w14:textId="77777777" w:rsidR="0061010C" w:rsidRPr="00B4745E" w:rsidRDefault="0061010C" w:rsidP="0061010C">
      <w:pPr>
        <w:spacing w:after="120" w:line="240" w:lineRule="atLeast"/>
        <w:jc w:val="both"/>
        <w:rPr>
          <w:rFonts w:ascii="Calibri" w:eastAsia="Calibri" w:hAnsi="Calibri" w:cs="Times New Roman"/>
        </w:rPr>
      </w:pPr>
      <w:r w:rsidRPr="00A3194B">
        <w:rPr>
          <w:rFonts w:eastAsia="Calibri" w:cs="Arial,Bold"/>
          <w:b/>
          <w:bCs/>
          <w:lang w:eastAsia="pl-PL"/>
        </w:rPr>
        <w:t xml:space="preserve">Na beneficjencie spoczywa odpowiedzialność </w:t>
      </w:r>
      <w:r w:rsidRPr="00D01122">
        <w:rPr>
          <w:rFonts w:eastAsia="Calibri" w:cs="Arial,Bold"/>
          <w:b/>
          <w:bCs/>
          <w:lang w:eastAsia="pl-PL"/>
        </w:rPr>
        <w:t>za jakość</w:t>
      </w:r>
      <w:r w:rsidRPr="00A3194B">
        <w:rPr>
          <w:rFonts w:eastAsia="Calibri" w:cs="Arial,Bold"/>
          <w:b/>
          <w:bCs/>
          <w:lang w:eastAsia="pl-PL"/>
        </w:rPr>
        <w:t xml:space="preserve"> prowadzonych w projekcie działań</w:t>
      </w:r>
      <w:r>
        <w:rPr>
          <w:rFonts w:eastAsia="Calibri" w:cs="Arial,Bold"/>
          <w:b/>
          <w:bCs/>
          <w:lang w:eastAsia="pl-PL"/>
        </w:rPr>
        <w:t>, jak również racjonalność i efektywność ponoszonych wydatków</w:t>
      </w:r>
      <w:r w:rsidRPr="00A3194B">
        <w:rPr>
          <w:rFonts w:eastAsia="Calibri" w:cs="Arial"/>
          <w:lang w:eastAsia="pl-PL"/>
        </w:rPr>
        <w:t xml:space="preserve">. </w:t>
      </w:r>
      <w:r>
        <w:rPr>
          <w:rFonts w:eastAsia="Calibri" w:cs="Arial"/>
          <w:lang w:eastAsia="pl-PL"/>
        </w:rPr>
        <w:t xml:space="preserve">Weryfikacja standardów jakości, które przekładają się również na efektywność wydatków, jest </w:t>
      </w:r>
      <w:r w:rsidRPr="007135D7">
        <w:rPr>
          <w:rFonts w:eastAsia="Calibri" w:cs="Arial"/>
          <w:lang w:eastAsia="pl-PL"/>
        </w:rPr>
        <w:t xml:space="preserve">prowadzona </w:t>
      </w:r>
      <w:r>
        <w:rPr>
          <w:rFonts w:eastAsia="Calibri" w:cs="Arial"/>
          <w:lang w:eastAsia="pl-PL"/>
        </w:rPr>
        <w:t xml:space="preserve">– </w:t>
      </w:r>
      <w:r w:rsidRPr="007135D7">
        <w:rPr>
          <w:rFonts w:eastAsia="Calibri" w:cs="Arial"/>
          <w:lang w:eastAsia="pl-PL"/>
        </w:rPr>
        <w:t>w pierwszej kolejności</w:t>
      </w:r>
      <w:r>
        <w:rPr>
          <w:rFonts w:eastAsia="Calibri" w:cs="Arial"/>
          <w:lang w:eastAsia="pl-PL"/>
        </w:rPr>
        <w:t xml:space="preserve"> – </w:t>
      </w:r>
      <w:r w:rsidRPr="007135D7">
        <w:rPr>
          <w:rFonts w:eastAsia="Calibri" w:cs="Arial"/>
          <w:lang w:eastAsia="pl-PL"/>
        </w:rPr>
        <w:t xml:space="preserve">w </w:t>
      </w:r>
      <w:r>
        <w:rPr>
          <w:rFonts w:eastAsia="Calibri" w:cs="Arial"/>
          <w:lang w:eastAsia="pl-PL"/>
        </w:rPr>
        <w:t xml:space="preserve">trakcie oceny wniosku </w:t>
      </w:r>
      <w:r w:rsidRPr="007135D7">
        <w:rPr>
          <w:rFonts w:eastAsia="Calibri" w:cs="Arial"/>
          <w:lang w:eastAsia="pl-PL"/>
        </w:rPr>
        <w:t xml:space="preserve">o dofinansowanie na podstawie informacji ujętych </w:t>
      </w:r>
      <w:r>
        <w:rPr>
          <w:rFonts w:eastAsia="Calibri" w:cs="Arial"/>
          <w:lang w:eastAsia="pl-PL"/>
        </w:rPr>
        <w:t>we wniosku. Wobec powyższego w</w:t>
      </w:r>
      <w:r w:rsidRPr="007135D7">
        <w:rPr>
          <w:rFonts w:eastAsia="Calibri" w:cs="Arial"/>
          <w:lang w:eastAsia="pl-PL"/>
        </w:rPr>
        <w:t xml:space="preserve">nioskodawca jest zobowiązany do uzasadnienia każdego wydatku poprzez opis standardu jakościowego (poprzez opis np. wymagań dotyczących </w:t>
      </w:r>
      <w:r>
        <w:rPr>
          <w:rFonts w:eastAsia="Calibri" w:cs="Arial"/>
          <w:lang w:eastAsia="pl-PL"/>
        </w:rPr>
        <w:t>wykonawcy/usługodawcy/personelu</w:t>
      </w:r>
      <w:r w:rsidRPr="007135D7">
        <w:rPr>
          <w:rFonts w:eastAsia="Calibri" w:cs="Arial"/>
          <w:lang w:eastAsia="pl-PL"/>
        </w:rPr>
        <w:t>, wymiaru czaso</w:t>
      </w:r>
      <w:r>
        <w:rPr>
          <w:rFonts w:eastAsia="Calibri" w:cs="Arial"/>
          <w:lang w:eastAsia="pl-PL"/>
        </w:rPr>
        <w:t>wego, zakresu merytorycznego działań, przedstawienie specyfikacji kupowanego sprzętu, dokonywanych inwestycji), jak również przedstawienie zastosowanej kalkulacji kosztu.</w:t>
      </w:r>
      <w:r>
        <w:rPr>
          <w:rFonts w:ascii="Calibri" w:eastAsia="Calibri" w:hAnsi="Calibri" w:cs="Times New Roman"/>
        </w:rPr>
        <w:t xml:space="preserve"> Informacje te można zamieścić </w:t>
      </w:r>
      <w:r w:rsidRPr="00B4745E">
        <w:rPr>
          <w:rFonts w:ascii="Calibri" w:eastAsia="Calibri" w:hAnsi="Calibri" w:cs="Times New Roman"/>
          <w:b/>
        </w:rPr>
        <w:t>w</w:t>
      </w:r>
      <w:r w:rsidRPr="00B4745E">
        <w:rPr>
          <w:rFonts w:eastAsia="Calibri" w:cs="Arial"/>
          <w:b/>
          <w:lang w:eastAsia="pl-PL"/>
        </w:rPr>
        <w:t xml:space="preserve"> sekcji</w:t>
      </w:r>
      <w:r w:rsidRPr="007135D7">
        <w:rPr>
          <w:rFonts w:eastAsia="Calibri" w:cs="Arial"/>
          <w:b/>
          <w:lang w:eastAsia="pl-PL"/>
        </w:rPr>
        <w:t xml:space="preserve"> XI </w:t>
      </w:r>
      <w:r>
        <w:rPr>
          <w:rFonts w:eastAsia="Calibri" w:cs="Arial"/>
          <w:b/>
          <w:lang w:eastAsia="pl-PL"/>
        </w:rPr>
        <w:t xml:space="preserve">wniosku o dofinansowanie projektu </w:t>
      </w:r>
      <w:r w:rsidRPr="00B84C2E">
        <w:rPr>
          <w:rFonts w:eastAsia="Calibri" w:cs="Arial"/>
          <w:b/>
          <w:i/>
          <w:lang w:eastAsia="pl-PL"/>
        </w:rPr>
        <w:t>Uzasadnienie wydatków</w:t>
      </w:r>
      <w:r>
        <w:rPr>
          <w:rFonts w:eastAsia="Calibri" w:cs="Arial"/>
          <w:b/>
          <w:i/>
          <w:lang w:eastAsia="pl-PL"/>
        </w:rPr>
        <w:t xml:space="preserve">, </w:t>
      </w:r>
      <w:r w:rsidRPr="00B4745E">
        <w:rPr>
          <w:rFonts w:eastAsia="Calibri" w:cs="Arial"/>
          <w:lang w:eastAsia="pl-PL"/>
        </w:rPr>
        <w:t>którego</w:t>
      </w:r>
      <w:r>
        <w:rPr>
          <w:rFonts w:eastAsia="Calibri" w:cs="Arial"/>
          <w:b/>
          <w:i/>
          <w:lang w:eastAsia="pl-PL"/>
        </w:rPr>
        <w:t xml:space="preserve"> </w:t>
      </w:r>
      <w:r w:rsidRPr="00B4745E">
        <w:rPr>
          <w:rFonts w:eastAsia="Calibri" w:cs="Arial"/>
          <w:lang w:eastAsia="pl-PL"/>
        </w:rPr>
        <w:t>część 2</w:t>
      </w:r>
      <w:r>
        <w:rPr>
          <w:rFonts w:eastAsia="Calibri" w:cs="Arial"/>
          <w:lang w:eastAsia="pl-PL"/>
        </w:rPr>
        <w:t>.</w:t>
      </w:r>
      <w:r w:rsidRPr="00B4745E">
        <w:rPr>
          <w:rFonts w:eastAsia="Calibri" w:cs="Arial"/>
          <w:lang w:eastAsia="pl-PL"/>
        </w:rPr>
        <w:t xml:space="preserve"> jest polem obligatoryjnym.</w:t>
      </w:r>
      <w:r w:rsidRPr="00B4745E">
        <w:rPr>
          <w:rFonts w:ascii="Calibri" w:eastAsia="Calibri" w:hAnsi="Calibri" w:cs="Times New Roman"/>
        </w:rPr>
        <w:t xml:space="preserve"> </w:t>
      </w:r>
    </w:p>
    <w:p w14:paraId="6F62FB79" w14:textId="77777777" w:rsidR="0061010C" w:rsidRPr="00A3194B" w:rsidRDefault="0061010C" w:rsidP="0061010C">
      <w:pPr>
        <w:spacing w:after="120" w:line="240" w:lineRule="atLeast"/>
        <w:jc w:val="both"/>
        <w:rPr>
          <w:rFonts w:eastAsia="Calibri" w:cs="Times New Roman"/>
          <w:b/>
        </w:rPr>
      </w:pPr>
      <w:r w:rsidRPr="00A3194B">
        <w:rPr>
          <w:rFonts w:eastAsia="Calibri" w:cs="Times New Roman"/>
          <w:b/>
        </w:rPr>
        <w:t xml:space="preserve">Weryfikacja spełnienia opisanych standardów będzie </w:t>
      </w:r>
      <w:r>
        <w:rPr>
          <w:rFonts w:eastAsia="Calibri" w:cs="Times New Roman"/>
          <w:b/>
        </w:rPr>
        <w:t>oparta</w:t>
      </w:r>
      <w:r w:rsidRPr="00A3194B">
        <w:rPr>
          <w:rFonts w:eastAsia="Calibri" w:cs="Times New Roman"/>
          <w:b/>
        </w:rPr>
        <w:t xml:space="preserve"> w pierwszej kolejności </w:t>
      </w:r>
      <w:r>
        <w:rPr>
          <w:rFonts w:eastAsia="Calibri" w:cs="Times New Roman"/>
          <w:b/>
        </w:rPr>
        <w:t>o zapisy</w:t>
      </w:r>
      <w:r w:rsidRPr="00A3194B">
        <w:rPr>
          <w:rFonts w:eastAsia="Calibri" w:cs="Times New Roman"/>
          <w:b/>
        </w:rPr>
        <w:t xml:space="preserve"> wniosku o dofinansowanie, w związku z powyższym niezwykle istotne jest zawarcie wszystkich wymaganych informacji we wniosku oraz stosowanie precyzyjnego języka</w:t>
      </w:r>
      <w:r>
        <w:rPr>
          <w:rFonts w:eastAsia="Calibri" w:cs="Times New Roman"/>
          <w:b/>
        </w:rPr>
        <w:t xml:space="preserve"> (w tym jak najmniej skrótów)</w:t>
      </w:r>
      <w:r w:rsidRPr="00A3194B">
        <w:rPr>
          <w:rFonts w:eastAsia="Calibri" w:cs="Times New Roman"/>
          <w:b/>
        </w:rPr>
        <w:t xml:space="preserve">. </w:t>
      </w:r>
    </w:p>
    <w:p w14:paraId="435637AF" w14:textId="77777777" w:rsidR="0061010C" w:rsidRDefault="0061010C" w:rsidP="0061010C">
      <w:pPr>
        <w:spacing w:after="240" w:line="240" w:lineRule="atLeast"/>
        <w:jc w:val="both"/>
        <w:rPr>
          <w:rFonts w:ascii="Calibri" w:eastAsia="Calibri" w:hAnsi="Calibri" w:cs="Times New Roman"/>
        </w:rPr>
      </w:pPr>
      <w:r>
        <w:rPr>
          <w:rFonts w:eastAsia="Calibri" w:cs="Arial,Bold"/>
          <w:b/>
          <w:bCs/>
          <w:lang w:eastAsia="pl-PL"/>
        </w:rPr>
        <w:t>IOK zastrzega sobie prawo do przeprowadzenia po zakończeniu naboru w konkursie analizy</w:t>
      </w:r>
      <w:r w:rsidRPr="006128E5">
        <w:rPr>
          <w:rFonts w:eastAsia="Calibri" w:cs="Arial,Bold"/>
          <w:b/>
          <w:bCs/>
          <w:lang w:eastAsia="pl-PL"/>
        </w:rPr>
        <w:t xml:space="preserve"> kosztów założonych we wniosku o dofinansowanie </w:t>
      </w:r>
      <w:r>
        <w:rPr>
          <w:rFonts w:eastAsia="Calibri" w:cs="Arial,Bold"/>
          <w:b/>
          <w:bCs/>
          <w:lang w:eastAsia="pl-PL"/>
        </w:rPr>
        <w:br/>
      </w:r>
      <w:r w:rsidRPr="006128E5">
        <w:rPr>
          <w:rFonts w:eastAsia="Calibri" w:cs="Arial,Bold"/>
          <w:b/>
          <w:bCs/>
          <w:lang w:eastAsia="pl-PL"/>
        </w:rPr>
        <w:t>w odniesieniu do analogicznych kosztów w pozostałych wnioskach złożonych w odpowiedzi na konkurs</w:t>
      </w:r>
      <w:r>
        <w:rPr>
          <w:rFonts w:eastAsia="Calibri" w:cs="Arial,Bold"/>
          <w:b/>
          <w:bCs/>
          <w:lang w:eastAsia="pl-PL"/>
        </w:rPr>
        <w:t xml:space="preserve"> tak, aby wydatki w zatwierdzonych </w:t>
      </w:r>
      <w:r>
        <w:rPr>
          <w:rFonts w:eastAsia="Calibri" w:cs="Arial,Bold"/>
          <w:b/>
          <w:bCs/>
          <w:lang w:eastAsia="pl-PL"/>
        </w:rPr>
        <w:br/>
        <w:t>do dofinansowania wnioskach były wystandaryzowane.</w:t>
      </w:r>
      <w:r w:rsidRPr="00C149E1">
        <w:rPr>
          <w:rFonts w:ascii="Calibri" w:eastAsia="Calibri" w:hAnsi="Calibri" w:cs="Times New Roman"/>
        </w:rPr>
        <w:t xml:space="preserve"> </w:t>
      </w:r>
    </w:p>
    <w:p w14:paraId="5DA30F9C" w14:textId="77777777" w:rsidR="0061010C" w:rsidRDefault="0061010C" w:rsidP="0061010C">
      <w:pPr>
        <w:spacing w:after="360" w:line="240" w:lineRule="atLeast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Jednocześnie, n</w:t>
      </w:r>
      <w:r w:rsidRPr="004D6B50">
        <w:rPr>
          <w:rFonts w:ascii="Calibri" w:eastAsia="Calibri" w:hAnsi="Calibri" w:cs="Times New Roman"/>
        </w:rPr>
        <w:t>a etapie realizacji i rozliczania projektu</w:t>
      </w:r>
      <w:r>
        <w:rPr>
          <w:rFonts w:ascii="Calibri" w:eastAsia="Calibri" w:hAnsi="Calibri" w:cs="Times New Roman"/>
        </w:rPr>
        <w:t>,</w:t>
      </w:r>
      <w:r w:rsidRPr="004D6B50">
        <w:rPr>
          <w:rFonts w:ascii="Calibri" w:eastAsia="Calibri" w:hAnsi="Calibri" w:cs="Times New Roman"/>
        </w:rPr>
        <w:t xml:space="preserve"> IOK dopuszcza możliwość uznania za niekwalifikowalne kosztów działań o zmienionych warunkach, podwyższonych ko</w:t>
      </w:r>
      <w:r>
        <w:rPr>
          <w:rFonts w:ascii="Calibri" w:eastAsia="Calibri" w:hAnsi="Calibri" w:cs="Times New Roman"/>
        </w:rPr>
        <w:t>s</w:t>
      </w:r>
      <w:r w:rsidRPr="004D6B50">
        <w:rPr>
          <w:rFonts w:ascii="Calibri" w:eastAsia="Calibri" w:hAnsi="Calibri" w:cs="Times New Roman"/>
        </w:rPr>
        <w:t xml:space="preserve">ztach i standardzie niższym niż założone </w:t>
      </w:r>
      <w:r>
        <w:rPr>
          <w:rFonts w:ascii="Calibri" w:eastAsia="Calibri" w:hAnsi="Calibri" w:cs="Times New Roman"/>
        </w:rPr>
        <w:t>w obowiązującym wniosku o dofinansowanie, stanowiącym załącznik do umowy</w:t>
      </w:r>
      <w:r w:rsidRPr="004D6B50">
        <w:rPr>
          <w:rFonts w:ascii="Calibri" w:eastAsia="Calibri" w:hAnsi="Calibri" w:cs="Times New Roman"/>
        </w:rPr>
        <w:t xml:space="preserve"> o dofinansowanie</w:t>
      </w:r>
      <w:r>
        <w:rPr>
          <w:rFonts w:ascii="Calibri" w:eastAsia="Calibri" w:hAnsi="Calibri" w:cs="Times New Roman"/>
        </w:rPr>
        <w:t xml:space="preserve"> projektu.</w:t>
      </w:r>
    </w:p>
    <w:p w14:paraId="539AC81C" w14:textId="77777777" w:rsidR="0061010C" w:rsidRPr="00C149E1" w:rsidRDefault="0061010C" w:rsidP="0061010C">
      <w:pPr>
        <w:autoSpaceDE w:val="0"/>
        <w:autoSpaceDN w:val="0"/>
        <w:adjustRightInd w:val="0"/>
        <w:spacing w:after="240" w:line="240" w:lineRule="atLeast"/>
        <w:jc w:val="both"/>
        <w:rPr>
          <w:rFonts w:eastAsia="Calibri" w:cs="Arial"/>
        </w:rPr>
      </w:pPr>
      <w:r w:rsidRPr="00234AFF">
        <w:rPr>
          <w:rFonts w:eastAsia="Calibri" w:cs="Arial"/>
        </w:rPr>
        <w:lastRenderedPageBreak/>
        <w:t>Projekty powinny finansować usługi o standardzie zbliżonym do usług powszechnie dostępnych, komercyjnych. Nie</w:t>
      </w:r>
      <w:r w:rsidRPr="00C149E1">
        <w:rPr>
          <w:rFonts w:eastAsia="Calibri" w:cs="Arial"/>
        </w:rPr>
        <w:t xml:space="preserve"> jest zasadne finansowanie działań dodatkowych, zawyżających standard. </w:t>
      </w:r>
      <w:r>
        <w:rPr>
          <w:rFonts w:eastAsia="Calibri" w:cs="Arial"/>
        </w:rPr>
        <w:t xml:space="preserve">Należy mieć też na uwadze kwestie trwałości działań projektowych. </w:t>
      </w:r>
      <w:r w:rsidRPr="00C149E1">
        <w:rPr>
          <w:rFonts w:eastAsia="Calibri" w:cs="Arial"/>
        </w:rPr>
        <w:t xml:space="preserve">Stawki wynagrodzeń, szczególnie osób zatrudnianych na umowy o pracę, nie powinny odbiegać od stawek obowiązujących u </w:t>
      </w:r>
      <w:r>
        <w:rPr>
          <w:rFonts w:eastAsia="Calibri" w:cs="Arial"/>
        </w:rPr>
        <w:t>w</w:t>
      </w:r>
      <w:r w:rsidRPr="00C149E1">
        <w:rPr>
          <w:rFonts w:eastAsia="Calibri" w:cs="Arial"/>
        </w:rPr>
        <w:t>nioskodawcy na analogicznych stanowiskach lub przy zbliżonym zakresie obowiązków (np. stawki ustalone na podstawie obowiązujących regulaminów wynagradzania).</w:t>
      </w:r>
      <w:r>
        <w:rPr>
          <w:rFonts w:eastAsia="Calibri" w:cs="Arial"/>
        </w:rPr>
        <w:t xml:space="preserve"> </w:t>
      </w:r>
    </w:p>
    <w:p w14:paraId="73FBBE59" w14:textId="77777777" w:rsidR="0061010C" w:rsidRDefault="0061010C" w:rsidP="0061010C">
      <w:pPr>
        <w:autoSpaceDE w:val="0"/>
        <w:autoSpaceDN w:val="0"/>
        <w:adjustRightInd w:val="0"/>
        <w:spacing w:after="240" w:line="240" w:lineRule="atLeast"/>
        <w:jc w:val="both"/>
        <w:rPr>
          <w:rFonts w:eastAsia="Calibri" w:cs="Arial"/>
        </w:rPr>
      </w:pPr>
      <w:r w:rsidRPr="00C149E1">
        <w:rPr>
          <w:rFonts w:eastAsia="Calibri" w:cs="Arial"/>
        </w:rPr>
        <w:t xml:space="preserve">Obligatoryjne jest porównanie kosztów danej usługi </w:t>
      </w:r>
      <w:r>
        <w:rPr>
          <w:rFonts w:eastAsia="Calibri" w:cs="Arial"/>
        </w:rPr>
        <w:t>przewidzianej projektem</w:t>
      </w:r>
      <w:r w:rsidRPr="00C149E1">
        <w:rPr>
          <w:rFonts w:eastAsia="Calibri" w:cs="Arial"/>
        </w:rPr>
        <w:t xml:space="preserve"> z kosztem usługi dostępnej na rynku komercyjnym. W tym celu należy przeprowadzić i udokumentować </w:t>
      </w:r>
      <w:r>
        <w:rPr>
          <w:rFonts w:eastAsia="Calibri" w:cs="Arial"/>
        </w:rPr>
        <w:t>porównanie cen rynkowych</w:t>
      </w:r>
      <w:r w:rsidRPr="00C149E1">
        <w:rPr>
          <w:rFonts w:eastAsia="Calibri" w:cs="Arial"/>
        </w:rPr>
        <w:t xml:space="preserve">. </w:t>
      </w:r>
      <w:r w:rsidRPr="00C149E1">
        <w:rPr>
          <w:rFonts w:ascii="Calibri" w:eastAsia="Calibri" w:hAnsi="Calibri" w:cs="Times New Roman"/>
        </w:rPr>
        <w:t xml:space="preserve">IOK zastrzega sobie możliwość zwrócenia się do </w:t>
      </w:r>
      <w:r>
        <w:rPr>
          <w:rFonts w:ascii="Calibri" w:eastAsia="Calibri" w:hAnsi="Calibri" w:cs="Times New Roman"/>
        </w:rPr>
        <w:t xml:space="preserve">wnioskodawcy – </w:t>
      </w:r>
      <w:r w:rsidRPr="00C149E1">
        <w:rPr>
          <w:rFonts w:ascii="Calibri" w:eastAsia="Calibri" w:hAnsi="Calibri" w:cs="Times New Roman"/>
        </w:rPr>
        <w:t xml:space="preserve">na każdym etapie oceny wniosku oraz po zawarciu umowy o dofinansowanie </w:t>
      </w:r>
      <w:r>
        <w:rPr>
          <w:rFonts w:ascii="Calibri" w:eastAsia="Calibri" w:hAnsi="Calibri" w:cs="Times New Roman"/>
        </w:rPr>
        <w:t xml:space="preserve">– </w:t>
      </w:r>
      <w:r w:rsidRPr="00C149E1">
        <w:rPr>
          <w:rFonts w:ascii="Calibri" w:eastAsia="Calibri" w:hAnsi="Calibri" w:cs="Times New Roman"/>
        </w:rPr>
        <w:t>o przedłożenie dokumentów potwierdzających należyte oszacowanie kosztu, który został ujęty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br/>
        <w:t>w</w:t>
      </w:r>
      <w:r w:rsidRPr="00C149E1">
        <w:rPr>
          <w:rFonts w:ascii="Calibri" w:eastAsia="Calibri" w:hAnsi="Calibri" w:cs="Times New Roman"/>
        </w:rPr>
        <w:t xml:space="preserve"> budżecie projektu.</w:t>
      </w:r>
      <w:r w:rsidRPr="00C149E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IOK zwraca również uwagę na fakt, iż cenniki i standardy obowiązujące w jednostce nie zwalniają Wnioskodawcy z dokonania rozeznania i potwierdzenia racjonalności stawek. Jednocześnie IOK przypomina, że </w:t>
      </w:r>
      <w:r w:rsidRPr="000154EA">
        <w:rPr>
          <w:rFonts w:eastAsia="Calibri" w:cs="Arial"/>
        </w:rPr>
        <w:t xml:space="preserve">fakt przeprowadzenia rozeznania </w:t>
      </w:r>
      <w:r>
        <w:rPr>
          <w:rFonts w:eastAsia="Calibri" w:cs="Arial"/>
        </w:rPr>
        <w:t xml:space="preserve">rynku na etapie przygotowywania wniosku </w:t>
      </w:r>
      <w:r>
        <w:rPr>
          <w:rFonts w:eastAsia="Calibri" w:cs="Arial"/>
        </w:rPr>
        <w:br/>
        <w:t xml:space="preserve">o dofinansowanie projektu, </w:t>
      </w:r>
      <w:r w:rsidRPr="000154EA">
        <w:rPr>
          <w:rFonts w:eastAsia="Calibri" w:cs="Arial"/>
        </w:rPr>
        <w:t>nie zwalnia beneficjenta z trybów konkurencyjnych (w tym rozeznania rynku) na etapie realizacji umowy o dofinansowanie.</w:t>
      </w:r>
    </w:p>
    <w:p w14:paraId="3C5E4908" w14:textId="4C5C060B" w:rsidR="0061010C" w:rsidRPr="0061010C" w:rsidRDefault="0061010C" w:rsidP="0061010C">
      <w:pPr>
        <w:autoSpaceDE w:val="0"/>
        <w:autoSpaceDN w:val="0"/>
        <w:adjustRightInd w:val="0"/>
        <w:spacing w:after="240" w:line="240" w:lineRule="atLeast"/>
        <w:jc w:val="both"/>
        <w:rPr>
          <w:rFonts w:ascii="Calibri" w:eastAsia="Calibri" w:hAnsi="Calibri" w:cs="Times New Roman"/>
        </w:rPr>
      </w:pPr>
      <w:r w:rsidRPr="00A3194B">
        <w:rPr>
          <w:rFonts w:ascii="Calibri" w:eastAsia="Calibri" w:hAnsi="Calibri" w:cs="Times New Roman"/>
        </w:rPr>
        <w:t>Stosowanie kwot</w:t>
      </w:r>
      <w:r>
        <w:rPr>
          <w:rFonts w:ascii="Calibri" w:eastAsia="Calibri" w:hAnsi="Calibri" w:cs="Times New Roman"/>
        </w:rPr>
        <w:t>,</w:t>
      </w:r>
      <w:r w:rsidRPr="00A3194B">
        <w:rPr>
          <w:rFonts w:ascii="Calibri" w:eastAsia="Calibri" w:hAnsi="Calibri" w:cs="Times New Roman"/>
        </w:rPr>
        <w:t xml:space="preserve"> wskazanych w </w:t>
      </w:r>
      <w:r>
        <w:rPr>
          <w:rFonts w:ascii="Calibri" w:eastAsia="Calibri" w:hAnsi="Calibri" w:cs="Times New Roman"/>
        </w:rPr>
        <w:t>części II niniejszego</w:t>
      </w:r>
      <w:r w:rsidRPr="00A3194B">
        <w:rPr>
          <w:rFonts w:ascii="Calibri" w:eastAsia="Calibri" w:hAnsi="Calibri" w:cs="Times New Roman"/>
        </w:rPr>
        <w:t xml:space="preserve"> opracowani</w:t>
      </w:r>
      <w:r>
        <w:rPr>
          <w:rFonts w:ascii="Calibri" w:eastAsia="Calibri" w:hAnsi="Calibri" w:cs="Times New Roman"/>
        </w:rPr>
        <w:t>a,</w:t>
      </w:r>
      <w:r w:rsidRPr="00A3194B">
        <w:rPr>
          <w:rFonts w:ascii="Calibri" w:eastAsia="Calibri" w:hAnsi="Calibri" w:cs="Times New Roman"/>
        </w:rPr>
        <w:t xml:space="preserve"> nie zwalnia członków KOP z weryfikacji zasadności i racjonalności wszystkich stawek, również tych mieszczących się poniżej maksymalnego poziomu. Przyjęcie stawki maksymalnej nie oznacza, że będzie ona akceptowana w każdym projekcie </w:t>
      </w:r>
      <w:r>
        <w:rPr>
          <w:rFonts w:ascii="Calibri" w:eastAsia="Calibri" w:hAnsi="Calibri" w:cs="Times New Roman"/>
        </w:rPr>
        <w:br/>
      </w:r>
      <w:r w:rsidRPr="00A3194B">
        <w:rPr>
          <w:rFonts w:ascii="Calibri" w:eastAsia="Calibri" w:hAnsi="Calibri" w:cs="Times New Roman"/>
        </w:rPr>
        <w:t>– przy ocenie budżetu brane będą pod uwagę m.in. takie czynniki</w:t>
      </w:r>
      <w:r>
        <w:rPr>
          <w:rFonts w:ascii="Calibri" w:eastAsia="Calibri" w:hAnsi="Calibri" w:cs="Times New Roman"/>
        </w:rPr>
        <w:t>,</w:t>
      </w:r>
      <w:r w:rsidRPr="00A3194B">
        <w:rPr>
          <w:rFonts w:ascii="Calibri" w:eastAsia="Calibri" w:hAnsi="Calibri" w:cs="Times New Roman"/>
        </w:rPr>
        <w:t xml:space="preserve"> jak np. stopień złożoności </w:t>
      </w:r>
      <w:r>
        <w:rPr>
          <w:rFonts w:ascii="Calibri" w:eastAsia="Calibri" w:hAnsi="Calibri" w:cs="Times New Roman"/>
        </w:rPr>
        <w:t xml:space="preserve">wsparcia udzielanego w ramach </w:t>
      </w:r>
      <w:r w:rsidRPr="00A3194B">
        <w:rPr>
          <w:rFonts w:ascii="Calibri" w:eastAsia="Calibri" w:hAnsi="Calibri" w:cs="Times New Roman"/>
        </w:rPr>
        <w:t>projektu, wielkość grupy docelowej.</w:t>
      </w:r>
    </w:p>
    <w:p w14:paraId="29E4D0AD" w14:textId="3018492C" w:rsidR="004C14FA" w:rsidRPr="00214379" w:rsidRDefault="00D5684D" w:rsidP="00D5684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480" w:after="120" w:line="240" w:lineRule="atLeast"/>
        <w:jc w:val="both"/>
        <w:rPr>
          <w:rFonts w:eastAsia="Calibri" w:cs="Arial,Bold"/>
          <w:b/>
          <w:bCs/>
          <w:sz w:val="28"/>
          <w:szCs w:val="28"/>
          <w:u w:val="single"/>
          <w:lang w:eastAsia="pl-PL"/>
        </w:rPr>
      </w:pPr>
      <w:r w:rsidRPr="00D5684D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Wymagania dodatkowe dotyczące wydatków związanych z realizacją projektów </w:t>
      </w:r>
      <w:r w:rsidR="004C14FA"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w konkursie</w:t>
      </w:r>
      <w:r w:rsid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 pt</w:t>
      </w:r>
      <w:r>
        <w:rPr>
          <w:rFonts w:eastAsia="Calibri" w:cs="Arial,Bold"/>
          <w:b/>
          <w:bCs/>
          <w:sz w:val="28"/>
          <w:szCs w:val="28"/>
          <w:u w:val="single"/>
          <w:lang w:eastAsia="pl-PL"/>
        </w:rPr>
        <w:t>.</w:t>
      </w:r>
      <w:r w:rsidR="0061010C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 </w:t>
      </w:r>
      <w:r w:rsidR="0061010C" w:rsidRPr="0061010C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>Kadra dydaktyczna dla</w:t>
      </w:r>
      <w:r w:rsidRPr="0061010C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 xml:space="preserve"> </w:t>
      </w:r>
      <w:r w:rsidR="0061010C" w:rsidRPr="0061010C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>projektowania</w:t>
      </w:r>
      <w:r w:rsidRPr="0061010C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 xml:space="preserve"> </w:t>
      </w:r>
      <w:r w:rsidR="0061010C" w:rsidRPr="0061010C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>u</w:t>
      </w:r>
      <w:r w:rsidRPr="0061010C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>niwersalne</w:t>
      </w:r>
      <w:r w:rsidR="0061010C" w:rsidRPr="0061010C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>go</w:t>
      </w:r>
      <w:r w:rsidR="00214379" w:rsidRPr="00D5684D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 xml:space="preserve"> </w:t>
      </w:r>
      <w:r w:rsidR="004C14FA"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nr </w:t>
      </w:r>
      <w:r w:rsidR="0061010C">
        <w:rPr>
          <w:rFonts w:eastAsia="Calibri" w:cs="Arial,Bold"/>
          <w:b/>
          <w:bCs/>
          <w:sz w:val="28"/>
          <w:szCs w:val="28"/>
          <w:u w:val="single"/>
          <w:lang w:eastAsia="pl-PL"/>
        </w:rPr>
        <w:t>POWR.03.04</w:t>
      </w:r>
      <w:r w:rsidR="004C14FA"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.00-IP.08-00-</w:t>
      </w:r>
      <w:r w:rsidR="0061010C">
        <w:rPr>
          <w:rFonts w:eastAsia="Calibri" w:cs="Arial,Bold"/>
          <w:b/>
          <w:bCs/>
          <w:sz w:val="28"/>
          <w:szCs w:val="28"/>
          <w:u w:val="single"/>
          <w:lang w:eastAsia="pl-PL"/>
        </w:rPr>
        <w:t>KPU/21</w:t>
      </w:r>
      <w:r w:rsidR="004C14FA"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:</w:t>
      </w:r>
    </w:p>
    <w:p w14:paraId="67D9E020" w14:textId="77777777" w:rsidR="00D5684D" w:rsidRDefault="00D5684D" w:rsidP="00D5684D">
      <w:pPr>
        <w:pStyle w:val="Akapitzlist"/>
        <w:autoSpaceDE w:val="0"/>
        <w:autoSpaceDN w:val="0"/>
        <w:adjustRightInd w:val="0"/>
        <w:spacing w:after="240" w:line="240" w:lineRule="atLeast"/>
        <w:ind w:left="360"/>
        <w:jc w:val="both"/>
        <w:rPr>
          <w:rFonts w:eastAsia="Calibri" w:cs="Arial"/>
        </w:rPr>
      </w:pPr>
    </w:p>
    <w:p w14:paraId="2269035B" w14:textId="1CA76348" w:rsidR="0008492C" w:rsidRPr="00D5684D" w:rsidRDefault="0008492C" w:rsidP="00F66EE5">
      <w:pPr>
        <w:pStyle w:val="Akapitzlist"/>
        <w:autoSpaceDE w:val="0"/>
        <w:autoSpaceDN w:val="0"/>
        <w:adjustRightInd w:val="0"/>
        <w:spacing w:after="120" w:line="240" w:lineRule="atLeast"/>
        <w:ind w:left="357"/>
        <w:contextualSpacing w:val="0"/>
        <w:jc w:val="both"/>
        <w:rPr>
          <w:rFonts w:eastAsia="Calibri" w:cs="Arial"/>
        </w:rPr>
      </w:pPr>
      <w:r>
        <w:rPr>
          <w:rFonts w:eastAsia="Calibri" w:cs="Arial"/>
        </w:rPr>
        <w:t>N</w:t>
      </w:r>
      <w:r w:rsidRPr="00D5684D">
        <w:rPr>
          <w:rFonts w:eastAsia="Calibri" w:cs="Arial"/>
        </w:rPr>
        <w:t>ależy podkreślić, że wszelkie koszty muszą być ściśle powiązane z działaniami projektowymi i mają służyć prawidłowej ich realizacji, a zatem muszą być niezbędne i mieć racjonalną wysokość.</w:t>
      </w:r>
    </w:p>
    <w:p w14:paraId="6243CF78" w14:textId="1872E4DB" w:rsidR="007528DA" w:rsidRPr="00D5684D" w:rsidRDefault="0008492C" w:rsidP="0061010C">
      <w:pPr>
        <w:pStyle w:val="Akapitzlist"/>
        <w:autoSpaceDE w:val="0"/>
        <w:autoSpaceDN w:val="0"/>
        <w:adjustRightInd w:val="0"/>
        <w:spacing w:after="120" w:line="240" w:lineRule="atLeast"/>
        <w:ind w:left="357"/>
        <w:contextualSpacing w:val="0"/>
        <w:jc w:val="both"/>
        <w:rPr>
          <w:rFonts w:eastAsia="Calibri" w:cs="Arial"/>
        </w:rPr>
      </w:pPr>
      <w:r>
        <w:rPr>
          <w:rFonts w:eastAsia="Calibri" w:cs="Arial"/>
        </w:rPr>
        <w:t xml:space="preserve">W konkursie finansowane będą </w:t>
      </w:r>
      <w:r w:rsidR="0061010C">
        <w:rPr>
          <w:rFonts w:eastAsia="Calibri" w:cs="Arial"/>
        </w:rPr>
        <w:t xml:space="preserve">jedynie </w:t>
      </w:r>
      <w:r w:rsidRPr="0061010C">
        <w:rPr>
          <w:rFonts w:eastAsia="Calibri" w:cs="Arial"/>
          <w:b/>
        </w:rPr>
        <w:t>dział</w:t>
      </w:r>
      <w:r w:rsidR="0061010C" w:rsidRPr="0061010C">
        <w:rPr>
          <w:rFonts w:eastAsia="Calibri" w:cs="Arial"/>
          <w:b/>
        </w:rPr>
        <w:t xml:space="preserve">ania prowadzące do podnoszenia kompetencji kadry uczelni w zakresie umiejętności dydaktycznych </w:t>
      </w:r>
      <w:r w:rsidR="008C66B9">
        <w:rPr>
          <w:rFonts w:eastAsia="Calibri" w:cs="Arial"/>
          <w:b/>
        </w:rPr>
        <w:br/>
      </w:r>
      <w:r w:rsidR="0061010C" w:rsidRPr="0061010C">
        <w:rPr>
          <w:rFonts w:eastAsia="Calibri" w:cs="Arial"/>
          <w:b/>
        </w:rPr>
        <w:t>w obszarze projektowania uniwersalnego</w:t>
      </w:r>
      <w:r w:rsidR="0061010C">
        <w:rPr>
          <w:rFonts w:eastAsia="Calibri" w:cs="Arial"/>
        </w:rPr>
        <w:t>, w</w:t>
      </w:r>
      <w:r w:rsidR="0061010C" w:rsidRPr="0061010C">
        <w:rPr>
          <w:rFonts w:eastAsia="Calibri" w:cs="Arial"/>
        </w:rPr>
        <w:t xml:space="preserve"> celu zapewnienia wysokiej jakości kształcenia studentów z zakresu projektowania uniwersalnego</w:t>
      </w:r>
      <w:r w:rsidR="0061010C">
        <w:rPr>
          <w:rFonts w:eastAsia="Calibri" w:cs="Arial"/>
        </w:rPr>
        <w:t>.</w:t>
      </w:r>
      <w:r w:rsidR="0061010C" w:rsidRPr="0061010C">
        <w:rPr>
          <w:rFonts w:eastAsia="Calibri" w:cs="Arial"/>
        </w:rPr>
        <w:t xml:space="preserve"> </w:t>
      </w:r>
      <w:r w:rsidR="0061010C">
        <w:rPr>
          <w:rFonts w:eastAsia="Calibri" w:cs="Arial"/>
        </w:rPr>
        <w:t>Celem konkursu jest bowiem</w:t>
      </w:r>
      <w:r w:rsidR="0061010C" w:rsidRPr="0061010C">
        <w:rPr>
          <w:rFonts w:eastAsia="Calibri" w:cs="Arial"/>
        </w:rPr>
        <w:t xml:space="preserve"> odpowiednie przygotowanie me</w:t>
      </w:r>
      <w:r w:rsidR="0061010C">
        <w:rPr>
          <w:rFonts w:eastAsia="Calibri" w:cs="Arial"/>
        </w:rPr>
        <w:t xml:space="preserve">rytoryczne i dydaktyczne kadry </w:t>
      </w:r>
      <w:r w:rsidR="0061010C" w:rsidRPr="0061010C">
        <w:rPr>
          <w:rFonts w:eastAsia="Calibri" w:cs="Arial"/>
        </w:rPr>
        <w:t>zaangażowanej w proces kształcenia</w:t>
      </w:r>
      <w:r w:rsidR="008C66B9">
        <w:rPr>
          <w:rFonts w:eastAsia="Calibri" w:cs="Arial"/>
        </w:rPr>
        <w:t>.</w:t>
      </w:r>
    </w:p>
    <w:p w14:paraId="122B384D" w14:textId="77777777" w:rsidR="007528DA" w:rsidRPr="0092400E" w:rsidRDefault="007528DA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</w:p>
    <w:p w14:paraId="7A8158D6" w14:textId="77777777" w:rsidR="008C66B9" w:rsidRDefault="008C66B9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</w:p>
    <w:p w14:paraId="5830F7B6" w14:textId="77777777" w:rsidR="008C66B9" w:rsidRDefault="008C66B9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</w:p>
    <w:p w14:paraId="246CB6F0" w14:textId="77777777" w:rsidR="008C66B9" w:rsidRDefault="008C66B9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</w:p>
    <w:p w14:paraId="3AEF9A16" w14:textId="25F789C3" w:rsidR="004C14FA" w:rsidRPr="0092400E" w:rsidRDefault="004C14FA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  <w:r w:rsidRPr="0092400E">
        <w:rPr>
          <w:rFonts w:eastAsia="Calibri" w:cstheme="minorHAnsi"/>
        </w:rPr>
        <w:lastRenderedPageBreak/>
        <w:t>Zestawienie niektórych wydatków, które mogą pojawić się w projekcie i ich kwoty maksymalne: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5528"/>
        <w:gridCol w:w="1984"/>
        <w:gridCol w:w="3793"/>
      </w:tblGrid>
      <w:tr w:rsidR="004C14FA" w:rsidRPr="000D5E3B" w14:paraId="0BDFE313" w14:textId="77777777" w:rsidTr="00045E52">
        <w:tc>
          <w:tcPr>
            <w:tcW w:w="562" w:type="dxa"/>
          </w:tcPr>
          <w:p w14:paraId="14F70BEC" w14:textId="77777777" w:rsidR="004C14FA" w:rsidRPr="00C149E1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149E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27" w:type="dxa"/>
          </w:tcPr>
          <w:p w14:paraId="64910C9D" w14:textId="77777777" w:rsidR="004C14FA" w:rsidRPr="000D5E3B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0D5E3B">
              <w:rPr>
                <w:rFonts w:cstheme="minorHAnsi"/>
                <w:b/>
                <w:bCs/>
              </w:rPr>
              <w:t>Towar / usługa</w:t>
            </w:r>
          </w:p>
        </w:tc>
        <w:tc>
          <w:tcPr>
            <w:tcW w:w="5528" w:type="dxa"/>
          </w:tcPr>
          <w:p w14:paraId="2B9DBF80" w14:textId="77777777" w:rsidR="004C14FA" w:rsidRPr="000D5E3B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0D5E3B">
              <w:rPr>
                <w:rFonts w:cstheme="minorHAnsi"/>
                <w:b/>
                <w:bCs/>
              </w:rPr>
              <w:t>Standard – warunki kwalifikowania wydatku na etapie oceny projektów</w:t>
            </w:r>
          </w:p>
        </w:tc>
        <w:tc>
          <w:tcPr>
            <w:tcW w:w="1984" w:type="dxa"/>
          </w:tcPr>
          <w:p w14:paraId="5DC84A85" w14:textId="77777777" w:rsidR="004C14FA" w:rsidRPr="000D5E3B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0D5E3B">
              <w:rPr>
                <w:rFonts w:cstheme="minorHAnsi"/>
                <w:b/>
                <w:bCs/>
              </w:rPr>
              <w:t>Maksymalna cena</w:t>
            </w:r>
            <w:r>
              <w:rPr>
                <w:rFonts w:cstheme="minorHAnsi"/>
                <w:b/>
                <w:bCs/>
              </w:rPr>
              <w:t xml:space="preserve"> r</w:t>
            </w:r>
            <w:r w:rsidRPr="000D5E3B">
              <w:rPr>
                <w:rFonts w:cstheme="minorHAnsi"/>
                <w:b/>
                <w:bCs/>
              </w:rPr>
              <w:t>ynkowa</w:t>
            </w:r>
          </w:p>
        </w:tc>
        <w:tc>
          <w:tcPr>
            <w:tcW w:w="3793" w:type="dxa"/>
          </w:tcPr>
          <w:p w14:paraId="67DFB2EC" w14:textId="77777777" w:rsidR="004C14FA" w:rsidRPr="000D5E3B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0D5E3B">
              <w:rPr>
                <w:rFonts w:cstheme="minorHAnsi"/>
                <w:b/>
                <w:bCs/>
              </w:rPr>
              <w:t>Dodatkowe zalecenia IOK</w:t>
            </w:r>
          </w:p>
        </w:tc>
      </w:tr>
      <w:tr w:rsidR="004C14FA" w:rsidRPr="001F5597" w14:paraId="44EC525D" w14:textId="77777777" w:rsidTr="00045E52">
        <w:tc>
          <w:tcPr>
            <w:tcW w:w="562" w:type="dxa"/>
          </w:tcPr>
          <w:p w14:paraId="2717137D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C149E1">
              <w:rPr>
                <w:b/>
              </w:rPr>
              <w:t>1.</w:t>
            </w:r>
          </w:p>
        </w:tc>
        <w:tc>
          <w:tcPr>
            <w:tcW w:w="2127" w:type="dxa"/>
          </w:tcPr>
          <w:p w14:paraId="3B53761B" w14:textId="77777777" w:rsidR="004C14FA" w:rsidRPr="00413482" w:rsidRDefault="004C14FA" w:rsidP="00A2586E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</w:rPr>
              <w:t>trener/wykładowca</w:t>
            </w:r>
          </w:p>
        </w:tc>
        <w:tc>
          <w:tcPr>
            <w:tcW w:w="5528" w:type="dxa"/>
          </w:tcPr>
          <w:p w14:paraId="0BE6BF88" w14:textId="77777777" w:rsidR="004C14FA" w:rsidRDefault="004C14FA" w:rsidP="00A2586E">
            <w:pPr>
              <w:pStyle w:val="Akapitzlist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</w:pPr>
            <w:r>
              <w:t>wydatek kwalifikowalny, o ile jest to uzasadnione specyfiką realizowanego projektu;</w:t>
            </w:r>
          </w:p>
          <w:p w14:paraId="2E4E7017" w14:textId="686D9F46" w:rsidR="004C14FA" w:rsidRDefault="004C14FA" w:rsidP="00A2586E">
            <w:pPr>
              <w:pStyle w:val="Akapitzlist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</w:pPr>
            <w:r>
              <w:t>koszt pracy trenera obejmuje koszty opracowania programu oraz materiałów dydaktycznych, dojazdu, zakwaterowania, wyżywienia oraz dodatkowego wsparcia, jeśli przewidziane jest w ramach projektu;</w:t>
            </w:r>
          </w:p>
          <w:p w14:paraId="122EF83A" w14:textId="77777777" w:rsidR="004C14FA" w:rsidRDefault="004C14FA" w:rsidP="00A2586E">
            <w:pPr>
              <w:pStyle w:val="Akapitzlist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</w:pPr>
            <w:r>
              <w:t>wydatek kwalifikowalny, o ile trener posiada wykształcenie wyższe/zawodowe lub certyfikaty/zaświadczenia/inne umożliwiające przeprowadzenie danego wsparcia;</w:t>
            </w:r>
          </w:p>
          <w:p w14:paraId="2EF582B1" w14:textId="0238F277" w:rsidR="004C14FA" w:rsidRPr="001F5597" w:rsidRDefault="004C14FA" w:rsidP="00A2586E">
            <w:pPr>
              <w:pStyle w:val="Akapitzlist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</w:pPr>
            <w:r>
              <w:t>wydatek kwalifikowalny, o ile trener posiada doświadczenie umożliwiające przeprowadzenie danego wsparcia, przy czym minimalne doświadczenie zawodowe w danej dziedzinie nie może być krótsze niż 2 lata</w:t>
            </w:r>
          </w:p>
        </w:tc>
        <w:tc>
          <w:tcPr>
            <w:tcW w:w="1984" w:type="dxa"/>
          </w:tcPr>
          <w:p w14:paraId="1BA38DEE" w14:textId="77777777" w:rsidR="004C14FA" w:rsidRPr="001F5597" w:rsidRDefault="004C14FA" w:rsidP="00A2586E">
            <w:pPr>
              <w:spacing w:before="120" w:after="120"/>
              <w:jc w:val="center"/>
            </w:pPr>
            <w:r>
              <w:t>150 PLN/godz.</w:t>
            </w:r>
          </w:p>
        </w:tc>
        <w:tc>
          <w:tcPr>
            <w:tcW w:w="3793" w:type="dxa"/>
          </w:tcPr>
          <w:p w14:paraId="6C889DD4" w14:textId="034080A4" w:rsidR="004C14FA" w:rsidRDefault="004C14FA" w:rsidP="00A2586E">
            <w:pPr>
              <w:spacing w:before="120" w:after="120"/>
            </w:pPr>
            <w:r>
              <w:t xml:space="preserve">Możliwe jest ujęcie w budżecie stawki wyższej niż 150 PLN/godz. wyłącznie </w:t>
            </w:r>
            <w:r w:rsidR="00214379">
              <w:br/>
            </w:r>
            <w:r>
              <w:t>w uzasadnionych przypadk</w:t>
            </w:r>
            <w:r w:rsidR="00AB769B">
              <w:t xml:space="preserve">ach, </w:t>
            </w:r>
            <w:r w:rsidR="00214379">
              <w:br/>
            </w:r>
            <w:r w:rsidR="008C66B9">
              <w:t>w zależności od formy prowadzonych zajęć i</w:t>
            </w:r>
            <w:r w:rsidR="00AB769B">
              <w:t xml:space="preserve"> </w:t>
            </w:r>
            <w:r>
              <w:t>zakresu wsparcia.</w:t>
            </w:r>
          </w:p>
          <w:p w14:paraId="617BDC97" w14:textId="6F97D00D" w:rsidR="00AB769B" w:rsidRDefault="004C14FA" w:rsidP="00A2586E">
            <w:pPr>
              <w:spacing w:before="120" w:after="120"/>
            </w:pPr>
            <w:r>
              <w:t xml:space="preserve">Standard szkolenia, w tym wymagania dotyczące trenera, czasu trwania, poziomu, zakresu merytorycznego wnioskodawca określa we wniosku </w:t>
            </w:r>
            <w:r w:rsidR="00214379">
              <w:br/>
            </w:r>
            <w:r>
              <w:t xml:space="preserve">o dofinansowanie projektu. </w:t>
            </w:r>
            <w:r w:rsidR="00214379">
              <w:br/>
            </w:r>
            <w:r w:rsidR="00AB769B">
              <w:t>W przypadku przedmiotowego konkursu dopuszcza się uwzględnie</w:t>
            </w:r>
            <w:r w:rsidR="00045E52">
              <w:t xml:space="preserve">nie wyższej stawki </w:t>
            </w:r>
            <w:r w:rsidR="00AB769B">
              <w:t xml:space="preserve">w przypadku trenerów będących osobami </w:t>
            </w:r>
            <w:r w:rsidR="00214379">
              <w:br/>
            </w:r>
            <w:r w:rsidR="00AB769B">
              <w:t>z ni</w:t>
            </w:r>
            <w:r w:rsidR="00045E52">
              <w:t>epełnosprawnościami</w:t>
            </w:r>
            <w:r w:rsidR="009C351E">
              <w:t xml:space="preserve">, których koszty realizacji usługi na rzecz beneficjenta </w:t>
            </w:r>
            <w:r w:rsidR="002978CA">
              <w:t>mogą być podwyższone</w:t>
            </w:r>
            <w:r w:rsidR="009C351E">
              <w:t xml:space="preserve">. Przykładowo: w związku z tym, że trener jest osobą posiadającą niepełnosprawność ruchową może zaistnieć konieczność </w:t>
            </w:r>
            <w:r w:rsidR="002978CA">
              <w:t xml:space="preserve">dojazdu na miejsce szkolenia dzień </w:t>
            </w:r>
            <w:r w:rsidR="003C3911">
              <w:t>wcześniej</w:t>
            </w:r>
            <w:r w:rsidR="002978CA">
              <w:t xml:space="preserve"> a więc koszt realizacji usługi jest wyższy o koszt zakwaterowania</w:t>
            </w:r>
            <w:r w:rsidR="00045E52">
              <w:t>.</w:t>
            </w:r>
          </w:p>
          <w:p w14:paraId="501BBAF6" w14:textId="62CD5D3A" w:rsidR="004C14FA" w:rsidRDefault="004C14FA" w:rsidP="00A2586E">
            <w:pPr>
              <w:spacing w:before="120" w:after="120"/>
            </w:pPr>
            <w:r>
              <w:t xml:space="preserve">Na etapie realizacji i rozliczania projektu IOK dopuszcza możliwość uznania za niekwalifikowalne kosztów </w:t>
            </w:r>
            <w:r>
              <w:lastRenderedPageBreak/>
              <w:t xml:space="preserve">organizacji szkoleń o zmienionych warunkach i standardzie niższym niż założone w umowie o dofinansowanie. </w:t>
            </w:r>
          </w:p>
          <w:p w14:paraId="52E04D67" w14:textId="77777777" w:rsidR="004C14FA" w:rsidRDefault="004C14FA" w:rsidP="00A2586E">
            <w:pPr>
              <w:spacing w:before="120" w:after="120"/>
            </w:pPr>
            <w:r>
              <w:t xml:space="preserve">W przypadku szkoleń zamkniętych wnioskodawca przedstawia koszty </w:t>
            </w:r>
            <w:r>
              <w:br/>
              <w:t xml:space="preserve">w ujęciu godzinowym np. koszt 1 h </w:t>
            </w:r>
            <w:r>
              <w:br/>
              <w:t xml:space="preserve">x liczba  godz. x liczba  grup. </w:t>
            </w:r>
            <w:r>
              <w:br/>
              <w:t xml:space="preserve">W przypadku finansowania w ramach projektu uczestnictwa w szkoleniach otwartych możliwe jest przedstawienie kosztu jednostkowego za uczestnika. </w:t>
            </w:r>
          </w:p>
          <w:p w14:paraId="737E59D2" w14:textId="77777777" w:rsidR="004C14FA" w:rsidRDefault="004C14FA" w:rsidP="00A2586E">
            <w:pPr>
              <w:spacing w:before="120" w:after="120"/>
            </w:pPr>
            <w:r>
              <w:t>Godzina szkolenia rozumiana jest jako 45 min.</w:t>
            </w:r>
          </w:p>
          <w:p w14:paraId="020640B0" w14:textId="61F69021" w:rsidR="00DA1E44" w:rsidRPr="001F5597" w:rsidRDefault="00DA1E44" w:rsidP="00DA1E44">
            <w:pPr>
              <w:spacing w:before="120" w:after="120"/>
            </w:pPr>
            <w:r>
              <w:t xml:space="preserve">W przypadku angażowania do projektu własnych wykładowców/trenerów stawka wynagrodzenia powinna być zgodna z wewnętrznym regulaminem wynagradzania danej jednostki. </w:t>
            </w:r>
          </w:p>
        </w:tc>
      </w:tr>
      <w:tr w:rsidR="004C14FA" w:rsidRPr="001F5597" w14:paraId="35FAF261" w14:textId="77777777" w:rsidTr="00045E52">
        <w:tc>
          <w:tcPr>
            <w:tcW w:w="562" w:type="dxa"/>
          </w:tcPr>
          <w:p w14:paraId="39209CFE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2127" w:type="dxa"/>
          </w:tcPr>
          <w:p w14:paraId="333399A3" w14:textId="77777777" w:rsidR="004C14FA" w:rsidRPr="00591903" w:rsidRDefault="004C14FA" w:rsidP="00A2586E">
            <w:pPr>
              <w:spacing w:before="120" w:after="120"/>
              <w:jc w:val="center"/>
              <w:rPr>
                <w:b/>
                <w:color w:val="7030A0"/>
              </w:rPr>
            </w:pPr>
            <w:r>
              <w:rPr>
                <w:b/>
              </w:rPr>
              <w:t>przerwa kawowa</w:t>
            </w:r>
          </w:p>
        </w:tc>
        <w:tc>
          <w:tcPr>
            <w:tcW w:w="5528" w:type="dxa"/>
          </w:tcPr>
          <w:p w14:paraId="5D99C221" w14:textId="77777777" w:rsidR="004C14FA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>
              <w:t>wydatek kwalifikowalny, o ile jest to uzasadnione specyfiką realizowanego projektu;</w:t>
            </w:r>
          </w:p>
          <w:p w14:paraId="6EB94381" w14:textId="77777777" w:rsidR="004C14FA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>
              <w:t xml:space="preserve">wydatek kwalifikowalny, o ile forma wsparcia, </w:t>
            </w:r>
            <w:r>
              <w:br/>
              <w:t>w ramach której ma być świadczona przerwa kawowa dla tej samej grupy osób w danym dniu trwa co najmniej 4 godziny lekcyjne;</w:t>
            </w:r>
          </w:p>
          <w:p w14:paraId="545F8BB2" w14:textId="4824C8B6" w:rsidR="004C14FA" w:rsidRPr="008D19DB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>
              <w:t>obejmuje kawę, herbatę, wodę, mleko, cukier, cytryn</w:t>
            </w:r>
            <w:r w:rsidR="007133F7">
              <w:t>ę</w:t>
            </w:r>
            <w:r>
              <w:t>, drobne słone lub słodkie przekąski typu paluszki lub kruche ciastka lub owoce, przy czym istnieje możliwość szerszego zakresu usługi, o ile mieści się w określonej cenie rynkowej</w:t>
            </w:r>
          </w:p>
        </w:tc>
        <w:tc>
          <w:tcPr>
            <w:tcW w:w="1984" w:type="dxa"/>
          </w:tcPr>
          <w:p w14:paraId="707F11CA" w14:textId="77777777" w:rsidR="004C14FA" w:rsidRDefault="004C14FA" w:rsidP="00A2586E">
            <w:pPr>
              <w:spacing w:before="120" w:after="120"/>
              <w:jc w:val="center"/>
            </w:pPr>
            <w:r>
              <w:t>15 PLN/osobę</w:t>
            </w:r>
            <w:r>
              <w:br/>
              <w:t>/dzień szkoleniowy</w:t>
            </w:r>
          </w:p>
        </w:tc>
        <w:tc>
          <w:tcPr>
            <w:tcW w:w="3793" w:type="dxa"/>
          </w:tcPr>
          <w:p w14:paraId="55DA6253" w14:textId="77777777" w:rsidR="004C14FA" w:rsidRDefault="004C14FA" w:rsidP="00A2586E">
            <w:pPr>
              <w:spacing w:before="120" w:after="120"/>
            </w:pPr>
            <w:r>
              <w:t>Cena rynkowa powinna być uzależniona od rodzaju oferowanej usługi i jest niższa, jeśli finansowany jest mniejszy zakres usługi (np. kawa, herbata, woda, mleko, cukier, cytryna bez drobnych słonych lub słodkich przekąsek).</w:t>
            </w:r>
          </w:p>
        </w:tc>
      </w:tr>
      <w:tr w:rsidR="004C14FA" w:rsidRPr="003D33C4" w14:paraId="12D97D4D" w14:textId="77777777" w:rsidTr="00045E52">
        <w:trPr>
          <w:trHeight w:val="2579"/>
        </w:trPr>
        <w:tc>
          <w:tcPr>
            <w:tcW w:w="562" w:type="dxa"/>
          </w:tcPr>
          <w:p w14:paraId="7731401D" w14:textId="77777777" w:rsidR="004C14FA" w:rsidRPr="00681F97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7" w:type="dxa"/>
          </w:tcPr>
          <w:p w14:paraId="37758050" w14:textId="77777777" w:rsidR="004C14FA" w:rsidRPr="00681F97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681F97">
              <w:rPr>
                <w:b/>
              </w:rPr>
              <w:t>zimny bufet</w:t>
            </w:r>
          </w:p>
        </w:tc>
        <w:tc>
          <w:tcPr>
            <w:tcW w:w="5528" w:type="dxa"/>
          </w:tcPr>
          <w:p w14:paraId="31C84691" w14:textId="77777777" w:rsidR="004C14FA" w:rsidRPr="00681F97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 w:rsidRPr="00681F97">
              <w:t>wydatek kwalifikowalny, o ile jest to uzasadnione specyfiką realizowanego projektu</w:t>
            </w:r>
          </w:p>
          <w:p w14:paraId="6B4809C8" w14:textId="77777777" w:rsidR="004C14FA" w:rsidRPr="00681F97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 w:rsidRPr="00681F97">
              <w:t xml:space="preserve">wydatek kwalifikowalny, o ile forma wsparcia, </w:t>
            </w:r>
            <w:r w:rsidRPr="00681F97">
              <w:br/>
              <w:t xml:space="preserve">w ramach której ma być świadczony zimny bufet dla tej samej grupy osób w danym dniu trwa </w:t>
            </w:r>
            <w:r w:rsidRPr="00681F97">
              <w:br/>
              <w:t xml:space="preserve">co najmniej 4 godziny lekcyjne (tj. 4 x 45 minut) </w:t>
            </w:r>
            <w:r w:rsidRPr="00681F97">
              <w:br/>
              <w:t xml:space="preserve">i nie jest przewidziany lunch/obiad </w:t>
            </w:r>
          </w:p>
          <w:p w14:paraId="45AC2715" w14:textId="77777777" w:rsidR="004C14FA" w:rsidRPr="00681F97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 w:rsidRPr="00681F97">
              <w:t>obejmuje kawę, herbatę, wo</w:t>
            </w:r>
            <w:r>
              <w:t>dę, soki, mleko, cukier, cytrynę</w:t>
            </w:r>
            <w:r w:rsidRPr="00681F97">
              <w:t>, drobne słone lub słodkie przekąski typu paluszki lub kruche ciastka lub owoce, kanapki, przekąski koktajlowe, przy czym istnieje możliwość szerszego zakresu usługi, o ile mieści się w określonej cenie rynkowej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786419FB" w14:textId="77777777" w:rsidR="004C14FA" w:rsidRPr="003D33C4" w:rsidRDefault="004C14FA" w:rsidP="00A25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 PLN/osobę</w:t>
            </w:r>
            <w:r>
              <w:br/>
              <w:t>/dzień szkoleniowy</w:t>
            </w:r>
          </w:p>
        </w:tc>
        <w:tc>
          <w:tcPr>
            <w:tcW w:w="3793" w:type="dxa"/>
          </w:tcPr>
          <w:p w14:paraId="3345ABB8" w14:textId="77777777" w:rsidR="004C14FA" w:rsidRPr="00681F97" w:rsidRDefault="004C14FA" w:rsidP="00A2586E">
            <w:pPr>
              <w:spacing w:before="120" w:after="120"/>
            </w:pPr>
            <w:r>
              <w:t>C</w:t>
            </w:r>
            <w:r w:rsidRPr="00681F97">
              <w:t>ena rynkowa powinna być uzależniona od  rodzaju oferowanej usługi i jest niższa, jeśli finansowany jest mniejszy zakres usługi</w:t>
            </w:r>
            <w:r>
              <w:t>.</w:t>
            </w:r>
          </w:p>
        </w:tc>
      </w:tr>
      <w:tr w:rsidR="004C14FA" w:rsidRPr="001F5597" w14:paraId="633315D8" w14:textId="77777777" w:rsidTr="00045E52">
        <w:tc>
          <w:tcPr>
            <w:tcW w:w="562" w:type="dxa"/>
          </w:tcPr>
          <w:p w14:paraId="3CA8A314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149E1">
              <w:rPr>
                <w:b/>
              </w:rPr>
              <w:t>.</w:t>
            </w:r>
          </w:p>
        </w:tc>
        <w:tc>
          <w:tcPr>
            <w:tcW w:w="2127" w:type="dxa"/>
          </w:tcPr>
          <w:p w14:paraId="2C850145" w14:textId="77777777" w:rsidR="004C14FA" w:rsidRPr="00002F8E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313E7B">
              <w:rPr>
                <w:b/>
              </w:rPr>
              <w:t>lunch/obiad/kolacja</w:t>
            </w:r>
          </w:p>
        </w:tc>
        <w:tc>
          <w:tcPr>
            <w:tcW w:w="5528" w:type="dxa"/>
          </w:tcPr>
          <w:p w14:paraId="058E8717" w14:textId="77777777" w:rsidR="004C14FA" w:rsidRDefault="004C14FA" w:rsidP="00A2586E">
            <w:pPr>
              <w:pStyle w:val="Akapitzlist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</w:pPr>
            <w:r>
              <w:t>wydatek kwalifikowalny, o ile jest to uzasadnione specyfiką realizowanego projektu;</w:t>
            </w:r>
          </w:p>
          <w:p w14:paraId="47E13AB9" w14:textId="77777777" w:rsidR="004C14FA" w:rsidRDefault="004C14FA" w:rsidP="00A2586E">
            <w:pPr>
              <w:pStyle w:val="Akapitzlist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</w:pPr>
            <w:r>
              <w:t>obejmuje dwa dania (zupa i drugie danie) oraz napój, przy czym istnieje możliwość szerszego zakresu usługi, o ile mieści się w określonej cenie rynkowej;</w:t>
            </w:r>
          </w:p>
          <w:p w14:paraId="26969BFB" w14:textId="77777777" w:rsidR="004C14FA" w:rsidRDefault="004C14FA" w:rsidP="00A2586E">
            <w:pPr>
              <w:pStyle w:val="Akapitzlist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</w:pPr>
            <w:r>
              <w:t>w przypadku lunchu / obiadu wydatek kwalifikowalny, o ile wsparcie dla tej samej grupy osób w danym dniu trwa co najmniej 6 godzin lekcyjnych (tj. 6 x 45 minut);</w:t>
            </w:r>
          </w:p>
          <w:p w14:paraId="7AEABEAD" w14:textId="77777777" w:rsidR="004C14FA" w:rsidRPr="00002F8E" w:rsidRDefault="004C14FA" w:rsidP="00A2586E">
            <w:pPr>
              <w:pStyle w:val="Akapitzlist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</w:pPr>
            <w:r>
              <w:t>w przypadku kolacji wydatek kwalifikowalny, o ile finansowana jest usługa noclegowa</w:t>
            </w:r>
          </w:p>
        </w:tc>
        <w:tc>
          <w:tcPr>
            <w:tcW w:w="1984" w:type="dxa"/>
          </w:tcPr>
          <w:p w14:paraId="1AA1F287" w14:textId="77777777" w:rsidR="004C14FA" w:rsidRPr="004A2CE4" w:rsidRDefault="004C14FA" w:rsidP="00A2586E">
            <w:pPr>
              <w:spacing w:before="120" w:after="120"/>
              <w:jc w:val="center"/>
            </w:pPr>
            <w:r>
              <w:t>35 PLN/osobę</w:t>
            </w:r>
          </w:p>
        </w:tc>
        <w:tc>
          <w:tcPr>
            <w:tcW w:w="3793" w:type="dxa"/>
          </w:tcPr>
          <w:p w14:paraId="51E1EC4D" w14:textId="6AD58C43" w:rsidR="004C14FA" w:rsidRPr="00C40DBF" w:rsidRDefault="004C14FA" w:rsidP="00045E52">
            <w:pPr>
              <w:spacing w:before="120" w:after="120"/>
              <w:rPr>
                <w:b/>
                <w:color w:val="538135" w:themeColor="accent6" w:themeShade="BF"/>
              </w:rPr>
            </w:pPr>
            <w:r>
              <w:t>Cena rynkowa powinna być uzależniona od rodzaju oferowanej usługi i jest niższa, jeśli finansowany jest mniejszy zakres usługi (np. obiad składający się tylko z drugiego dania i napoju).</w:t>
            </w:r>
          </w:p>
        </w:tc>
      </w:tr>
      <w:tr w:rsidR="004C14FA" w:rsidRPr="001F5597" w14:paraId="0BA0245F" w14:textId="77777777" w:rsidTr="00045E52">
        <w:tc>
          <w:tcPr>
            <w:tcW w:w="562" w:type="dxa"/>
          </w:tcPr>
          <w:p w14:paraId="39D9F16F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C149E1">
              <w:rPr>
                <w:b/>
              </w:rPr>
              <w:t>.</w:t>
            </w:r>
          </w:p>
        </w:tc>
        <w:tc>
          <w:tcPr>
            <w:tcW w:w="2127" w:type="dxa"/>
          </w:tcPr>
          <w:p w14:paraId="791013BA" w14:textId="77777777" w:rsidR="004C14FA" w:rsidRPr="00681F97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681F97">
              <w:rPr>
                <w:b/>
              </w:rPr>
              <w:t xml:space="preserve">nocleg w kraju </w:t>
            </w:r>
          </w:p>
        </w:tc>
        <w:tc>
          <w:tcPr>
            <w:tcW w:w="5528" w:type="dxa"/>
          </w:tcPr>
          <w:p w14:paraId="78D1AFB1" w14:textId="77777777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>wydatek kwalifikowalny, o ile jest to uzasadnione specyfiką realizowanego projektu;</w:t>
            </w:r>
          </w:p>
          <w:p w14:paraId="1F4E1383" w14:textId="77777777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>możliwość zagwarantowania noclegu dotyczy wyłącznie uczestników, którzy posiadają miejsce zamieszkania w miejscowości innej niż ta miejscowość, w której odbywa się wsparcie;</w:t>
            </w:r>
          </w:p>
          <w:p w14:paraId="114F45F6" w14:textId="44599476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planowanie form wsparcia poza miejscowością, </w:t>
            </w:r>
            <w:r>
              <w:br/>
              <w:t xml:space="preserve">w której ma siedzibę wnioskodawca będzie w </w:t>
            </w:r>
            <w:r w:rsidR="00045E52">
              <w:t>s</w:t>
            </w:r>
            <w:r>
              <w:t>zczególny sposób przedmiotem oceny przez KOP pod kątem adekwatności i kwalifikowalności kosztów;</w:t>
            </w:r>
          </w:p>
          <w:p w14:paraId="293B98C7" w14:textId="77777777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>wydatek kwalifikowalny, o ile wsparcie (np. szkolenie, spotkanie) dla tej samej grupy osób trwa co najmniej dwa dni;</w:t>
            </w:r>
          </w:p>
          <w:p w14:paraId="6E60DCC9" w14:textId="77777777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w przypadku wsparcia trwającego nie dłużej niż jeden dzień wydatek kwalifikowalny w sytuacji, gdy miejsce udzielania wsparcia jest oddalone </w:t>
            </w:r>
            <w:r>
              <w:br/>
              <w:t>od miejscowości, w której siedzibę ma wnioskodawca  o więcej niż 50 km (drogą publiczną, a nie w linii prostej), a jednocześnie wsparcie zaczyna się przed godziną 9.00 lub kończy się po godzinie 17.00, chyba że nie ma dostępnego dojazdu publicznymi środkami transportu;</w:t>
            </w:r>
          </w:p>
          <w:p w14:paraId="15030AB3" w14:textId="706DB950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obejmuje nocleg w miejscu noclegowym </w:t>
            </w:r>
            <w:r>
              <w:br/>
              <w:t xml:space="preserve">o standardzie maksymalnie hotelu 3* wraz ze śniadaniem, przy czym istnieje możliwość szerszego zakresu usługi, o ile mieści się </w:t>
            </w:r>
            <w:r>
              <w:br/>
              <w:t>w określonej cenie rynkowej i jest to uzasadnione celami projektu</w:t>
            </w:r>
            <w:r w:rsidR="00045E52">
              <w:t xml:space="preserve"> lub specyficznymi potrzebami</w:t>
            </w:r>
            <w:r>
              <w:t>;</w:t>
            </w:r>
          </w:p>
          <w:p w14:paraId="30BE3C49" w14:textId="77777777" w:rsidR="004C14FA" w:rsidRPr="004A2CE4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obejmuje nocleg, co do zasady w pokojach </w:t>
            </w:r>
            <w:r>
              <w:br/>
              <w:t>2-osobowych (nocleg w pokojach 1-osobowych jest kwalifikowalny tylko w uzasadnionych przypadkach)</w:t>
            </w:r>
          </w:p>
        </w:tc>
        <w:tc>
          <w:tcPr>
            <w:tcW w:w="1984" w:type="dxa"/>
          </w:tcPr>
          <w:p w14:paraId="0D1B8C66" w14:textId="77777777" w:rsidR="004C14FA" w:rsidRDefault="004C14FA" w:rsidP="00A2586E">
            <w:pPr>
              <w:jc w:val="center"/>
            </w:pPr>
          </w:p>
          <w:p w14:paraId="74E5CA4B" w14:textId="77777777" w:rsidR="004C14FA" w:rsidRDefault="004C14FA" w:rsidP="00A2586E">
            <w:pPr>
              <w:jc w:val="center"/>
            </w:pPr>
            <w:r>
              <w:t>hotel o maksymalnym standardzie 3*:</w:t>
            </w:r>
          </w:p>
          <w:p w14:paraId="2E8E83A7" w14:textId="77777777" w:rsidR="004C14FA" w:rsidRDefault="004C14FA" w:rsidP="00A2586E">
            <w:pPr>
              <w:jc w:val="center"/>
            </w:pPr>
            <w:r>
              <w:t>- 220 PLN/1 nocleg / 1 osoba</w:t>
            </w:r>
          </w:p>
          <w:p w14:paraId="2C5D606E" w14:textId="77777777" w:rsidR="004C14FA" w:rsidRDefault="004C14FA" w:rsidP="00A2586E">
            <w:pPr>
              <w:jc w:val="center"/>
            </w:pPr>
          </w:p>
          <w:p w14:paraId="15492FBC" w14:textId="77777777" w:rsidR="004C14FA" w:rsidRDefault="004C14FA" w:rsidP="00A2586E">
            <w:pPr>
              <w:jc w:val="center"/>
            </w:pPr>
            <w:r>
              <w:t>hotel o niższym standardzie niż 3* oraz pensjonat, motel itd.:</w:t>
            </w:r>
          </w:p>
          <w:p w14:paraId="33B8F59F" w14:textId="77777777" w:rsidR="004C14FA" w:rsidRDefault="004C14FA" w:rsidP="00A2586E">
            <w:pPr>
              <w:jc w:val="center"/>
            </w:pPr>
            <w:r>
              <w:t>- 130 PLN/1 nocleg / 1 osoba</w:t>
            </w:r>
          </w:p>
          <w:p w14:paraId="59B3A2B0" w14:textId="77777777" w:rsidR="004C14FA" w:rsidRDefault="004C14FA" w:rsidP="00A2586E">
            <w:pPr>
              <w:jc w:val="center"/>
            </w:pPr>
          </w:p>
          <w:p w14:paraId="5B75102E" w14:textId="77777777" w:rsidR="004C14FA" w:rsidRPr="004A2CE4" w:rsidRDefault="004C14FA" w:rsidP="00A2586E">
            <w:pPr>
              <w:spacing w:before="120" w:after="120"/>
              <w:jc w:val="center"/>
            </w:pPr>
          </w:p>
        </w:tc>
        <w:tc>
          <w:tcPr>
            <w:tcW w:w="3793" w:type="dxa"/>
          </w:tcPr>
          <w:p w14:paraId="5D675F27" w14:textId="77777777" w:rsidR="004C14FA" w:rsidRDefault="004C14FA" w:rsidP="00A2586E">
            <w:pPr>
              <w:spacing w:before="120" w:after="120"/>
            </w:pPr>
            <w:r>
              <w:t xml:space="preserve">Cena rynkowa powinna być uzależniona od rodzaju oferowanej usługi i jest niższa, jeśli finansowany jest mniejszy zakres usługi (np. nocleg w pokoju </w:t>
            </w:r>
            <w:r w:rsidR="00214379">
              <w:br/>
            </w:r>
            <w:r>
              <w:t>3-osobowym)</w:t>
            </w:r>
            <w:r w:rsidR="008C66B9">
              <w:t>.</w:t>
            </w:r>
          </w:p>
          <w:p w14:paraId="34FA912C" w14:textId="00888310" w:rsidR="008C66B9" w:rsidRPr="004A2CE4" w:rsidRDefault="008C66B9" w:rsidP="008C66B9">
            <w:pPr>
              <w:spacing w:before="120" w:after="120"/>
            </w:pPr>
            <w:r>
              <w:t>Dla pracowników Wnioskodawcy, zatrudnionych na umowę o pracę koszt rozliczany jest w formie delegacji lub na zasadach określonych w wewnętrznym regulaminie opartym o przepisy prawa powszechnie obowiązującego.</w:t>
            </w:r>
          </w:p>
        </w:tc>
      </w:tr>
      <w:tr w:rsidR="004C14FA" w:rsidRPr="007D3B0A" w14:paraId="602EE580" w14:textId="77777777" w:rsidTr="00045E52">
        <w:tc>
          <w:tcPr>
            <w:tcW w:w="562" w:type="dxa"/>
          </w:tcPr>
          <w:p w14:paraId="19A00CC2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149E1">
              <w:rPr>
                <w:b/>
              </w:rPr>
              <w:t>.</w:t>
            </w:r>
          </w:p>
        </w:tc>
        <w:tc>
          <w:tcPr>
            <w:tcW w:w="2127" w:type="dxa"/>
          </w:tcPr>
          <w:p w14:paraId="2C162374" w14:textId="77777777" w:rsidR="004C14FA" w:rsidRPr="007D3B0A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7D3B0A">
              <w:rPr>
                <w:b/>
              </w:rPr>
              <w:t>zwrot kosztów dojazdu</w:t>
            </w:r>
          </w:p>
        </w:tc>
        <w:tc>
          <w:tcPr>
            <w:tcW w:w="5528" w:type="dxa"/>
          </w:tcPr>
          <w:p w14:paraId="685ADCB9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wydatek kwalifikowalny w </w:t>
            </w:r>
            <w:r>
              <w:t>przypadku uzasadnionych potrzeb</w:t>
            </w:r>
            <w:r w:rsidRPr="007D3B0A">
              <w:t xml:space="preserve"> grupy docelowej;</w:t>
            </w:r>
          </w:p>
          <w:p w14:paraId="00D29F45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planowanie form wsparcia </w:t>
            </w:r>
            <w:r>
              <w:t xml:space="preserve">poza </w:t>
            </w:r>
            <w:r w:rsidRPr="00806C8A">
              <w:t xml:space="preserve">miejscem zamieszkania </w:t>
            </w:r>
            <w:r w:rsidRPr="007D3B0A">
              <w:t>będzie w szczególny sposób przedmiotem oceny przez KOP pod kątem adekwatności i kwalifikowalności kosztów;</w:t>
            </w:r>
          </w:p>
          <w:p w14:paraId="2B34C96C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wydatek rozliczany na podstawie rzeczywiście poniesionych kosztów za faktycznie odbytą podróż </w:t>
            </w:r>
            <w:r>
              <w:br/>
            </w:r>
            <w:r w:rsidRPr="007D3B0A">
              <w:t>z uwzględnieniem posiadanej przez danego uczestnika projektu ulgi na dany środek transportu, bez względu na to, z jakiego tytułu ulga przysługuje. Wydatki powinny być udokumentowane.</w:t>
            </w:r>
          </w:p>
          <w:p w14:paraId="23200649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wydatek kwalifikowalny </w:t>
            </w:r>
            <w:r w:rsidRPr="007D161D">
              <w:rPr>
                <w:u w:val="single"/>
              </w:rPr>
              <w:t>do wysokości</w:t>
            </w:r>
            <w:r w:rsidRPr="007D3B0A">
              <w:t xml:space="preserve"> opłat za środki transportu publicznego szynowego lub kołowego zgodnie z cennikiem biletów II klasy obowiązującym na danym obszarze, także</w:t>
            </w:r>
            <w:r>
              <w:t xml:space="preserve"> </w:t>
            </w:r>
            <w:r w:rsidRPr="007D3B0A">
              <w:t>w przypadku korzystania ze środków transportu prywatnego (w szczególności samochodem lub taksówką) jako refundacja wydatku faktycznie poniesionego do ww. wysokości</w:t>
            </w:r>
          </w:p>
          <w:p w14:paraId="1E9DD987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w przypadku podróży międzynarodowych </w:t>
            </w:r>
            <w:r>
              <w:t xml:space="preserve">(wykładowcy z zagranicy) </w:t>
            </w:r>
            <w:r w:rsidRPr="007D3B0A">
              <w:t xml:space="preserve">kwalifikowany może być koszt </w:t>
            </w:r>
            <w:r w:rsidRPr="007D161D">
              <w:rPr>
                <w:u w:val="single"/>
              </w:rPr>
              <w:t>do wysokości</w:t>
            </w:r>
            <w:r>
              <w:t xml:space="preserve"> opłat za </w:t>
            </w:r>
            <w:r w:rsidRPr="007D3B0A">
              <w:t>transport</w:t>
            </w:r>
            <w:r>
              <w:t xml:space="preserve"> lotniczy</w:t>
            </w:r>
            <w:r w:rsidRPr="007D3B0A">
              <w:t xml:space="preserve"> </w:t>
            </w:r>
            <w:r>
              <w:br/>
            </w:r>
            <w:r w:rsidRPr="007D3B0A">
              <w:t xml:space="preserve">w klasie ekonomicznej </w:t>
            </w:r>
            <w:r>
              <w:t>–</w:t>
            </w:r>
            <w:r w:rsidRPr="007D3B0A">
              <w:t xml:space="preserve"> zalecany jest, jeśli to możliwe, zakup biletów podróży z możliwością zwrotu lub wymiany (np. w zakresie zmiany terminu podróży lub nazwiska osoby podróżującej) na wypadek nieoczekiwanych sytuacji</w:t>
            </w:r>
          </w:p>
        </w:tc>
        <w:tc>
          <w:tcPr>
            <w:tcW w:w="1984" w:type="dxa"/>
          </w:tcPr>
          <w:p w14:paraId="28AED850" w14:textId="77777777" w:rsidR="004C14FA" w:rsidRDefault="004C14FA" w:rsidP="00A2586E">
            <w:pPr>
              <w:spacing w:before="120" w:after="120"/>
              <w:jc w:val="center"/>
            </w:pPr>
            <w:r w:rsidRPr="007D3B0A">
              <w:t>cena uzależniona</w:t>
            </w:r>
            <w:r>
              <w:t xml:space="preserve"> </w:t>
            </w:r>
            <w:r w:rsidRPr="007D3B0A">
              <w:t>od cenników</w:t>
            </w:r>
            <w:r>
              <w:t xml:space="preserve"> </w:t>
            </w:r>
            <w:r w:rsidRPr="007D3B0A">
              <w:t>operatorów</w:t>
            </w:r>
            <w:r>
              <w:t xml:space="preserve"> </w:t>
            </w:r>
            <w:r w:rsidRPr="007D3B0A">
              <w:t>komunikacji</w:t>
            </w:r>
            <w:r>
              <w:t xml:space="preserve"> publicznej</w:t>
            </w:r>
          </w:p>
          <w:p w14:paraId="56AD4319" w14:textId="77777777" w:rsidR="004C14FA" w:rsidRPr="007D3B0A" w:rsidRDefault="004C14FA" w:rsidP="00A2586E">
            <w:pPr>
              <w:spacing w:before="120" w:after="120"/>
              <w:jc w:val="center"/>
            </w:pPr>
            <w:r>
              <w:t>istnieje możliwość przewidzenia organizacji transportu zbiorowego – porównanie cen rynkowych</w:t>
            </w:r>
          </w:p>
        </w:tc>
        <w:tc>
          <w:tcPr>
            <w:tcW w:w="3793" w:type="dxa"/>
          </w:tcPr>
          <w:p w14:paraId="4FF409F5" w14:textId="4CF7232A" w:rsidR="004C14FA" w:rsidRPr="007D3B0A" w:rsidRDefault="008C66B9" w:rsidP="00A2586E">
            <w:pPr>
              <w:spacing w:before="120" w:after="120"/>
            </w:pPr>
            <w:r>
              <w:t>Dla pracowników Wnioskodawcy, zatrudnionych na umowę o pracę koszt rozliczany jest w formie delegacji lub na zasadach określonych w wewnętrznym regulaminie opartym o przepisy prawa powszechnie obowiązującego</w:t>
            </w:r>
          </w:p>
        </w:tc>
      </w:tr>
      <w:tr w:rsidR="004C14FA" w:rsidRPr="00B126E8" w14:paraId="545DFFE4" w14:textId="77777777" w:rsidTr="00045E52">
        <w:tc>
          <w:tcPr>
            <w:tcW w:w="562" w:type="dxa"/>
          </w:tcPr>
          <w:p w14:paraId="0227561E" w14:textId="77777777" w:rsidR="004C14FA" w:rsidRPr="00C149E1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C149E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7" w:type="dxa"/>
          </w:tcPr>
          <w:p w14:paraId="3A1F5E9E" w14:textId="77777777" w:rsidR="004C14FA" w:rsidRPr="00B126E8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690D99">
              <w:rPr>
                <w:rFonts w:cstheme="minorHAnsi"/>
                <w:b/>
                <w:bCs/>
              </w:rPr>
              <w:t>wynajem sal szkoleniowych</w:t>
            </w:r>
          </w:p>
        </w:tc>
        <w:tc>
          <w:tcPr>
            <w:tcW w:w="5528" w:type="dxa"/>
          </w:tcPr>
          <w:p w14:paraId="607DA333" w14:textId="77777777" w:rsidR="004C14FA" w:rsidRPr="007D3B0A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7D3B0A">
              <w:t>wydatek kwalifikowalny, o ile jest to uzasadnione specyfiką realizowanego projektu oraz potrzebami grupy docelowej;</w:t>
            </w:r>
          </w:p>
          <w:p w14:paraId="4EEAB72A" w14:textId="77777777" w:rsidR="004C14FA" w:rsidRPr="007D3B0A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>
              <w:t>s</w:t>
            </w:r>
            <w:r w:rsidRPr="007D3B0A">
              <w:t>ala zajęciowa powinna mieścić do 30 osób z zapewnieniem odpowiednich warunków socjalnych i bhp;</w:t>
            </w:r>
          </w:p>
          <w:p w14:paraId="1D81A5B8" w14:textId="77777777" w:rsidR="004C14FA" w:rsidRPr="007D3B0A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7D3B0A">
              <w:t>obejmuje koszt wynajmu sali wyposażonej, zgodnie z potrzebami projektu, m.in. w stoły, krzesła, rzutnik multimedialny z ekranem, komputer, tablice flipchart lub tablice suchościeralne, bezprzewodowy dostęp do Internetu oraz koszty utrzymania sali, w tym energii elektrycznej;</w:t>
            </w:r>
          </w:p>
          <w:p w14:paraId="11BF470F" w14:textId="77777777" w:rsidR="004C14FA" w:rsidRPr="007D3B0A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7D3B0A">
              <w:t>wydatek kwalifikowalny, o ile sala oraz budynek, w którym się ona znajduje, zapewnia dostęp dla osób z niepełnosprawnością ruchową (tj. dostosowanie architektoniczne)</w:t>
            </w:r>
          </w:p>
          <w:p w14:paraId="7215BB4D" w14:textId="77777777" w:rsidR="004C14FA" w:rsidRPr="00DE1DDE" w:rsidRDefault="004C14FA" w:rsidP="00A2586E">
            <w:pPr>
              <w:pStyle w:val="Akapitzlist"/>
              <w:numPr>
                <w:ilvl w:val="0"/>
                <w:numId w:val="17"/>
              </w:numPr>
              <w:spacing w:before="120" w:after="120"/>
              <w:ind w:left="357" w:hanging="357"/>
              <w:contextualSpacing w:val="0"/>
              <w:jc w:val="both"/>
              <w:rPr>
                <w:rFonts w:cstheme="minorHAnsi"/>
              </w:rPr>
            </w:pPr>
            <w:r w:rsidRPr="007D3B0A">
              <w:t>nie dotyczy udostępniania sal szkoleniowych</w:t>
            </w:r>
            <w:r>
              <w:t>,</w:t>
            </w:r>
            <w:r w:rsidRPr="007D3B0A">
              <w:t xml:space="preserve"> jako wkład własny w projekcie</w:t>
            </w:r>
          </w:p>
        </w:tc>
        <w:tc>
          <w:tcPr>
            <w:tcW w:w="1984" w:type="dxa"/>
            <w:vAlign w:val="center"/>
          </w:tcPr>
          <w:p w14:paraId="46BF634C" w14:textId="77777777" w:rsidR="004C14FA" w:rsidRPr="00690D99" w:rsidRDefault="004C14FA" w:rsidP="00A2586E">
            <w:pPr>
              <w:jc w:val="center"/>
            </w:pPr>
            <w:r>
              <w:t>75 PLN/</w:t>
            </w:r>
            <w:r w:rsidRPr="007D3B0A">
              <w:t>godz</w:t>
            </w:r>
            <w:r>
              <w:t xml:space="preserve">. </w:t>
            </w:r>
            <w:r w:rsidRPr="007D3B0A">
              <w:t>zegarową szkolenia</w:t>
            </w:r>
          </w:p>
        </w:tc>
        <w:tc>
          <w:tcPr>
            <w:tcW w:w="3793" w:type="dxa"/>
          </w:tcPr>
          <w:p w14:paraId="37512ADC" w14:textId="77777777" w:rsidR="004C14FA" w:rsidRPr="007D3B0A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7D3B0A">
              <w:t>cena dotyczy też wynajmu sali na</w:t>
            </w:r>
            <w:r>
              <w:t xml:space="preserve"> </w:t>
            </w:r>
            <w:r w:rsidRPr="007D3B0A">
              <w:t>różnego typu spotkania, o ile ich</w:t>
            </w:r>
            <w:r>
              <w:t xml:space="preserve"> </w:t>
            </w:r>
            <w:r w:rsidRPr="007D3B0A">
              <w:t>realizacja jest niezbędna i wynika</w:t>
            </w:r>
            <w:r>
              <w:t xml:space="preserve"> </w:t>
            </w:r>
            <w:r w:rsidRPr="007D3B0A">
              <w:t>z celu realizacji projektu, zaś cena</w:t>
            </w:r>
            <w:r>
              <w:t xml:space="preserve"> </w:t>
            </w:r>
            <w:r w:rsidRPr="007D3B0A">
              <w:t>powinna być niższa, jeśli koszt nie</w:t>
            </w:r>
            <w:r>
              <w:t xml:space="preserve"> </w:t>
            </w:r>
            <w:r w:rsidRPr="007D3B0A">
              <w:t>obejmuje wyposażenia określonego jak dla wynajmu sali szkoleniowej;</w:t>
            </w:r>
          </w:p>
          <w:p w14:paraId="3FE60201" w14:textId="77777777" w:rsidR="004C14FA" w:rsidRPr="007D3B0A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7D3B0A">
              <w:t>cena obejmuje wynajem krótkoterminowy (w przypadku</w:t>
            </w:r>
            <w:r>
              <w:t xml:space="preserve"> </w:t>
            </w:r>
            <w:r w:rsidRPr="007D3B0A">
              <w:t>wynajmu sal szkoleniowych na okres dłuższy niż 80 godzin zegarowych cena powinna być niższa);</w:t>
            </w:r>
          </w:p>
          <w:p w14:paraId="75E7B029" w14:textId="77777777" w:rsidR="004C14FA" w:rsidRPr="00B126E8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  <w:rPr>
                <w:rFonts w:cstheme="minorHAnsi"/>
              </w:rPr>
            </w:pPr>
            <w:r w:rsidRPr="007D3B0A">
              <w:t>cena nie dotyczy wynajmu</w:t>
            </w:r>
            <w:r>
              <w:t xml:space="preserve"> </w:t>
            </w:r>
            <w:r w:rsidRPr="007D3B0A">
              <w:t>specjalistycznych sal szkoleniowych, np. sal komputerowych, laboratoriów lub sal wyposażonych w sprzęt</w:t>
            </w:r>
            <w:r>
              <w:t xml:space="preserve"> </w:t>
            </w:r>
            <w:r w:rsidRPr="007D3B0A">
              <w:t>specjalistyczny umożliwiający  udział we wsparciu osób z innymi rodzajami niepełnosprawności niż niepełnosprawność ruchowa (np. sala z pętlą indukcyjną)</w:t>
            </w:r>
          </w:p>
        </w:tc>
      </w:tr>
      <w:tr w:rsidR="004C14FA" w:rsidRPr="003D33C4" w14:paraId="43C5862D" w14:textId="77777777" w:rsidTr="00045E52">
        <w:tc>
          <w:tcPr>
            <w:tcW w:w="562" w:type="dxa"/>
          </w:tcPr>
          <w:p w14:paraId="352EB65B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2127" w:type="dxa"/>
          </w:tcPr>
          <w:p w14:paraId="5C168372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681F97">
              <w:rPr>
                <w:rFonts w:cstheme="minorHAnsi"/>
                <w:b/>
                <w:bCs/>
              </w:rPr>
              <w:t>wynajem sali na spotkania indywidualne</w:t>
            </w:r>
          </w:p>
        </w:tc>
        <w:tc>
          <w:tcPr>
            <w:tcW w:w="5528" w:type="dxa"/>
          </w:tcPr>
          <w:p w14:paraId="66BD83B4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>wydatek kwalifikowalny, o ile jest to uzasadnione specyfiką realizowanego projektu oraz potrzebami grupy docelowej</w:t>
            </w:r>
          </w:p>
          <w:p w14:paraId="0F7281AF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obejmuje koszt wynajmu sali wyposażonej, zgodnie z potrzebami projektu, m.in. w stoły, krzesła, tablice flipchart lub tablice suchościeralne, bezprzewodowy dostęp do Internetu oraz koszty utrzymania sali, w tym energii elektrycznej </w:t>
            </w:r>
          </w:p>
          <w:p w14:paraId="36E5E2A1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>wydatek kwalifikowalny, o ile sala oraz budynek, w którym się ona znajduje, zapewnia dostęp dla osób z niepełnosprawnością ruchową (tj. dostosowanie architektoniczne), przy czym obowiązek ten nie dotyczy udostępniania sal na spotkania indywidualne jako wkład własny w projekcie</w:t>
            </w:r>
          </w:p>
          <w:p w14:paraId="2C33FBFA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>
              <w:t>s</w:t>
            </w:r>
            <w:r w:rsidRPr="007D3B0A">
              <w:t xml:space="preserve">ala zajęciowa powinna mieścić do </w:t>
            </w:r>
            <w:r>
              <w:t>1</w:t>
            </w:r>
            <w:r w:rsidRPr="007D3B0A">
              <w:t>0 osób z zapewnieniem odpowiednich warunków socjalnych i bhp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61567637" w14:textId="77777777" w:rsidR="004C14FA" w:rsidRPr="00681F97" w:rsidRDefault="004C14FA" w:rsidP="00A2586E">
            <w:pPr>
              <w:jc w:val="center"/>
            </w:pPr>
            <w:r w:rsidRPr="00681F97">
              <w:t xml:space="preserve">40 PLN/ </w:t>
            </w:r>
            <w:r>
              <w:t>godz.</w:t>
            </w:r>
            <w:r w:rsidRPr="00681F97">
              <w:t xml:space="preserve"> zegarową </w:t>
            </w:r>
            <w:r>
              <w:t>s</w:t>
            </w:r>
            <w:r w:rsidRPr="00681F97">
              <w:t>potkania</w:t>
            </w:r>
          </w:p>
          <w:p w14:paraId="4D02185C" w14:textId="77777777" w:rsidR="004C14FA" w:rsidRPr="00681F97" w:rsidRDefault="004C14FA" w:rsidP="00A2586E">
            <w:pPr>
              <w:jc w:val="center"/>
            </w:pPr>
          </w:p>
        </w:tc>
        <w:tc>
          <w:tcPr>
            <w:tcW w:w="3793" w:type="dxa"/>
          </w:tcPr>
          <w:p w14:paraId="646D6F57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 xml:space="preserve">cena obejmuje wynajem krótkoterminowy (w przypadku wynajmu sal na okres dłuższy niż 80 godzin zegarowych cena powinna być niższa) </w:t>
            </w:r>
          </w:p>
          <w:p w14:paraId="5555485A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>cena nie dotyczy wynajmu sal wyposażonych w sprzęt specjalistyczny umożliwiający udział we wsparciu osób z innymi rodzajami niepełnosprawności niż niepełnosprawność ruchowa (np. sala z pętlą indukcyjną)</w:t>
            </w:r>
            <w:r>
              <w:t>.</w:t>
            </w:r>
          </w:p>
        </w:tc>
      </w:tr>
      <w:tr w:rsidR="004C14FA" w:rsidRPr="003D33C4" w14:paraId="708C6150" w14:textId="77777777" w:rsidTr="00045E52">
        <w:tc>
          <w:tcPr>
            <w:tcW w:w="562" w:type="dxa"/>
          </w:tcPr>
          <w:p w14:paraId="0BB95241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2127" w:type="dxa"/>
          </w:tcPr>
          <w:p w14:paraId="5F953C49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681F97">
              <w:rPr>
                <w:rFonts w:cstheme="minorHAnsi"/>
                <w:b/>
                <w:bCs/>
              </w:rPr>
              <w:t>wynajem sali komputerowej</w:t>
            </w:r>
          </w:p>
        </w:tc>
        <w:tc>
          <w:tcPr>
            <w:tcW w:w="5528" w:type="dxa"/>
          </w:tcPr>
          <w:p w14:paraId="7B36B0F4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wydatek kwalifikowalny, o ile jest to uzasadnione specyfiką realizowanego projektu </w:t>
            </w:r>
          </w:p>
          <w:p w14:paraId="7C2F8B2E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obejmuje koszt wynajmu sali wyposażonej, zgodnie z potrzebami projektu, m.in. w stoły, krzesła, rzutnik multimedialny z ekranem, min. 12 stanowisk komputerowych, tablice flipchart lub tablice suchościeralne, bezprzewodowy dostęp do Internetu oraz koszty utrzymania sali, w tym energii elektrycznej </w:t>
            </w:r>
          </w:p>
          <w:p w14:paraId="46FB5E5E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>wydatek kwalifikowalny, o ile sala oraz budynek, w którym się ona znajduje, zapewnia dostęp dla osób z niepełnosprawnością ruchową (tj. dostosowanie architektoniczne), przy czym obowiązek ten nie dotyczy udostępniania sal jako wkład własny w projekcie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34602353" w14:textId="77777777" w:rsidR="004C14FA" w:rsidRPr="00681F97" w:rsidRDefault="004C14FA" w:rsidP="00A2586E">
            <w:pPr>
              <w:jc w:val="center"/>
            </w:pPr>
            <w:r w:rsidRPr="00681F97">
              <w:t xml:space="preserve">70 PLN/ </w:t>
            </w:r>
            <w:r>
              <w:t>godz.</w:t>
            </w:r>
            <w:r w:rsidRPr="00681F97">
              <w:t xml:space="preserve"> zegarową szkolenia</w:t>
            </w:r>
          </w:p>
          <w:p w14:paraId="6738058F" w14:textId="77777777" w:rsidR="004C14FA" w:rsidRPr="00681F97" w:rsidRDefault="004C14FA" w:rsidP="00A2586E">
            <w:pPr>
              <w:jc w:val="center"/>
            </w:pPr>
          </w:p>
        </w:tc>
        <w:tc>
          <w:tcPr>
            <w:tcW w:w="3793" w:type="dxa"/>
          </w:tcPr>
          <w:p w14:paraId="6B3A3A0E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>cena dotyczy wynajmu sali na szkolenia specjalistyczne wymagające określonego typu sprzętu, min. 12 stanowisk komputerowych (cena powinna być niższa, jeśli koszt obejmuje mniejszą liczbę stanowisk komputerowych)</w:t>
            </w:r>
          </w:p>
          <w:p w14:paraId="33D215A3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 xml:space="preserve">cena obejmuje wynajem krótkoterminowy (w przypadku wynajmu sal na okres dłuższy niż 80 godzin zegarowych cena powinna być niższa) </w:t>
            </w:r>
          </w:p>
          <w:p w14:paraId="1D94CD15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>cena nie dotyczy wynajmu sal wyposażonych w sprzęt specjalistyczny umożliwiający udział we wsparciu osób z innymi rodzajami niepełnosprawności niż niepełnosprawność ruchowa (np. sala z pętlą indukcyjną)</w:t>
            </w:r>
          </w:p>
        </w:tc>
      </w:tr>
      <w:tr w:rsidR="004C14FA" w:rsidRPr="003D33C4" w14:paraId="2D2C9DE7" w14:textId="77777777" w:rsidTr="00045E52">
        <w:tc>
          <w:tcPr>
            <w:tcW w:w="562" w:type="dxa"/>
          </w:tcPr>
          <w:p w14:paraId="547E2D3A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2127" w:type="dxa"/>
          </w:tcPr>
          <w:p w14:paraId="0799EAF5" w14:textId="77777777" w:rsidR="004C14FA" w:rsidRPr="00681F97" w:rsidRDefault="004C14FA" w:rsidP="00F66EE5">
            <w:pPr>
              <w:spacing w:before="120"/>
              <w:jc w:val="center"/>
              <w:rPr>
                <w:b/>
              </w:rPr>
            </w:pPr>
            <w:r w:rsidRPr="00681F97">
              <w:rPr>
                <w:b/>
              </w:rPr>
              <w:t>zakup materi</w:t>
            </w:r>
            <w:r>
              <w:rPr>
                <w:b/>
              </w:rPr>
              <w:t>ałów biurowych dla uczestników zajęć</w:t>
            </w:r>
          </w:p>
        </w:tc>
        <w:tc>
          <w:tcPr>
            <w:tcW w:w="5528" w:type="dxa"/>
          </w:tcPr>
          <w:p w14:paraId="36D76729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>wydatek kwalifikowalny, o ile jest to uzasadnione specyfiką realizowanego projektu</w:t>
            </w:r>
          </w:p>
          <w:p w14:paraId="009D658B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wydatek kwalifikowalny, o ile przewidziane są </w:t>
            </w:r>
            <w:r w:rsidRPr="00681F97">
              <w:br/>
              <w:t>w ramach realizowanego projektu szkolenia/warsztaty/doradztwo</w:t>
            </w:r>
          </w:p>
          <w:p w14:paraId="314D2A36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>obejmuje zestaw składający się z teczki, notesu, długopisu lub zestawu z dodatkowym pendrive, co dotyczy tylko dużej ilości materiałów szkoleniowych nagrywanych na pendrive, zamiast wydruku tych materiałów</w:t>
            </w:r>
          </w:p>
        </w:tc>
        <w:tc>
          <w:tcPr>
            <w:tcW w:w="1984" w:type="dxa"/>
          </w:tcPr>
          <w:p w14:paraId="7859339B" w14:textId="77777777" w:rsidR="004C14FA" w:rsidRPr="00681F97" w:rsidRDefault="004C14FA" w:rsidP="00A2586E">
            <w:pPr>
              <w:jc w:val="center"/>
            </w:pPr>
          </w:p>
          <w:p w14:paraId="111DAC6C" w14:textId="77777777" w:rsidR="004C14FA" w:rsidRPr="00681F97" w:rsidRDefault="004C14FA" w:rsidP="00A2586E">
            <w:pPr>
              <w:jc w:val="center"/>
            </w:pPr>
            <w:r w:rsidRPr="00681F97">
              <w:t xml:space="preserve">9 PLN/zestaw </w:t>
            </w:r>
            <w:r>
              <w:br/>
            </w:r>
            <w:r w:rsidRPr="00681F97">
              <w:t>bez pendrive</w:t>
            </w:r>
          </w:p>
          <w:p w14:paraId="3A6C64B4" w14:textId="77777777" w:rsidR="004C14FA" w:rsidRPr="00681F97" w:rsidRDefault="004C14FA" w:rsidP="00A2586E">
            <w:pPr>
              <w:jc w:val="center"/>
            </w:pPr>
            <w:r w:rsidRPr="00681F97">
              <w:t>lub</w:t>
            </w:r>
          </w:p>
          <w:p w14:paraId="6B603371" w14:textId="3BE7C337" w:rsidR="004C14FA" w:rsidRPr="00681F97" w:rsidRDefault="004C14FA" w:rsidP="00A2586E">
            <w:pPr>
              <w:jc w:val="center"/>
            </w:pPr>
            <w:r w:rsidRPr="00681F97">
              <w:t xml:space="preserve">24 zł/zestaw </w:t>
            </w:r>
            <w:r w:rsidR="00045E52">
              <w:br/>
            </w:r>
            <w:r w:rsidRPr="00681F97">
              <w:t>z pendrivem</w:t>
            </w:r>
          </w:p>
          <w:p w14:paraId="64A25F06" w14:textId="77777777" w:rsidR="004C14FA" w:rsidRPr="00681F97" w:rsidRDefault="004C14FA" w:rsidP="00A2586E">
            <w:pPr>
              <w:jc w:val="center"/>
            </w:pPr>
          </w:p>
        </w:tc>
        <w:tc>
          <w:tcPr>
            <w:tcW w:w="3793" w:type="dxa"/>
          </w:tcPr>
          <w:p w14:paraId="44245573" w14:textId="77777777" w:rsidR="004C14FA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>cena rynkowa powinna być uzależniona od  rodzaju oferowanej usługi i jest niższa, jeśli finansowany jest mniejszy zakres usługi (np. notes i długopis)</w:t>
            </w:r>
          </w:p>
          <w:p w14:paraId="40EF08AD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>cena nie obejmuje kosztu logotypów (objęte są kosztami pośrednimi)</w:t>
            </w:r>
          </w:p>
        </w:tc>
      </w:tr>
      <w:tr w:rsidR="004C14FA" w:rsidRPr="00B126E8" w14:paraId="51C0628E" w14:textId="77777777" w:rsidTr="00045E52">
        <w:tc>
          <w:tcPr>
            <w:tcW w:w="562" w:type="dxa"/>
          </w:tcPr>
          <w:p w14:paraId="23B28495" w14:textId="77777777" w:rsidR="004C14FA" w:rsidRPr="00C149E1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</w:t>
            </w:r>
            <w:r w:rsidRPr="00C149E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7" w:type="dxa"/>
          </w:tcPr>
          <w:p w14:paraId="1294FD8E" w14:textId="77777777" w:rsidR="004C14FA" w:rsidRPr="007D3B0A" w:rsidRDefault="004C14FA" w:rsidP="00F66E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7D3B0A">
              <w:rPr>
                <w:b/>
              </w:rPr>
              <w:t>oszty niezbędnych materiałów zużywalnych</w:t>
            </w:r>
          </w:p>
          <w:p w14:paraId="78CFF79D" w14:textId="77777777" w:rsidR="004C14FA" w:rsidRPr="00D739D5" w:rsidRDefault="004C14FA" w:rsidP="00F66EE5">
            <w:pPr>
              <w:spacing w:before="120" w:after="120"/>
              <w:jc w:val="center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5528" w:type="dxa"/>
          </w:tcPr>
          <w:p w14:paraId="5D5B49BB" w14:textId="77777777" w:rsidR="004C14FA" w:rsidRPr="007D3B0A" w:rsidRDefault="004C14FA" w:rsidP="00A2586E">
            <w:pPr>
              <w:spacing w:before="120" w:after="120"/>
            </w:pPr>
            <w:r w:rsidRPr="007D3B0A">
              <w:t xml:space="preserve">IOK dopuszcza możliwość finansowania materiałów zużywalnych tj. materiałów ulegających całkowitemu zużyciu, wyczerpaniu lub degradacji w wyniku normalnej eksploatacji w czasie realizacji zajęć (np. odczynniki chemiczne), w przypadku, gdy brak ich finansowania w projekcie skutkowałby zubożeniem praktycznego wymiaru zajęć. Powinny to być jednak wyłącznie materiały w ilości/liczbie niezbędnej i ściśle powiązanej z programem zajęć na podstawie przedstawionej we wniosku analizy potrzeb w tym zakresie. </w:t>
            </w:r>
          </w:p>
          <w:p w14:paraId="122862FA" w14:textId="77777777" w:rsidR="004C14FA" w:rsidRPr="007D3B0A" w:rsidRDefault="004C14FA" w:rsidP="00A2586E">
            <w:pPr>
              <w:spacing w:before="120" w:after="120"/>
            </w:pPr>
            <w:r w:rsidRPr="007D3B0A">
              <w:rPr>
                <w:u w:val="single"/>
              </w:rPr>
              <w:t>Nie mogą tu być uwzględnione środki trwałe</w:t>
            </w:r>
            <w:r w:rsidRPr="007D3B0A">
              <w:t xml:space="preserve"> (komputer, laptop, drukarka, skaner, rzutnik multimedialny itp.) </w:t>
            </w:r>
            <w:r w:rsidRPr="007D3B0A">
              <w:rPr>
                <w:u w:val="single"/>
              </w:rPr>
              <w:t>niezależnie od ich wartości, ani inne rzeczowe składniki majątku, których przewidywany okres użytkowania jest dłuższy niż okres realizacji zajęć.</w:t>
            </w:r>
            <w:r w:rsidRPr="007D3B0A">
              <w:t xml:space="preserve"> </w:t>
            </w:r>
          </w:p>
          <w:p w14:paraId="3269D4B5" w14:textId="77777777" w:rsidR="004C14FA" w:rsidRPr="007D3B0A" w:rsidRDefault="004C14FA" w:rsidP="00A2586E">
            <w:pPr>
              <w:spacing w:before="120" w:after="120"/>
            </w:pPr>
            <w:r w:rsidRPr="007D3B0A">
              <w:t xml:space="preserve">Wnioskodawca w uzasadnieniu pod budżetem projektu powinien wskazać szczegółowo rodzaj materiałów zużywalnych i ich szacunkową ilość/liczbę.   </w:t>
            </w:r>
          </w:p>
          <w:p w14:paraId="2111ECF6" w14:textId="77777777" w:rsidR="004C14FA" w:rsidRPr="006011E6" w:rsidRDefault="004C14FA" w:rsidP="00A2586E">
            <w:pPr>
              <w:spacing w:before="120" w:after="120"/>
              <w:rPr>
                <w:rFonts w:cstheme="minorHAnsi"/>
              </w:rPr>
            </w:pPr>
            <w:r w:rsidRPr="007D3B0A">
              <w:t>Fakt wykorzystania materiałów zużywalnych powinien być udokumentowany np. w dzienniku zajęć. Zakup materiałów zużywalnych powinien b</w:t>
            </w:r>
            <w:r>
              <w:t>yć udokumentowany (np. faktura)</w:t>
            </w:r>
            <w:r w:rsidRPr="007D3B0A">
              <w:t xml:space="preserve">. Oprócz zakupu możliwe jest wykorzystanie materiałów zużywalnych </w:t>
            </w:r>
            <w:r>
              <w:t>będących w dyspozycji podmiotu</w:t>
            </w:r>
            <w:r w:rsidRPr="007D3B0A">
              <w:t>/beneficjenta – w takim przypadku wnioskodawca powinien ująć te koszty w budżecie projektu wyłącznie jako wkład własny rzeczowy.</w:t>
            </w:r>
          </w:p>
        </w:tc>
        <w:tc>
          <w:tcPr>
            <w:tcW w:w="1984" w:type="dxa"/>
            <w:vAlign w:val="center"/>
          </w:tcPr>
          <w:p w14:paraId="47BC5E9A" w14:textId="77777777" w:rsidR="004C14FA" w:rsidRPr="00B126E8" w:rsidRDefault="004C14FA" w:rsidP="00A2586E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3793" w:type="dxa"/>
          </w:tcPr>
          <w:p w14:paraId="20860D7E" w14:textId="77777777" w:rsidR="004C14FA" w:rsidRPr="00B126E8" w:rsidRDefault="004C14FA" w:rsidP="00A2586E">
            <w:pPr>
              <w:spacing w:before="120" w:after="120"/>
              <w:rPr>
                <w:rFonts w:cstheme="minorHAnsi"/>
              </w:rPr>
            </w:pPr>
            <w:r w:rsidRPr="007D3B0A">
              <w:t xml:space="preserve">Wnioskodawca powinien przeprowadzić na etapie konstruowania budżetu projektu </w:t>
            </w:r>
            <w:r>
              <w:t>porównanie cen rynkowych</w:t>
            </w:r>
            <w:r w:rsidRPr="007D3B0A">
              <w:t xml:space="preserve"> uzasadniające racjonalność i efektywność przyjętej kwoty kosztów materiałów zużywalnych. </w:t>
            </w:r>
          </w:p>
        </w:tc>
      </w:tr>
      <w:tr w:rsidR="004C14FA" w:rsidRPr="00B126E8" w14:paraId="09E7FEC4" w14:textId="77777777" w:rsidTr="00045E52">
        <w:tc>
          <w:tcPr>
            <w:tcW w:w="562" w:type="dxa"/>
          </w:tcPr>
          <w:p w14:paraId="5C91BBE0" w14:textId="77777777" w:rsidR="004C14FA" w:rsidRPr="00C149E1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Pr="00C149E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7" w:type="dxa"/>
          </w:tcPr>
          <w:p w14:paraId="5DE1557E" w14:textId="77777777" w:rsidR="004C14FA" w:rsidRPr="00D739D5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  <w:i/>
              </w:rPr>
            </w:pPr>
            <w:r w:rsidRPr="007D3B0A">
              <w:rPr>
                <w:b/>
              </w:rPr>
              <w:t>Ubezpieczenie NNW</w:t>
            </w:r>
          </w:p>
        </w:tc>
        <w:tc>
          <w:tcPr>
            <w:tcW w:w="5528" w:type="dxa"/>
          </w:tcPr>
          <w:p w14:paraId="2899A9CD" w14:textId="77777777" w:rsidR="004C14FA" w:rsidRPr="007D3B0A" w:rsidRDefault="004C14FA" w:rsidP="00F66EE5">
            <w:pPr>
              <w:spacing w:before="120"/>
            </w:pPr>
            <w:r w:rsidRPr="007D3B0A">
              <w:t xml:space="preserve">Zakres ubezpieczenia określa wnioskodawca, także w zależności od uregulowań obowiązujących </w:t>
            </w:r>
            <w:r w:rsidRPr="007D3B0A">
              <w:br/>
              <w:t>w podmiocie przyjmującym uczestników.</w:t>
            </w:r>
          </w:p>
          <w:p w14:paraId="2A13EDF3" w14:textId="5C8394CA" w:rsidR="004C14FA" w:rsidRPr="007D3B0A" w:rsidRDefault="004C14FA" w:rsidP="00F66EE5">
            <w:pPr>
              <w:spacing w:before="120"/>
            </w:pPr>
            <w:r w:rsidRPr="007D3B0A">
              <w:t xml:space="preserve">Koszty związane z wykupieniem polisy ubezpieczeniowej NNW (od następstw nieszczęśliwych wypadków) dla uczestników są kosztem kwalifikowalnym za cały okres trwania </w:t>
            </w:r>
            <w:r>
              <w:t>wsparcia</w:t>
            </w:r>
            <w:r w:rsidRPr="007D3B0A">
              <w:t xml:space="preserve">, łącznie z dojazdem i powrotem. Ubezpieczenie obejmuje wyłącznie zdarzenia zaistniałe </w:t>
            </w:r>
            <w:r w:rsidR="00045E52">
              <w:br/>
            </w:r>
            <w:r w:rsidRPr="007D3B0A">
              <w:t xml:space="preserve">w Polsce. </w:t>
            </w:r>
          </w:p>
          <w:p w14:paraId="599C39E6" w14:textId="00E50E52" w:rsidR="004C14FA" w:rsidRPr="006011E6" w:rsidRDefault="004C14FA" w:rsidP="00F66EE5">
            <w:pPr>
              <w:spacing w:before="120" w:after="120"/>
              <w:rPr>
                <w:rFonts w:cstheme="minorHAnsi"/>
              </w:rPr>
            </w:pPr>
            <w:r w:rsidRPr="007D3B0A">
              <w:t xml:space="preserve">Koszty i standardy ubezpieczenia muszą być porównywalne do tego rodzaju usług dostępnych na rynku komercyjnym. </w:t>
            </w:r>
            <w:r w:rsidR="00045E52">
              <w:br/>
            </w:r>
            <w:r w:rsidRPr="007D3B0A">
              <w:t>W przypadku, jeśli możliwe będzie ubezpieczenie grupowe uczestników, IOK rekomenduje zastosowanie takiego rozwiązania, jeśli będzie ono rozwiązaniem tańszym niż indywidualne ubezpieczenie.</w:t>
            </w:r>
          </w:p>
        </w:tc>
        <w:tc>
          <w:tcPr>
            <w:tcW w:w="1984" w:type="dxa"/>
            <w:vAlign w:val="center"/>
          </w:tcPr>
          <w:p w14:paraId="5966165A" w14:textId="77777777" w:rsidR="004C14FA" w:rsidRPr="00B126E8" w:rsidRDefault="004C14FA" w:rsidP="00A2586E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3793" w:type="dxa"/>
          </w:tcPr>
          <w:p w14:paraId="3C7466D1" w14:textId="77777777" w:rsidR="004C14FA" w:rsidRPr="007D3B0A" w:rsidRDefault="004C14FA" w:rsidP="00F66EE5">
            <w:pPr>
              <w:spacing w:before="120"/>
            </w:pPr>
            <w:r w:rsidRPr="007D3B0A">
              <w:t xml:space="preserve">Wnioskodawca winien przeprowadzić na etapie konstruowania budżetu projektu </w:t>
            </w:r>
            <w:r>
              <w:t>porównanie cen rynkowych</w:t>
            </w:r>
            <w:r w:rsidRPr="007D3B0A">
              <w:t xml:space="preserve"> uzasadniające racjonalność i efektywność przyjętej kwoty.</w:t>
            </w:r>
          </w:p>
          <w:p w14:paraId="58993DE2" w14:textId="77777777" w:rsidR="004C14FA" w:rsidRPr="00B126E8" w:rsidRDefault="004C14FA" w:rsidP="00F66EE5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24253B0E" w14:textId="546C45B4" w:rsidR="007D0C39" w:rsidRPr="007D0C39" w:rsidRDefault="00707290" w:rsidP="00F1468C">
      <w:pPr>
        <w:spacing w:before="240"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W przypadku gdy Wnioskodawca przewiduje we wniosku stawkę wyższą od powyżej wskazanych lub też inne koszty, należy ten fakt uzasadnić pod budżetem szczegółowym.</w:t>
      </w:r>
    </w:p>
    <w:sectPr w:rsidR="007D0C39" w:rsidRPr="007D0C39" w:rsidSect="00B30198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2CA1" w14:textId="77777777" w:rsidR="00007100" w:rsidRDefault="00007100" w:rsidP="00B126E8">
      <w:pPr>
        <w:spacing w:after="0" w:line="240" w:lineRule="auto"/>
      </w:pPr>
      <w:r>
        <w:separator/>
      </w:r>
    </w:p>
  </w:endnote>
  <w:endnote w:type="continuationSeparator" w:id="0">
    <w:p w14:paraId="028FA4F9" w14:textId="77777777" w:rsidR="00007100" w:rsidRDefault="00007100" w:rsidP="00B1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67"/>
      <w:docPartObj>
        <w:docPartGallery w:val="Page Numbers (Bottom of Page)"/>
        <w:docPartUnique/>
      </w:docPartObj>
    </w:sdtPr>
    <w:sdtEndPr/>
    <w:sdtContent>
      <w:p w14:paraId="354F95F5" w14:textId="6498FFE0" w:rsidR="006011E6" w:rsidRDefault="006011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1B4">
          <w:rPr>
            <w:noProof/>
          </w:rPr>
          <w:t>1</w:t>
        </w:r>
        <w:r>
          <w:fldChar w:fldCharType="end"/>
        </w:r>
      </w:p>
    </w:sdtContent>
  </w:sdt>
  <w:p w14:paraId="2048F272" w14:textId="77777777" w:rsidR="006011E6" w:rsidRDefault="0060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F0A6" w14:textId="77777777" w:rsidR="00007100" w:rsidRDefault="00007100" w:rsidP="00B126E8">
      <w:pPr>
        <w:spacing w:after="0" w:line="240" w:lineRule="auto"/>
      </w:pPr>
      <w:r>
        <w:separator/>
      </w:r>
    </w:p>
  </w:footnote>
  <w:footnote w:type="continuationSeparator" w:id="0">
    <w:p w14:paraId="21E090E4" w14:textId="77777777" w:rsidR="00007100" w:rsidRDefault="00007100" w:rsidP="00B1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D97"/>
    <w:multiLevelType w:val="multilevel"/>
    <w:tmpl w:val="3B24534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MS Mincho" w:hAnsi="Helvetica" w:cs="Helvetic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6AA8"/>
    <w:multiLevelType w:val="multilevel"/>
    <w:tmpl w:val="11AA1C94"/>
    <w:lvl w:ilvl="0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81BD6"/>
    <w:multiLevelType w:val="hybridMultilevel"/>
    <w:tmpl w:val="140C5D82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27EC5"/>
    <w:multiLevelType w:val="hybridMultilevel"/>
    <w:tmpl w:val="62E66B10"/>
    <w:lvl w:ilvl="0" w:tplc="E6C4A0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305"/>
    <w:multiLevelType w:val="hybridMultilevel"/>
    <w:tmpl w:val="D1C28EDC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D0151"/>
    <w:multiLevelType w:val="hybridMultilevel"/>
    <w:tmpl w:val="6C7C618E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81700"/>
    <w:multiLevelType w:val="hybridMultilevel"/>
    <w:tmpl w:val="1518970C"/>
    <w:lvl w:ilvl="0" w:tplc="0415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BA40BBC"/>
    <w:multiLevelType w:val="hybridMultilevel"/>
    <w:tmpl w:val="BBFAF0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348E5"/>
    <w:multiLevelType w:val="hybridMultilevel"/>
    <w:tmpl w:val="81925034"/>
    <w:lvl w:ilvl="0" w:tplc="2714745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2941577E"/>
    <w:multiLevelType w:val="hybridMultilevel"/>
    <w:tmpl w:val="AC8C1824"/>
    <w:lvl w:ilvl="0" w:tplc="9B0EFDBA">
      <w:start w:val="2"/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211A6"/>
    <w:multiLevelType w:val="hybridMultilevel"/>
    <w:tmpl w:val="A54AB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51B1"/>
    <w:multiLevelType w:val="hybridMultilevel"/>
    <w:tmpl w:val="8C9010B2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E4120"/>
    <w:multiLevelType w:val="hybridMultilevel"/>
    <w:tmpl w:val="5A90BBE0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424A72"/>
    <w:multiLevelType w:val="multilevel"/>
    <w:tmpl w:val="9418DCD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53D3A"/>
    <w:multiLevelType w:val="hybridMultilevel"/>
    <w:tmpl w:val="6CB4CE32"/>
    <w:lvl w:ilvl="0" w:tplc="43C08A2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3A7854C6"/>
    <w:multiLevelType w:val="hybridMultilevel"/>
    <w:tmpl w:val="0B26195A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075BD"/>
    <w:multiLevelType w:val="hybridMultilevel"/>
    <w:tmpl w:val="78F0056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755D3"/>
    <w:multiLevelType w:val="hybridMultilevel"/>
    <w:tmpl w:val="8F122262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10B0"/>
    <w:multiLevelType w:val="hybridMultilevel"/>
    <w:tmpl w:val="EB8AA264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E141E"/>
    <w:multiLevelType w:val="hybridMultilevel"/>
    <w:tmpl w:val="06F4281A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73195"/>
    <w:multiLevelType w:val="hybridMultilevel"/>
    <w:tmpl w:val="B3BCE954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BF5774"/>
    <w:multiLevelType w:val="hybridMultilevel"/>
    <w:tmpl w:val="27707504"/>
    <w:lvl w:ilvl="0" w:tplc="271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13D3C"/>
    <w:multiLevelType w:val="hybridMultilevel"/>
    <w:tmpl w:val="A948D152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14D15"/>
    <w:multiLevelType w:val="hybridMultilevel"/>
    <w:tmpl w:val="DF567956"/>
    <w:lvl w:ilvl="0" w:tplc="CF2EB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C765E1"/>
    <w:multiLevelType w:val="multilevel"/>
    <w:tmpl w:val="50AC2E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0C8425F"/>
    <w:multiLevelType w:val="hybridMultilevel"/>
    <w:tmpl w:val="3F8C3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656912"/>
    <w:multiLevelType w:val="multilevel"/>
    <w:tmpl w:val="578E7D1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88142F"/>
    <w:multiLevelType w:val="hybridMultilevel"/>
    <w:tmpl w:val="0D28F8D2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F1EEB"/>
    <w:multiLevelType w:val="hybridMultilevel"/>
    <w:tmpl w:val="A63492C4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FD0174"/>
    <w:multiLevelType w:val="hybridMultilevel"/>
    <w:tmpl w:val="C2306446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B56E6"/>
    <w:multiLevelType w:val="hybridMultilevel"/>
    <w:tmpl w:val="5BF66EAA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71E16"/>
    <w:multiLevelType w:val="multilevel"/>
    <w:tmpl w:val="EA0C5A9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47CC6"/>
    <w:multiLevelType w:val="hybridMultilevel"/>
    <w:tmpl w:val="FEB27C0C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7EAE"/>
    <w:multiLevelType w:val="multilevel"/>
    <w:tmpl w:val="4E964C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90850"/>
    <w:multiLevelType w:val="multilevel"/>
    <w:tmpl w:val="1B6C892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0E3BFB"/>
    <w:multiLevelType w:val="multilevel"/>
    <w:tmpl w:val="AC8AD28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4147E"/>
    <w:multiLevelType w:val="hybridMultilevel"/>
    <w:tmpl w:val="EB081846"/>
    <w:lvl w:ilvl="0" w:tplc="88AA4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27D7E"/>
    <w:multiLevelType w:val="hybridMultilevel"/>
    <w:tmpl w:val="26BEB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A6DD5"/>
    <w:multiLevelType w:val="multilevel"/>
    <w:tmpl w:val="A4AE3958"/>
    <w:lvl w:ilvl="0">
      <w:start w:val="1"/>
      <w:numFmt w:val="bullet"/>
      <w:lvlText w:val=""/>
      <w:lvlJc w:val="left"/>
      <w:pPr>
        <w:tabs>
          <w:tab w:val="num" w:pos="948"/>
        </w:tabs>
        <w:ind w:left="9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E37422"/>
    <w:multiLevelType w:val="hybridMultilevel"/>
    <w:tmpl w:val="1EE6CB8A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08446F"/>
    <w:multiLevelType w:val="hybridMultilevel"/>
    <w:tmpl w:val="545240F4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655A18"/>
    <w:multiLevelType w:val="hybridMultilevel"/>
    <w:tmpl w:val="D2548A76"/>
    <w:lvl w:ilvl="0" w:tplc="EEBAEC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E1D6430"/>
    <w:multiLevelType w:val="hybridMultilevel"/>
    <w:tmpl w:val="C5141628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93B5B"/>
    <w:multiLevelType w:val="hybridMultilevel"/>
    <w:tmpl w:val="BB4281C0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17"/>
  </w:num>
  <w:num w:numId="4">
    <w:abstractNumId w:val="22"/>
  </w:num>
  <w:num w:numId="5">
    <w:abstractNumId w:val="32"/>
  </w:num>
  <w:num w:numId="6">
    <w:abstractNumId w:val="30"/>
  </w:num>
  <w:num w:numId="7">
    <w:abstractNumId w:val="27"/>
  </w:num>
  <w:num w:numId="8">
    <w:abstractNumId w:val="41"/>
  </w:num>
  <w:num w:numId="9">
    <w:abstractNumId w:val="3"/>
  </w:num>
  <w:num w:numId="10">
    <w:abstractNumId w:val="11"/>
  </w:num>
  <w:num w:numId="11">
    <w:abstractNumId w:val="4"/>
  </w:num>
  <w:num w:numId="12">
    <w:abstractNumId w:val="43"/>
  </w:num>
  <w:num w:numId="13">
    <w:abstractNumId w:val="40"/>
  </w:num>
  <w:num w:numId="14">
    <w:abstractNumId w:val="12"/>
  </w:num>
  <w:num w:numId="15">
    <w:abstractNumId w:val="2"/>
  </w:num>
  <w:num w:numId="16">
    <w:abstractNumId w:val="39"/>
  </w:num>
  <w:num w:numId="17">
    <w:abstractNumId w:val="29"/>
  </w:num>
  <w:num w:numId="18">
    <w:abstractNumId w:val="20"/>
  </w:num>
  <w:num w:numId="19">
    <w:abstractNumId w:val="19"/>
  </w:num>
  <w:num w:numId="20">
    <w:abstractNumId w:val="25"/>
  </w:num>
  <w:num w:numId="21">
    <w:abstractNumId w:val="21"/>
  </w:num>
  <w:num w:numId="22">
    <w:abstractNumId w:val="9"/>
  </w:num>
  <w:num w:numId="23">
    <w:abstractNumId w:val="8"/>
  </w:num>
  <w:num w:numId="24">
    <w:abstractNumId w:val="14"/>
  </w:num>
  <w:num w:numId="25">
    <w:abstractNumId w:val="36"/>
  </w:num>
  <w:num w:numId="26">
    <w:abstractNumId w:val="6"/>
  </w:num>
  <w:num w:numId="27">
    <w:abstractNumId w:val="42"/>
  </w:num>
  <w:num w:numId="28">
    <w:abstractNumId w:val="18"/>
  </w:num>
  <w:num w:numId="29">
    <w:abstractNumId w:val="5"/>
  </w:num>
  <w:num w:numId="30">
    <w:abstractNumId w:val="28"/>
  </w:num>
  <w:num w:numId="31">
    <w:abstractNumId w:val="10"/>
  </w:num>
  <w:num w:numId="32">
    <w:abstractNumId w:val="16"/>
  </w:num>
  <w:num w:numId="33">
    <w:abstractNumId w:val="33"/>
  </w:num>
  <w:num w:numId="34">
    <w:abstractNumId w:val="1"/>
  </w:num>
  <w:num w:numId="35">
    <w:abstractNumId w:val="35"/>
  </w:num>
  <w:num w:numId="36">
    <w:abstractNumId w:val="34"/>
  </w:num>
  <w:num w:numId="37">
    <w:abstractNumId w:val="13"/>
  </w:num>
  <w:num w:numId="38">
    <w:abstractNumId w:val="31"/>
  </w:num>
  <w:num w:numId="39">
    <w:abstractNumId w:val="26"/>
  </w:num>
  <w:num w:numId="40">
    <w:abstractNumId w:val="24"/>
  </w:num>
  <w:num w:numId="41">
    <w:abstractNumId w:val="7"/>
  </w:num>
  <w:num w:numId="42">
    <w:abstractNumId w:val="23"/>
  </w:num>
  <w:num w:numId="43">
    <w:abstractNumId w:val="3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98"/>
    <w:rsid w:val="00002F8E"/>
    <w:rsid w:val="00007100"/>
    <w:rsid w:val="000154EA"/>
    <w:rsid w:val="0002594E"/>
    <w:rsid w:val="0003213E"/>
    <w:rsid w:val="000349D6"/>
    <w:rsid w:val="000368DE"/>
    <w:rsid w:val="0004464C"/>
    <w:rsid w:val="00045E52"/>
    <w:rsid w:val="00050B6F"/>
    <w:rsid w:val="000521BD"/>
    <w:rsid w:val="00052B82"/>
    <w:rsid w:val="00063E5A"/>
    <w:rsid w:val="00072347"/>
    <w:rsid w:val="000833F1"/>
    <w:rsid w:val="0008492C"/>
    <w:rsid w:val="0008549A"/>
    <w:rsid w:val="000B3517"/>
    <w:rsid w:val="000B77FE"/>
    <w:rsid w:val="000C5C6F"/>
    <w:rsid w:val="000C714D"/>
    <w:rsid w:val="000D5E3B"/>
    <w:rsid w:val="000E0A42"/>
    <w:rsid w:val="000E43B7"/>
    <w:rsid w:val="000E7046"/>
    <w:rsid w:val="00101191"/>
    <w:rsid w:val="00106978"/>
    <w:rsid w:val="00112989"/>
    <w:rsid w:val="00123F69"/>
    <w:rsid w:val="00124207"/>
    <w:rsid w:val="0012497C"/>
    <w:rsid w:val="00134582"/>
    <w:rsid w:val="00137ADB"/>
    <w:rsid w:val="00144C2B"/>
    <w:rsid w:val="00160DF9"/>
    <w:rsid w:val="0016503B"/>
    <w:rsid w:val="001975C5"/>
    <w:rsid w:val="001B2C25"/>
    <w:rsid w:val="001C6FDA"/>
    <w:rsid w:val="001D2426"/>
    <w:rsid w:val="001D3AFF"/>
    <w:rsid w:val="001D44A7"/>
    <w:rsid w:val="001D4F73"/>
    <w:rsid w:val="001E1CE8"/>
    <w:rsid w:val="001F0790"/>
    <w:rsid w:val="001F4D0C"/>
    <w:rsid w:val="00201E73"/>
    <w:rsid w:val="00214379"/>
    <w:rsid w:val="002202C6"/>
    <w:rsid w:val="00232B13"/>
    <w:rsid w:val="00234735"/>
    <w:rsid w:val="00234AFF"/>
    <w:rsid w:val="00241287"/>
    <w:rsid w:val="00253C13"/>
    <w:rsid w:val="00256D72"/>
    <w:rsid w:val="00261DF6"/>
    <w:rsid w:val="00264B91"/>
    <w:rsid w:val="002853C9"/>
    <w:rsid w:val="00287B6D"/>
    <w:rsid w:val="00293352"/>
    <w:rsid w:val="002978CA"/>
    <w:rsid w:val="002B0566"/>
    <w:rsid w:val="002E7004"/>
    <w:rsid w:val="00307FD7"/>
    <w:rsid w:val="00313E7B"/>
    <w:rsid w:val="0032285E"/>
    <w:rsid w:val="0033114B"/>
    <w:rsid w:val="00331946"/>
    <w:rsid w:val="00332863"/>
    <w:rsid w:val="0034590A"/>
    <w:rsid w:val="003517FE"/>
    <w:rsid w:val="003534A9"/>
    <w:rsid w:val="003662F7"/>
    <w:rsid w:val="00376287"/>
    <w:rsid w:val="00380E59"/>
    <w:rsid w:val="00387917"/>
    <w:rsid w:val="00390710"/>
    <w:rsid w:val="0039330E"/>
    <w:rsid w:val="003956F5"/>
    <w:rsid w:val="00397165"/>
    <w:rsid w:val="003C1EC7"/>
    <w:rsid w:val="003C3911"/>
    <w:rsid w:val="003C66F4"/>
    <w:rsid w:val="00402558"/>
    <w:rsid w:val="004057A8"/>
    <w:rsid w:val="00405A3C"/>
    <w:rsid w:val="004110B9"/>
    <w:rsid w:val="00413482"/>
    <w:rsid w:val="004156CE"/>
    <w:rsid w:val="004263D6"/>
    <w:rsid w:val="00427830"/>
    <w:rsid w:val="00433218"/>
    <w:rsid w:val="00440EFD"/>
    <w:rsid w:val="004472DF"/>
    <w:rsid w:val="00460FB7"/>
    <w:rsid w:val="004640B6"/>
    <w:rsid w:val="00464310"/>
    <w:rsid w:val="00475118"/>
    <w:rsid w:val="0047722A"/>
    <w:rsid w:val="00487C1F"/>
    <w:rsid w:val="00497487"/>
    <w:rsid w:val="004A2CE4"/>
    <w:rsid w:val="004A7E1D"/>
    <w:rsid w:val="004B6722"/>
    <w:rsid w:val="004B6B72"/>
    <w:rsid w:val="004C14FA"/>
    <w:rsid w:val="004C205A"/>
    <w:rsid w:val="004D21B4"/>
    <w:rsid w:val="004D360A"/>
    <w:rsid w:val="004D6B50"/>
    <w:rsid w:val="004E51E7"/>
    <w:rsid w:val="004E7FFC"/>
    <w:rsid w:val="004F41C8"/>
    <w:rsid w:val="004F5A5A"/>
    <w:rsid w:val="00503526"/>
    <w:rsid w:val="0051279A"/>
    <w:rsid w:val="00516D5B"/>
    <w:rsid w:val="005277A5"/>
    <w:rsid w:val="005279AD"/>
    <w:rsid w:val="00530DEE"/>
    <w:rsid w:val="005434BC"/>
    <w:rsid w:val="0055242A"/>
    <w:rsid w:val="00556290"/>
    <w:rsid w:val="00564F56"/>
    <w:rsid w:val="00591903"/>
    <w:rsid w:val="00596D10"/>
    <w:rsid w:val="00596D33"/>
    <w:rsid w:val="005B7D87"/>
    <w:rsid w:val="005E3539"/>
    <w:rsid w:val="005E667A"/>
    <w:rsid w:val="005F2B8D"/>
    <w:rsid w:val="005F59B4"/>
    <w:rsid w:val="006011E6"/>
    <w:rsid w:val="0061010C"/>
    <w:rsid w:val="006128E5"/>
    <w:rsid w:val="00614579"/>
    <w:rsid w:val="00614A6B"/>
    <w:rsid w:val="006353D2"/>
    <w:rsid w:val="00636820"/>
    <w:rsid w:val="00637885"/>
    <w:rsid w:val="00644EB6"/>
    <w:rsid w:val="006467C9"/>
    <w:rsid w:val="00652785"/>
    <w:rsid w:val="00654AAD"/>
    <w:rsid w:val="006620E0"/>
    <w:rsid w:val="00673521"/>
    <w:rsid w:val="00674302"/>
    <w:rsid w:val="00681F97"/>
    <w:rsid w:val="006863DF"/>
    <w:rsid w:val="00690D99"/>
    <w:rsid w:val="00695A1C"/>
    <w:rsid w:val="006A070C"/>
    <w:rsid w:val="006A446A"/>
    <w:rsid w:val="006C0FA9"/>
    <w:rsid w:val="006C1CFC"/>
    <w:rsid w:val="006C34EF"/>
    <w:rsid w:val="006D19AC"/>
    <w:rsid w:val="006D1E8C"/>
    <w:rsid w:val="006F220D"/>
    <w:rsid w:val="007042E4"/>
    <w:rsid w:val="00706C5C"/>
    <w:rsid w:val="00707290"/>
    <w:rsid w:val="007133F7"/>
    <w:rsid w:val="007135D7"/>
    <w:rsid w:val="00713A6E"/>
    <w:rsid w:val="00737E1C"/>
    <w:rsid w:val="00745279"/>
    <w:rsid w:val="00746126"/>
    <w:rsid w:val="00751D4F"/>
    <w:rsid w:val="007528DA"/>
    <w:rsid w:val="00765F64"/>
    <w:rsid w:val="007676DE"/>
    <w:rsid w:val="00786F5B"/>
    <w:rsid w:val="007B330F"/>
    <w:rsid w:val="007C1763"/>
    <w:rsid w:val="007D0C39"/>
    <w:rsid w:val="007D161D"/>
    <w:rsid w:val="007D19EE"/>
    <w:rsid w:val="007D3B0A"/>
    <w:rsid w:val="007F7B27"/>
    <w:rsid w:val="008052F9"/>
    <w:rsid w:val="00806C8A"/>
    <w:rsid w:val="008109CE"/>
    <w:rsid w:val="00824E71"/>
    <w:rsid w:val="008326C3"/>
    <w:rsid w:val="0083598F"/>
    <w:rsid w:val="00836208"/>
    <w:rsid w:val="008450A3"/>
    <w:rsid w:val="0084704B"/>
    <w:rsid w:val="00850CEB"/>
    <w:rsid w:val="00872172"/>
    <w:rsid w:val="00881345"/>
    <w:rsid w:val="0088518F"/>
    <w:rsid w:val="008866AA"/>
    <w:rsid w:val="008A1104"/>
    <w:rsid w:val="008C66B9"/>
    <w:rsid w:val="008C6AF5"/>
    <w:rsid w:val="008D19DB"/>
    <w:rsid w:val="008D1ECC"/>
    <w:rsid w:val="00901D82"/>
    <w:rsid w:val="0090561C"/>
    <w:rsid w:val="00920126"/>
    <w:rsid w:val="0092400E"/>
    <w:rsid w:val="00944451"/>
    <w:rsid w:val="00961324"/>
    <w:rsid w:val="00965E17"/>
    <w:rsid w:val="00972778"/>
    <w:rsid w:val="009B25FD"/>
    <w:rsid w:val="009B465D"/>
    <w:rsid w:val="009B5F8E"/>
    <w:rsid w:val="009C351E"/>
    <w:rsid w:val="009D293D"/>
    <w:rsid w:val="009E2043"/>
    <w:rsid w:val="009E6473"/>
    <w:rsid w:val="009E7306"/>
    <w:rsid w:val="009F2986"/>
    <w:rsid w:val="00A03E5D"/>
    <w:rsid w:val="00A04D2D"/>
    <w:rsid w:val="00A11923"/>
    <w:rsid w:val="00A26099"/>
    <w:rsid w:val="00A3194B"/>
    <w:rsid w:val="00A41E62"/>
    <w:rsid w:val="00A41FD1"/>
    <w:rsid w:val="00A54BB0"/>
    <w:rsid w:val="00A850C6"/>
    <w:rsid w:val="00A969E3"/>
    <w:rsid w:val="00AA0EFF"/>
    <w:rsid w:val="00AA0F83"/>
    <w:rsid w:val="00AA3408"/>
    <w:rsid w:val="00AB401B"/>
    <w:rsid w:val="00AB769B"/>
    <w:rsid w:val="00AD4788"/>
    <w:rsid w:val="00AD6300"/>
    <w:rsid w:val="00AE227F"/>
    <w:rsid w:val="00AE46EA"/>
    <w:rsid w:val="00AE52AC"/>
    <w:rsid w:val="00AE6C5F"/>
    <w:rsid w:val="00B126E8"/>
    <w:rsid w:val="00B2792C"/>
    <w:rsid w:val="00B30198"/>
    <w:rsid w:val="00B4075C"/>
    <w:rsid w:val="00B432BF"/>
    <w:rsid w:val="00B4745E"/>
    <w:rsid w:val="00B5319F"/>
    <w:rsid w:val="00B84C2E"/>
    <w:rsid w:val="00B86F86"/>
    <w:rsid w:val="00BB1196"/>
    <w:rsid w:val="00BB2D50"/>
    <w:rsid w:val="00BD3922"/>
    <w:rsid w:val="00BE01B9"/>
    <w:rsid w:val="00C021D8"/>
    <w:rsid w:val="00C114C1"/>
    <w:rsid w:val="00C14265"/>
    <w:rsid w:val="00C149E1"/>
    <w:rsid w:val="00C20357"/>
    <w:rsid w:val="00C27AD7"/>
    <w:rsid w:val="00C303E7"/>
    <w:rsid w:val="00C40972"/>
    <w:rsid w:val="00C40DBF"/>
    <w:rsid w:val="00C428EB"/>
    <w:rsid w:val="00C57379"/>
    <w:rsid w:val="00C57B29"/>
    <w:rsid w:val="00C6327F"/>
    <w:rsid w:val="00C67B54"/>
    <w:rsid w:val="00C84F8D"/>
    <w:rsid w:val="00CA4790"/>
    <w:rsid w:val="00CA5FB0"/>
    <w:rsid w:val="00CB3F2F"/>
    <w:rsid w:val="00CC19A6"/>
    <w:rsid w:val="00CE10B6"/>
    <w:rsid w:val="00CE21A2"/>
    <w:rsid w:val="00CF3F2C"/>
    <w:rsid w:val="00D01122"/>
    <w:rsid w:val="00D01F01"/>
    <w:rsid w:val="00D2222D"/>
    <w:rsid w:val="00D43AB4"/>
    <w:rsid w:val="00D5684D"/>
    <w:rsid w:val="00D619D9"/>
    <w:rsid w:val="00D64114"/>
    <w:rsid w:val="00D739D5"/>
    <w:rsid w:val="00D81BD4"/>
    <w:rsid w:val="00D85B95"/>
    <w:rsid w:val="00D8790C"/>
    <w:rsid w:val="00D9240A"/>
    <w:rsid w:val="00D96AD3"/>
    <w:rsid w:val="00DA1E44"/>
    <w:rsid w:val="00DA2149"/>
    <w:rsid w:val="00DA4B61"/>
    <w:rsid w:val="00DA69BD"/>
    <w:rsid w:val="00DA6F36"/>
    <w:rsid w:val="00DB509C"/>
    <w:rsid w:val="00DD7C80"/>
    <w:rsid w:val="00DE1DDE"/>
    <w:rsid w:val="00DE4972"/>
    <w:rsid w:val="00DE7EC6"/>
    <w:rsid w:val="00DF0B18"/>
    <w:rsid w:val="00DF37EB"/>
    <w:rsid w:val="00E04A9D"/>
    <w:rsid w:val="00E0698B"/>
    <w:rsid w:val="00E22794"/>
    <w:rsid w:val="00E26324"/>
    <w:rsid w:val="00E510CE"/>
    <w:rsid w:val="00E52D5F"/>
    <w:rsid w:val="00E5626A"/>
    <w:rsid w:val="00E63DDA"/>
    <w:rsid w:val="00E77055"/>
    <w:rsid w:val="00E872A8"/>
    <w:rsid w:val="00EA04C0"/>
    <w:rsid w:val="00EA0911"/>
    <w:rsid w:val="00EA627A"/>
    <w:rsid w:val="00EA70E2"/>
    <w:rsid w:val="00EB21E1"/>
    <w:rsid w:val="00EB3A2A"/>
    <w:rsid w:val="00EB59F1"/>
    <w:rsid w:val="00EC4C2A"/>
    <w:rsid w:val="00EC5D01"/>
    <w:rsid w:val="00EC6BA5"/>
    <w:rsid w:val="00EE639D"/>
    <w:rsid w:val="00EF167B"/>
    <w:rsid w:val="00EF5891"/>
    <w:rsid w:val="00EF604B"/>
    <w:rsid w:val="00F00F82"/>
    <w:rsid w:val="00F05F9E"/>
    <w:rsid w:val="00F1264C"/>
    <w:rsid w:val="00F1468C"/>
    <w:rsid w:val="00F24A95"/>
    <w:rsid w:val="00F24F07"/>
    <w:rsid w:val="00F31879"/>
    <w:rsid w:val="00F45634"/>
    <w:rsid w:val="00F6325D"/>
    <w:rsid w:val="00F64E22"/>
    <w:rsid w:val="00F66EE5"/>
    <w:rsid w:val="00F7072C"/>
    <w:rsid w:val="00F712A7"/>
    <w:rsid w:val="00F73876"/>
    <w:rsid w:val="00F90637"/>
    <w:rsid w:val="00F90E1F"/>
    <w:rsid w:val="00F96045"/>
    <w:rsid w:val="00F9734B"/>
    <w:rsid w:val="00FA6B43"/>
    <w:rsid w:val="00FC1F19"/>
    <w:rsid w:val="00FC2B1E"/>
    <w:rsid w:val="00FC2D03"/>
    <w:rsid w:val="00FC5105"/>
    <w:rsid w:val="00FC6156"/>
    <w:rsid w:val="00FE1707"/>
    <w:rsid w:val="00FE247D"/>
    <w:rsid w:val="00FE5C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937C"/>
  <w15:docId w15:val="{62655BCC-D3D0-4C37-BDD1-03A4AFB7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1426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D1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9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9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9E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AE6C5F"/>
  </w:style>
  <w:style w:type="paragraph" w:styleId="Tekstprzypisudolnego">
    <w:name w:val="footnote text"/>
    <w:basedOn w:val="Normalny"/>
    <w:link w:val="TekstprzypisudolnegoZnak"/>
    <w:uiPriority w:val="99"/>
    <w:unhideWhenUsed/>
    <w:rsid w:val="00B126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26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126E8"/>
    <w:rPr>
      <w:vertAlign w:val="superscript"/>
    </w:rPr>
  </w:style>
  <w:style w:type="character" w:customStyle="1" w:styleId="FontStyle37">
    <w:name w:val="Font Style37"/>
    <w:uiPriority w:val="99"/>
    <w:rsid w:val="005277A5"/>
    <w:rPr>
      <w:rFonts w:ascii="Calibri" w:hAnsi="Calibri"/>
      <w:sz w:val="18"/>
    </w:rPr>
  </w:style>
  <w:style w:type="character" w:styleId="Hipercze">
    <w:name w:val="Hyperlink"/>
    <w:basedOn w:val="Domylnaczcionkaakapitu"/>
    <w:uiPriority w:val="99"/>
    <w:unhideWhenUsed/>
    <w:rsid w:val="008D1EC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1E6"/>
  </w:style>
  <w:style w:type="paragraph" w:styleId="Stopka">
    <w:name w:val="footer"/>
    <w:basedOn w:val="Normalny"/>
    <w:link w:val="StopkaZnak"/>
    <w:uiPriority w:val="99"/>
    <w:unhideWhenUsed/>
    <w:rsid w:val="0060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37B2-0AF4-412D-9CE6-A8DB8A78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2888</Words>
  <Characters>17331</Characters>
  <Application>Microsoft Office Word</Application>
  <DocSecurity>4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ORE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Milena Kuskowska</cp:lastModifiedBy>
  <cp:revision>2</cp:revision>
  <cp:lastPrinted>2019-02-27T14:41:00Z</cp:lastPrinted>
  <dcterms:created xsi:type="dcterms:W3CDTF">2021-04-15T07:17:00Z</dcterms:created>
  <dcterms:modified xsi:type="dcterms:W3CDTF">2021-04-15T07:17:00Z</dcterms:modified>
</cp:coreProperties>
</file>