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B821C" w14:textId="77777777" w:rsidR="009F77B7" w:rsidRPr="00857E20" w:rsidRDefault="009F77B7" w:rsidP="009F77B7">
      <w:pPr>
        <w:pStyle w:val="ROZDZODDZOZNoznaczenierozdziauluboddziau"/>
        <w:rPr>
          <w:b/>
        </w:rPr>
      </w:pPr>
      <w:r w:rsidRPr="001932A1">
        <w:rPr>
          <w:rStyle w:val="Ppogrubienie"/>
        </w:rPr>
        <w:t>UZASADNIENIE</w:t>
      </w:r>
    </w:p>
    <w:p w14:paraId="03ADDB65" w14:textId="66B95140" w:rsidR="00C52350" w:rsidRPr="009D4608" w:rsidRDefault="007C0414" w:rsidP="00C52350">
      <w:pPr>
        <w:pStyle w:val="NIEARTTEKSTtekstnieartykuowanynppodstprawnarozplubpreambua"/>
      </w:pPr>
      <w:r w:rsidRPr="007C0414">
        <w:t xml:space="preserve">Opracowanie i przyjęcie Krajowej Strategii Odporności Podmiotów Krytycznych, zwanej dalej „Strategią” albo „KSOPK”, jest wykonaniem ustawowego obowiązku wynikającego </w:t>
      </w:r>
      <w:r w:rsidR="00F22F00">
        <w:br/>
      </w:r>
      <w:r w:rsidRPr="007C0414">
        <w:t xml:space="preserve">z art. 6f </w:t>
      </w:r>
      <w:r w:rsidR="00AB507B">
        <w:t xml:space="preserve">ust. 1 </w:t>
      </w:r>
      <w:r w:rsidRPr="007C0414">
        <w:t>ustawy z dnia 26 kwietnia 2007 r. o zarządzaniu kryzysowym. Przepis ten przewiduje opracowanie Strategii w celu zwiększenia odporności podmiotów krytycznych oraz jej przyjęcie przez Radę Ministrów w drodze uchwały. Obowiązek ten pozostaje bezpośrednio związany z wdrożeniem do krajowego porządku prawnego wymagań dyrektywy Parlamentu Europejskiego i Rady (UE) 2022/2557 z dnia 14 grudnia 2022 r. w sprawie odporności podmiotów krytycznych</w:t>
      </w:r>
      <w:r>
        <w:t>, dalej „</w:t>
      </w:r>
      <w:r w:rsidRPr="007C0414">
        <w:t>dyrektywa CER</w:t>
      </w:r>
      <w:r>
        <w:t>”</w:t>
      </w:r>
      <w:r w:rsidRPr="007C0414">
        <w:t>.</w:t>
      </w:r>
    </w:p>
    <w:p w14:paraId="7537AA08" w14:textId="77777777" w:rsidR="007C0414" w:rsidRDefault="007C0414" w:rsidP="007C0414">
      <w:pPr>
        <w:pStyle w:val="NIEARTTEKSTtekstnieartykuowanynppodstprawnarozplubpreambua"/>
      </w:pPr>
      <w:r w:rsidRPr="007C0414">
        <w:t>Potrzeba przyjęcia Strategii wynika zarówno z obowiązku ustawowego, jak i ze zmiany podejścia do bezpieczeństwa usług kluczowych. Dotychczasowe rozwiązania koncentrowały się w istotnej części na ochronie infrastruktury krytycznej oraz reagowaniu na sytuacje kryzysowe. Obecne ramy prawne rozszerzają to podejście na odporność podmiotów odpowiedzialnych za świadczenie usług kluczowych, obejmując zdolność do zapobiegania incydentom, przygotowania do ich wystąpienia, reagowania, absorbowania skutków, adaptacji oraz odtwarzania infrastruktury i zdolności operacyjnych</w:t>
      </w:r>
      <w:r>
        <w:t>.</w:t>
      </w:r>
    </w:p>
    <w:p w14:paraId="56C8FD87" w14:textId="77777777" w:rsidR="007C0414" w:rsidRDefault="007C0414" w:rsidP="007C0414">
      <w:pPr>
        <w:pStyle w:val="NIEARTTEKSTtekstnieartykuowanynppodstprawnarozplubpreambua"/>
      </w:pPr>
      <w:r>
        <w:t>Strategia jest odpowiedzią na środowisko bezpieczeństwa charakteryzujące się rosnącą złożonością, współzależnością i transgranicznym charakterem zagrożeń. Projekt Strategii wskazuje w szczególności na zagrożenia naturalne i antropogeniczne, awarie techniczne, zagrożenia epidemiologiczne, działania terrorystyczne i sabotażowe, cyberataki, zagrożenia hybrydowe, konflikty zbrojne oraz zakłócenia międzynarodowych łańcuchów dostaw. Szczególne znaczenie mają zależności międzysektorowe i możliwość wystąpienia efektów kaskadowych, w których zakłócenie jednej usługi lub sektora powoduje wtórne skutki w innych obszarach.</w:t>
      </w:r>
    </w:p>
    <w:p w14:paraId="39174ABA" w14:textId="27471FC4" w:rsidR="00D76BDA" w:rsidRDefault="007C0414" w:rsidP="007C0414">
      <w:pPr>
        <w:pStyle w:val="NIEARTTEKSTtekstnieartykuowanynppodstprawnarozplubpreambua"/>
      </w:pPr>
      <w:r>
        <w:t xml:space="preserve">Celem Strategii jest stworzenie trwałych ram polityki państwa służącej zwiększaniu odporności podmiotów krytycznych oraz zapewnieniu niezakłóconego świadczenia usług kluczowych i niezakłóconego funkcjonowania infrastruktury krytycznej. Strategia ma wspierać zdolność państwa i podmiotów krytycznych do identyfikacji </w:t>
      </w:r>
      <w:r w:rsidR="004306DF">
        <w:t>oraz</w:t>
      </w:r>
      <w:r>
        <w:t xml:space="preserve"> oceny ryzyka, ograniczania podatności, przygotowania do reagowania, utrzymania ciągłości świadczenia usług kluczowych oraz szybkiego odtwarzania zdolności po wystąpieniu zakłóceń.</w:t>
      </w:r>
    </w:p>
    <w:p w14:paraId="6E9A7BD1" w14:textId="378CE40F" w:rsidR="00D55DCC" w:rsidRDefault="00D55DCC" w:rsidP="00D55DCC">
      <w:pPr>
        <w:pStyle w:val="ARTartustawynprozporzdzenia"/>
      </w:pPr>
    </w:p>
    <w:p w14:paraId="3315D2EA" w14:textId="77777777" w:rsidR="00D55DCC" w:rsidRPr="00D55DCC" w:rsidRDefault="00D55DCC" w:rsidP="00D55DCC">
      <w:pPr>
        <w:pStyle w:val="ARTartustawynprozporzdzenia"/>
      </w:pPr>
    </w:p>
    <w:p w14:paraId="6EEAE3FF" w14:textId="77777777" w:rsidR="007C0414" w:rsidRPr="007C0414" w:rsidRDefault="007C0414" w:rsidP="007C0414">
      <w:pPr>
        <w:pStyle w:val="ARTartustawynprozporzdzenia"/>
        <w:spacing w:after="120"/>
        <w:rPr>
          <w:rFonts w:ascii="Times New Roman" w:hAnsi="Times New Roman" w:cs="Times New Roman"/>
          <w:szCs w:val="24"/>
        </w:rPr>
      </w:pPr>
      <w:r w:rsidRPr="007C0414">
        <w:rPr>
          <w:rFonts w:ascii="Times New Roman" w:hAnsi="Times New Roman" w:cs="Times New Roman"/>
          <w:szCs w:val="24"/>
        </w:rPr>
        <w:lastRenderedPageBreak/>
        <w:t>Projekt Strategii ustanawia pięć wzajemnie uzupełniających się celów strategicznych:</w:t>
      </w:r>
    </w:p>
    <w:p w14:paraId="572AC2E8" w14:textId="77777777" w:rsidR="007C0414" w:rsidRDefault="007C0414" w:rsidP="007C0414">
      <w:pPr>
        <w:pStyle w:val="ARTartustawynprozporzdzenia"/>
        <w:numPr>
          <w:ilvl w:val="0"/>
          <w:numId w:val="17"/>
        </w:numPr>
        <w:spacing w:before="0"/>
        <w:rPr>
          <w:rFonts w:ascii="Times New Roman" w:hAnsi="Times New Roman" w:cs="Times New Roman"/>
          <w:szCs w:val="24"/>
        </w:rPr>
      </w:pPr>
      <w:r w:rsidRPr="007C0414">
        <w:rPr>
          <w:rFonts w:ascii="Times New Roman" w:hAnsi="Times New Roman" w:cs="Times New Roman"/>
          <w:szCs w:val="24"/>
        </w:rPr>
        <w:t>Zwiększenie odporności podmiotów krytycznych oraz zapewnienie ciągłości świadczenia usług kluczowych.</w:t>
      </w:r>
    </w:p>
    <w:p w14:paraId="2E099678" w14:textId="77777777" w:rsidR="007C0414" w:rsidRDefault="007C0414" w:rsidP="007C0414">
      <w:pPr>
        <w:pStyle w:val="ARTartustawynprozporzdzenia"/>
        <w:numPr>
          <w:ilvl w:val="0"/>
          <w:numId w:val="17"/>
        </w:numPr>
        <w:spacing w:before="0"/>
        <w:rPr>
          <w:rFonts w:ascii="Times New Roman" w:hAnsi="Times New Roman" w:cs="Times New Roman"/>
          <w:szCs w:val="24"/>
        </w:rPr>
      </w:pPr>
      <w:r w:rsidRPr="007C0414">
        <w:rPr>
          <w:rFonts w:ascii="Times New Roman" w:hAnsi="Times New Roman" w:cs="Times New Roman"/>
          <w:szCs w:val="24"/>
        </w:rPr>
        <w:t>Rozwój zintegrowanego krajowego systemu zarządzania odpornością podmiotów krytycznych.</w:t>
      </w:r>
    </w:p>
    <w:p w14:paraId="190D755D" w14:textId="77777777" w:rsidR="007C0414" w:rsidRDefault="007C0414" w:rsidP="007C0414">
      <w:pPr>
        <w:pStyle w:val="ARTartustawynprozporzdzenia"/>
        <w:numPr>
          <w:ilvl w:val="0"/>
          <w:numId w:val="17"/>
        </w:numPr>
        <w:spacing w:before="0"/>
        <w:rPr>
          <w:rFonts w:ascii="Times New Roman" w:hAnsi="Times New Roman" w:cs="Times New Roman"/>
          <w:szCs w:val="24"/>
        </w:rPr>
      </w:pPr>
      <w:r w:rsidRPr="007C0414">
        <w:rPr>
          <w:rFonts w:ascii="Times New Roman" w:hAnsi="Times New Roman" w:cs="Times New Roman"/>
          <w:szCs w:val="24"/>
        </w:rPr>
        <w:t>Rozwój krajowego systemu oceny ryzyka, wymiany informacji oraz budowy wspólnej świadomości zagrożeń.</w:t>
      </w:r>
    </w:p>
    <w:p w14:paraId="4DAB53C3" w14:textId="77777777" w:rsidR="007C0414" w:rsidRDefault="007C0414" w:rsidP="007C0414">
      <w:pPr>
        <w:pStyle w:val="ARTartustawynprozporzdzenia"/>
        <w:numPr>
          <w:ilvl w:val="0"/>
          <w:numId w:val="17"/>
        </w:numPr>
        <w:spacing w:before="0"/>
        <w:rPr>
          <w:rFonts w:ascii="Times New Roman" w:hAnsi="Times New Roman" w:cs="Times New Roman"/>
          <w:szCs w:val="24"/>
        </w:rPr>
      </w:pPr>
      <w:r w:rsidRPr="007C0414">
        <w:rPr>
          <w:rFonts w:ascii="Times New Roman" w:hAnsi="Times New Roman" w:cs="Times New Roman"/>
          <w:szCs w:val="24"/>
        </w:rPr>
        <w:t>Rozwój partnerstwa, kompetencji oraz kultury odporności.</w:t>
      </w:r>
    </w:p>
    <w:p w14:paraId="1F1F1BE5" w14:textId="017A4527" w:rsidR="007C0414" w:rsidRDefault="007C0414" w:rsidP="007C0414">
      <w:pPr>
        <w:pStyle w:val="ARTartustawynprozporzdzenia"/>
        <w:numPr>
          <w:ilvl w:val="0"/>
          <w:numId w:val="17"/>
        </w:numPr>
        <w:spacing w:before="0"/>
        <w:rPr>
          <w:rFonts w:ascii="Times New Roman" w:hAnsi="Times New Roman" w:cs="Times New Roman"/>
          <w:szCs w:val="24"/>
        </w:rPr>
      </w:pPr>
      <w:r w:rsidRPr="007C0414">
        <w:rPr>
          <w:rFonts w:ascii="Times New Roman" w:hAnsi="Times New Roman" w:cs="Times New Roman"/>
          <w:szCs w:val="24"/>
        </w:rPr>
        <w:t>Zapewnienie spójności krajowego systemu odporności z politykami bezpieczeństwa państwa oraz Unii Europejskiej.</w:t>
      </w:r>
    </w:p>
    <w:p w14:paraId="4ABB88DD" w14:textId="77777777" w:rsidR="007C0414" w:rsidRPr="007C0414" w:rsidRDefault="007C0414" w:rsidP="004306DF">
      <w:pPr>
        <w:pStyle w:val="ARTartustawynprozporzdzenia"/>
        <w:spacing w:before="0" w:line="276" w:lineRule="auto"/>
        <w:ind w:left="720" w:firstLine="0"/>
        <w:rPr>
          <w:rFonts w:ascii="Times New Roman" w:hAnsi="Times New Roman" w:cs="Times New Roman"/>
          <w:szCs w:val="24"/>
        </w:rPr>
      </w:pPr>
    </w:p>
    <w:p w14:paraId="077DD578" w14:textId="5183F3DE" w:rsidR="007C0414" w:rsidRPr="007C0414" w:rsidRDefault="007C0414" w:rsidP="007C0414">
      <w:pPr>
        <w:pStyle w:val="ARTartustawynprozporzdzenia"/>
        <w:spacing w:after="120"/>
        <w:rPr>
          <w:rFonts w:ascii="Times New Roman" w:hAnsi="Times New Roman" w:cs="Times New Roman"/>
          <w:szCs w:val="24"/>
        </w:rPr>
      </w:pPr>
      <w:r w:rsidRPr="007C0414">
        <w:rPr>
          <w:rFonts w:ascii="Times New Roman" w:hAnsi="Times New Roman" w:cs="Times New Roman"/>
          <w:szCs w:val="24"/>
        </w:rPr>
        <w:t>Cele te zostały powiązane z sześcioma priorytetami Strategii: zapewnieniem ciągłości świadczenia usług kluczowych, zwiększaniem odporności podmiotów krytycznych na</w:t>
      </w:r>
      <w:r w:rsidR="00DF627D">
        <w:rPr>
          <w:rFonts w:ascii="Times New Roman" w:hAnsi="Times New Roman" w:cs="Times New Roman"/>
          <w:szCs w:val="24"/>
        </w:rPr>
        <w:t> </w:t>
      </w:r>
      <w:r w:rsidRPr="007C0414">
        <w:rPr>
          <w:rFonts w:ascii="Times New Roman" w:hAnsi="Times New Roman" w:cs="Times New Roman"/>
          <w:szCs w:val="24"/>
        </w:rPr>
        <w:t>zagrożenia, ograniczaniem podatności i zależności krytycznych, wzmacnianiem cyberodporności i odporności fizycznej, rozwojem zdolności do reagowania i odtwarzania oraz wzmacnianiem współpracy i wymiany informacji.</w:t>
      </w:r>
    </w:p>
    <w:p w14:paraId="017315B1" w14:textId="77777777" w:rsidR="007C0414" w:rsidRPr="007C0414" w:rsidRDefault="007C0414" w:rsidP="007C0414">
      <w:pPr>
        <w:pStyle w:val="ARTartustawynprozporzdzenia"/>
        <w:spacing w:after="120"/>
        <w:rPr>
          <w:rFonts w:ascii="Times New Roman" w:hAnsi="Times New Roman" w:cs="Times New Roman"/>
          <w:szCs w:val="24"/>
        </w:rPr>
      </w:pPr>
      <w:r w:rsidRPr="007C0414">
        <w:rPr>
          <w:rFonts w:ascii="Times New Roman" w:hAnsi="Times New Roman" w:cs="Times New Roman"/>
          <w:szCs w:val="24"/>
        </w:rPr>
        <w:t>Na poziomie wdrożeniowym Strategia przewiduje m.in. rozwój jednolitych zasad zarządzania odpornością, procesów identyfikacji podmiotów krytycznych, oceny ryzyka, planowania zwiększania odporności, wymiany informacji, ćwiczeń i testów, współpracy publiczno-prywatnej oraz mechanizmów ciągłego doskonalenia.</w:t>
      </w:r>
    </w:p>
    <w:p w14:paraId="3713EA83" w14:textId="77777777" w:rsidR="007C0414" w:rsidRPr="007C0414" w:rsidRDefault="007C0414" w:rsidP="007C0414">
      <w:pPr>
        <w:pStyle w:val="ARTartustawynprozporzdzenia"/>
        <w:spacing w:after="120"/>
        <w:rPr>
          <w:rFonts w:ascii="Times New Roman" w:hAnsi="Times New Roman" w:cs="Times New Roman"/>
          <w:szCs w:val="24"/>
        </w:rPr>
      </w:pPr>
      <w:r w:rsidRPr="007C0414">
        <w:rPr>
          <w:rFonts w:ascii="Times New Roman" w:hAnsi="Times New Roman" w:cs="Times New Roman"/>
          <w:szCs w:val="24"/>
        </w:rPr>
        <w:t>Istotnym rozwiązaniem jest model zarządzania odpornością obejmujący siedem powiązanych etapów: ocenę środowiska bezpieczeństwa, ocenę ryzyka, identyfikację podmiotów krytycznych, planowanie zwiększania odporności, wdrażanie środków, monitorowanie i weryfikację skuteczności oraz doskonalenie i aktualizację. Model ten ma charakter ciągły i adaptacyjny.</w:t>
      </w:r>
    </w:p>
    <w:p w14:paraId="12187AD0" w14:textId="54843AB3" w:rsidR="007C0414" w:rsidRPr="007C0414" w:rsidRDefault="007C0414" w:rsidP="007C0414">
      <w:pPr>
        <w:pStyle w:val="ARTartustawynprozporzdzenia"/>
        <w:spacing w:after="120"/>
        <w:rPr>
          <w:rFonts w:ascii="Times New Roman" w:hAnsi="Times New Roman" w:cs="Times New Roman"/>
          <w:szCs w:val="24"/>
        </w:rPr>
      </w:pPr>
      <w:r w:rsidRPr="007C0414">
        <w:rPr>
          <w:rFonts w:ascii="Times New Roman" w:hAnsi="Times New Roman" w:cs="Times New Roman"/>
          <w:szCs w:val="24"/>
        </w:rPr>
        <w:t>Strategia określa także role organów do spraw podmiotów krytycznych, ministrów kierujących działami administracji rządowej identyfikujących infrastrukturę krytyczną, Komisji Nadzoru Finansowego, wojewodów oraz innych uczestników systemu. Szczególne znaczenie przypisano koordynacji z organami właściwymi do spraw cyberbezpieczeństwa, tak</w:t>
      </w:r>
      <w:r w:rsidR="0040620E">
        <w:rPr>
          <w:rFonts w:ascii="Times New Roman" w:hAnsi="Times New Roman" w:cs="Times New Roman"/>
          <w:szCs w:val="24"/>
        </w:rPr>
        <w:t> </w:t>
      </w:r>
      <w:r w:rsidRPr="007C0414">
        <w:rPr>
          <w:rFonts w:ascii="Times New Roman" w:hAnsi="Times New Roman" w:cs="Times New Roman"/>
          <w:szCs w:val="24"/>
        </w:rPr>
        <w:t>aby ograniczać ryzyko dublowania działań i zapewnić komplementarność bezpieczeństwa fizycznego, cyberbezpieczeństwa i zarządzania kryzysowego.</w:t>
      </w:r>
    </w:p>
    <w:p w14:paraId="75389A87" w14:textId="502C269F" w:rsidR="007C0414" w:rsidRPr="00D76BDA" w:rsidRDefault="007C0414" w:rsidP="007C0414">
      <w:pPr>
        <w:pStyle w:val="ARTartustawynprozporzdzenia"/>
        <w:spacing w:after="120"/>
        <w:rPr>
          <w:rFonts w:ascii="Times New Roman" w:hAnsi="Times New Roman" w:cs="Times New Roman"/>
          <w:szCs w:val="24"/>
        </w:rPr>
      </w:pPr>
      <w:r w:rsidRPr="007C0414">
        <w:rPr>
          <w:rFonts w:ascii="Times New Roman" w:hAnsi="Times New Roman" w:cs="Times New Roman"/>
          <w:szCs w:val="24"/>
        </w:rPr>
        <w:lastRenderedPageBreak/>
        <w:t>W odniesieniu do małych i średnich przedsiębiorstw zidentyfikowanych jako podmioty krytyczne przewidziano proporcjonalne środki ułatwiające realizację zadań, w tym materiały metodyczne, dobre praktyki, wzory i narzędzia, szkolenia, działania informacyjne i doradcze oraz dostęp do istniejących instrumentów wsparcia. Sama Strategia nie ustanawia odrębnego mechanizmu finansowania podmiotów krytycznych.</w:t>
      </w:r>
    </w:p>
    <w:p w14:paraId="2A54888A" w14:textId="0107D4CE" w:rsidR="00C52350" w:rsidRPr="00D76BDA" w:rsidRDefault="00A03C45" w:rsidP="00D76BDA">
      <w:pPr>
        <w:pStyle w:val="ARTartustawynprozporzdzenia"/>
        <w:spacing w:after="120"/>
        <w:rPr>
          <w:rFonts w:ascii="Times New Roman" w:hAnsi="Times New Roman" w:cs="Times New Roman"/>
          <w:szCs w:val="24"/>
        </w:rPr>
      </w:pPr>
      <w:r w:rsidRPr="00A03C45">
        <w:rPr>
          <w:rFonts w:ascii="Times New Roman" w:hAnsi="Times New Roman" w:cs="Times New Roman"/>
          <w:szCs w:val="24"/>
        </w:rPr>
        <w:t>Projektowana uchwała wejdzie w życie z dniem następującym po dniu ogłoszenia. Przyjęty termin wejścia w życie wynika z potrzeby niezwłocznego wprowadzenia do systemu prawnego Strategii, która wyznacza kierunki działań służących wzmacnianiu odporności podmiotów krytycznych oraz zapewnieniu spójnego podejścia do realizacji zadań w tym zakresie. Niezwłoczne wejście w życie uchwały jest uzasadnione koniecznością jak najszybszego rozpoczęcia realizacji celów i działań określonych w Strategii, z uwzględnieniem aktualnych uwarunkowań bezpieczeństwa oraz potrzeby dostosowania systemu ochrony podmiotów krytycznych do nowych wyzwań i zagrożeń.</w:t>
      </w:r>
      <w:r w:rsidR="001B3789" w:rsidRPr="00D76BDA">
        <w:rPr>
          <w:rFonts w:ascii="Times New Roman" w:hAnsi="Times New Roman" w:cs="Times New Roman"/>
          <w:szCs w:val="24"/>
        </w:rPr>
        <w:t xml:space="preserve"> </w:t>
      </w:r>
    </w:p>
    <w:p w14:paraId="6082A249" w14:textId="6532BE3F" w:rsidR="009F77B7" w:rsidRPr="00D76BDA" w:rsidRDefault="009F77B7" w:rsidP="00D76BDA">
      <w:pPr>
        <w:pStyle w:val="ARTartustawynprozporzdzenia"/>
        <w:spacing w:after="120"/>
        <w:rPr>
          <w:rFonts w:ascii="Times New Roman" w:hAnsi="Times New Roman" w:cs="Times New Roman"/>
          <w:szCs w:val="24"/>
        </w:rPr>
      </w:pPr>
      <w:r w:rsidRPr="00D76BDA">
        <w:rPr>
          <w:rFonts w:ascii="Times New Roman" w:hAnsi="Times New Roman" w:cs="Times New Roman"/>
          <w:szCs w:val="24"/>
        </w:rPr>
        <w:t xml:space="preserve">Projekt </w:t>
      </w:r>
      <w:r w:rsidR="00AA42F8">
        <w:rPr>
          <w:rFonts w:ascii="Times New Roman" w:hAnsi="Times New Roman" w:cs="Times New Roman"/>
          <w:szCs w:val="24"/>
        </w:rPr>
        <w:t xml:space="preserve">jest zgodny </w:t>
      </w:r>
      <w:r w:rsidRPr="00D76BDA">
        <w:rPr>
          <w:rFonts w:ascii="Times New Roman" w:hAnsi="Times New Roman" w:cs="Times New Roman"/>
          <w:szCs w:val="24"/>
        </w:rPr>
        <w:t>z prawem Unii Europejskiej.</w:t>
      </w:r>
    </w:p>
    <w:p w14:paraId="0E98A868" w14:textId="7048C5BD" w:rsidR="009F77B7" w:rsidRPr="00D76BDA" w:rsidRDefault="009F77B7" w:rsidP="00D76BDA">
      <w:pPr>
        <w:pStyle w:val="ARTartustawynprozporzdzenia"/>
        <w:spacing w:after="120"/>
        <w:rPr>
          <w:rFonts w:ascii="Times New Roman" w:hAnsi="Times New Roman" w:cs="Times New Roman"/>
          <w:szCs w:val="24"/>
        </w:rPr>
      </w:pPr>
      <w:r w:rsidRPr="00D76BDA">
        <w:rPr>
          <w:rFonts w:ascii="Times New Roman" w:hAnsi="Times New Roman" w:cs="Times New Roman"/>
          <w:szCs w:val="24"/>
        </w:rPr>
        <w:t>Projektowana regulacja nie zawiera przepisów technicznych w rozumieniu rozporządzenia Rady Ministrów z dnia 23 grudnia 2002 r. w sprawie sposobu funkcjonowania krajowego systemu notyfikacji norm i aktów prawnych (Dz. U. poz. 2039 oraz z 2004 r. poz.</w:t>
      </w:r>
      <w:r w:rsidR="008B2D4D">
        <w:rPr>
          <w:rFonts w:ascii="Times New Roman" w:hAnsi="Times New Roman" w:cs="Times New Roman"/>
          <w:szCs w:val="24"/>
        </w:rPr>
        <w:t> </w:t>
      </w:r>
      <w:r w:rsidRPr="00D76BDA">
        <w:rPr>
          <w:rFonts w:ascii="Times New Roman" w:hAnsi="Times New Roman" w:cs="Times New Roman"/>
          <w:szCs w:val="24"/>
        </w:rPr>
        <w:t>597) i nie podlega notyfikacji Komisji Europejskiej.</w:t>
      </w:r>
    </w:p>
    <w:p w14:paraId="1181681D" w14:textId="6F317F96" w:rsidR="009F77B7" w:rsidRPr="00D76BDA" w:rsidRDefault="009F77B7" w:rsidP="00D76BDA">
      <w:pPr>
        <w:pStyle w:val="ARTartustawynprozporzdzenia"/>
        <w:spacing w:after="120"/>
        <w:rPr>
          <w:rFonts w:ascii="Times New Roman" w:hAnsi="Times New Roman" w:cs="Times New Roman"/>
        </w:rPr>
      </w:pPr>
      <w:r w:rsidRPr="00D76BDA">
        <w:rPr>
          <w:rFonts w:ascii="Times New Roman" w:hAnsi="Times New Roman" w:cs="Times New Roman"/>
          <w:szCs w:val="24"/>
        </w:rPr>
        <w:t>Projektowana regulacja nie będzie wymagała notyfikacji Komisji Europejskiej w trybie ustawy z dnia 30 kwietnia 2004 r. o postępowaniu w sprawach dotyczących pomocy publicznej (</w:t>
      </w:r>
      <w:r w:rsidR="00D55F43" w:rsidRPr="00D76BDA">
        <w:rPr>
          <w:rFonts w:ascii="Times New Roman" w:hAnsi="Times New Roman" w:cs="Times New Roman"/>
          <w:szCs w:val="24"/>
        </w:rPr>
        <w:t>Dz.</w:t>
      </w:r>
      <w:r w:rsidR="00C52350" w:rsidRPr="00D76BDA">
        <w:rPr>
          <w:rFonts w:ascii="Times New Roman" w:hAnsi="Times New Roman" w:cs="Times New Roman"/>
          <w:szCs w:val="24"/>
        </w:rPr>
        <w:t xml:space="preserve"> </w:t>
      </w:r>
      <w:r w:rsidR="00D55F43" w:rsidRPr="00D76BDA">
        <w:rPr>
          <w:rFonts w:ascii="Times New Roman" w:hAnsi="Times New Roman" w:cs="Times New Roman"/>
          <w:szCs w:val="24"/>
        </w:rPr>
        <w:t>U. z 202</w:t>
      </w:r>
      <w:r w:rsidR="007817C1">
        <w:rPr>
          <w:rFonts w:ascii="Times New Roman" w:hAnsi="Times New Roman" w:cs="Times New Roman"/>
          <w:szCs w:val="24"/>
        </w:rPr>
        <w:t>5</w:t>
      </w:r>
      <w:r w:rsidR="00D55F43" w:rsidRPr="00D76BDA">
        <w:rPr>
          <w:rFonts w:ascii="Times New Roman" w:hAnsi="Times New Roman" w:cs="Times New Roman"/>
          <w:szCs w:val="24"/>
        </w:rPr>
        <w:t xml:space="preserve"> r. poz. </w:t>
      </w:r>
      <w:r w:rsidR="007817C1">
        <w:rPr>
          <w:rFonts w:ascii="Times New Roman" w:hAnsi="Times New Roman" w:cs="Times New Roman"/>
          <w:szCs w:val="24"/>
        </w:rPr>
        <w:t>468)</w:t>
      </w:r>
      <w:r w:rsidRPr="00D76BDA">
        <w:rPr>
          <w:rFonts w:ascii="Times New Roman" w:hAnsi="Times New Roman" w:cs="Times New Roman"/>
        </w:rPr>
        <w:t>.</w:t>
      </w:r>
    </w:p>
    <w:p w14:paraId="65447DA1" w14:textId="48C8BEA9" w:rsidR="00584EFC" w:rsidRPr="00D76BDA" w:rsidRDefault="009F77B7" w:rsidP="00D76BDA">
      <w:pPr>
        <w:pStyle w:val="ARTartustawynprozporzdzenia"/>
        <w:spacing w:after="120"/>
        <w:rPr>
          <w:rFonts w:ascii="Times New Roman" w:hAnsi="Times New Roman" w:cs="Times New Roman"/>
        </w:rPr>
      </w:pPr>
      <w:r w:rsidRPr="00D76BDA">
        <w:rPr>
          <w:rFonts w:ascii="Times New Roman" w:hAnsi="Times New Roman" w:cs="Times New Roman"/>
        </w:rPr>
        <w:t>Projekt nie wymaga przedłożenia instytucjom i organom Unii Europejskiej, w tym Europejskiemu Bankowi Centralnemu, w celu uzyskania opinii, dokonania powiadomienia, konsultacji albo uzgodnienia.</w:t>
      </w:r>
      <w:bookmarkStart w:id="0" w:name="_GoBack"/>
      <w:bookmarkEnd w:id="0"/>
    </w:p>
    <w:sectPr w:rsidR="00584EFC" w:rsidRPr="00D76BDA">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830184" w16cex:dateUtc="2026-10-21T07: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537F5" w14:textId="77777777" w:rsidR="005D7833" w:rsidRDefault="005D7833" w:rsidP="008D110A">
      <w:pPr>
        <w:spacing w:after="0" w:line="240" w:lineRule="auto"/>
      </w:pPr>
      <w:r>
        <w:separator/>
      </w:r>
    </w:p>
  </w:endnote>
  <w:endnote w:type="continuationSeparator" w:id="0">
    <w:p w14:paraId="20B48F03" w14:textId="77777777" w:rsidR="005D7833" w:rsidRDefault="005D7833" w:rsidP="008D1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94CB31" w14:textId="77777777" w:rsidR="005D7833" w:rsidRDefault="005D7833" w:rsidP="008D110A">
      <w:pPr>
        <w:spacing w:after="0" w:line="240" w:lineRule="auto"/>
      </w:pPr>
      <w:r>
        <w:separator/>
      </w:r>
    </w:p>
  </w:footnote>
  <w:footnote w:type="continuationSeparator" w:id="0">
    <w:p w14:paraId="25F46CFA" w14:textId="77777777" w:rsidR="005D7833" w:rsidRDefault="005D7833" w:rsidP="008D1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83661"/>
    <w:multiLevelType w:val="hybridMultilevel"/>
    <w:tmpl w:val="CF547EC4"/>
    <w:lvl w:ilvl="0" w:tplc="52805524">
      <w:start w:val="1"/>
      <w:numFmt w:val="decimal"/>
      <w:lvlText w:val="%1)"/>
      <w:lvlJc w:val="left"/>
      <w:pPr>
        <w:ind w:left="1410" w:hanging="90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05FD668C"/>
    <w:multiLevelType w:val="hybridMultilevel"/>
    <w:tmpl w:val="9154BD5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15:restartNumberingAfterBreak="0">
    <w:nsid w:val="0628590D"/>
    <w:multiLevelType w:val="hybridMultilevel"/>
    <w:tmpl w:val="331C0B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DD0C39"/>
    <w:multiLevelType w:val="hybridMultilevel"/>
    <w:tmpl w:val="2968D518"/>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 w15:restartNumberingAfterBreak="0">
    <w:nsid w:val="0D6B6BA6"/>
    <w:multiLevelType w:val="hybridMultilevel"/>
    <w:tmpl w:val="EAF69DB2"/>
    <w:lvl w:ilvl="0" w:tplc="C1B4BA12">
      <w:start w:val="1"/>
      <w:numFmt w:val="decimal"/>
      <w:lvlText w:val="%1)"/>
      <w:lvlJc w:val="left"/>
      <w:pPr>
        <w:ind w:left="1410" w:hanging="90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 w15:restartNumberingAfterBreak="0">
    <w:nsid w:val="13986603"/>
    <w:multiLevelType w:val="hybridMultilevel"/>
    <w:tmpl w:val="2C6C9EFC"/>
    <w:lvl w:ilvl="0" w:tplc="595C76BA">
      <w:start w:val="1"/>
      <w:numFmt w:val="decimal"/>
      <w:lvlText w:val="%1)"/>
      <w:lvlJc w:val="left"/>
      <w:pPr>
        <w:ind w:left="1410" w:hanging="90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 w15:restartNumberingAfterBreak="0">
    <w:nsid w:val="17890ED7"/>
    <w:multiLevelType w:val="hybridMultilevel"/>
    <w:tmpl w:val="9BB28AA4"/>
    <w:lvl w:ilvl="0" w:tplc="0415000B">
      <w:start w:val="1"/>
      <w:numFmt w:val="bullet"/>
      <w:lvlText w:val=""/>
      <w:lvlJc w:val="left"/>
      <w:pPr>
        <w:ind w:left="-288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1440" w:hanging="360"/>
      </w:pPr>
      <w:rPr>
        <w:rFonts w:ascii="Wingdings" w:hAnsi="Wingdings" w:hint="default"/>
      </w:rPr>
    </w:lvl>
    <w:lvl w:ilvl="3" w:tplc="04150001">
      <w:start w:val="1"/>
      <w:numFmt w:val="bullet"/>
      <w:lvlText w:val=""/>
      <w:lvlJc w:val="left"/>
      <w:pPr>
        <w:ind w:left="-720" w:hanging="360"/>
      </w:pPr>
      <w:rPr>
        <w:rFonts w:ascii="Symbol" w:hAnsi="Symbol" w:hint="default"/>
      </w:rPr>
    </w:lvl>
    <w:lvl w:ilvl="4" w:tplc="04150003">
      <w:start w:val="1"/>
      <w:numFmt w:val="bullet"/>
      <w:lvlText w:val="o"/>
      <w:lvlJc w:val="left"/>
      <w:pPr>
        <w:ind w:left="0" w:hanging="360"/>
      </w:pPr>
      <w:rPr>
        <w:rFonts w:ascii="Courier New" w:hAnsi="Courier New" w:cs="Courier New" w:hint="default"/>
      </w:rPr>
    </w:lvl>
    <w:lvl w:ilvl="5" w:tplc="04150005">
      <w:start w:val="1"/>
      <w:numFmt w:val="bullet"/>
      <w:lvlText w:val=""/>
      <w:lvlJc w:val="left"/>
      <w:pPr>
        <w:ind w:left="720" w:hanging="360"/>
      </w:pPr>
      <w:rPr>
        <w:rFonts w:ascii="Wingdings" w:hAnsi="Wingdings" w:hint="default"/>
      </w:rPr>
    </w:lvl>
    <w:lvl w:ilvl="6" w:tplc="04150001">
      <w:start w:val="1"/>
      <w:numFmt w:val="bullet"/>
      <w:lvlText w:val=""/>
      <w:lvlJc w:val="left"/>
      <w:pPr>
        <w:ind w:left="1440" w:hanging="360"/>
      </w:pPr>
      <w:rPr>
        <w:rFonts w:ascii="Symbol" w:hAnsi="Symbol" w:hint="default"/>
      </w:rPr>
    </w:lvl>
    <w:lvl w:ilvl="7" w:tplc="04150003">
      <w:start w:val="1"/>
      <w:numFmt w:val="bullet"/>
      <w:lvlText w:val="o"/>
      <w:lvlJc w:val="left"/>
      <w:pPr>
        <w:ind w:left="2160" w:hanging="360"/>
      </w:pPr>
      <w:rPr>
        <w:rFonts w:ascii="Courier New" w:hAnsi="Courier New" w:cs="Courier New" w:hint="default"/>
      </w:rPr>
    </w:lvl>
    <w:lvl w:ilvl="8" w:tplc="04150005">
      <w:start w:val="1"/>
      <w:numFmt w:val="bullet"/>
      <w:lvlText w:val=""/>
      <w:lvlJc w:val="left"/>
      <w:pPr>
        <w:ind w:left="2880" w:hanging="360"/>
      </w:pPr>
      <w:rPr>
        <w:rFonts w:ascii="Wingdings" w:hAnsi="Wingdings" w:hint="default"/>
      </w:rPr>
    </w:lvl>
  </w:abstractNum>
  <w:abstractNum w:abstractNumId="7" w15:restartNumberingAfterBreak="0">
    <w:nsid w:val="205222FA"/>
    <w:multiLevelType w:val="hybridMultilevel"/>
    <w:tmpl w:val="67A231A6"/>
    <w:lvl w:ilvl="0" w:tplc="35D82D84">
      <w:start w:val="1"/>
      <w:numFmt w:val="decimal"/>
      <w:lvlText w:val="%1)"/>
      <w:lvlJc w:val="left"/>
      <w:pPr>
        <w:ind w:left="1410" w:hanging="90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8" w15:restartNumberingAfterBreak="0">
    <w:nsid w:val="32906E38"/>
    <w:multiLevelType w:val="hybridMultilevel"/>
    <w:tmpl w:val="7C44DF82"/>
    <w:lvl w:ilvl="0" w:tplc="7764AC1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9" w15:restartNumberingAfterBreak="0">
    <w:nsid w:val="426133B2"/>
    <w:multiLevelType w:val="hybridMultilevel"/>
    <w:tmpl w:val="C4E63A28"/>
    <w:lvl w:ilvl="0" w:tplc="2A324642">
      <w:start w:val="1"/>
      <w:numFmt w:val="decimal"/>
      <w:lvlText w:val="%1)"/>
      <w:lvlJc w:val="left"/>
      <w:pPr>
        <w:ind w:left="1410" w:hanging="90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0" w15:restartNumberingAfterBreak="0">
    <w:nsid w:val="463511B4"/>
    <w:multiLevelType w:val="hybridMultilevel"/>
    <w:tmpl w:val="D9089B0E"/>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1" w15:restartNumberingAfterBreak="0">
    <w:nsid w:val="606267FF"/>
    <w:multiLevelType w:val="hybridMultilevel"/>
    <w:tmpl w:val="C1F6B2D8"/>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2" w15:restartNumberingAfterBreak="0">
    <w:nsid w:val="66A92423"/>
    <w:multiLevelType w:val="hybridMultilevel"/>
    <w:tmpl w:val="2DBAC8D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3" w15:restartNumberingAfterBreak="0">
    <w:nsid w:val="6B980717"/>
    <w:multiLevelType w:val="hybridMultilevel"/>
    <w:tmpl w:val="35649F24"/>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4" w15:restartNumberingAfterBreak="0">
    <w:nsid w:val="6C647A3C"/>
    <w:multiLevelType w:val="hybridMultilevel"/>
    <w:tmpl w:val="41AE0C34"/>
    <w:lvl w:ilvl="0" w:tplc="3342BB5C">
      <w:start w:val="1"/>
      <w:numFmt w:val="decimal"/>
      <w:lvlText w:val="%1)"/>
      <w:lvlJc w:val="left"/>
      <w:pPr>
        <w:ind w:left="1410" w:hanging="90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70A821E0"/>
    <w:multiLevelType w:val="hybridMultilevel"/>
    <w:tmpl w:val="1A98B186"/>
    <w:lvl w:ilvl="0" w:tplc="04150001">
      <w:start w:val="1"/>
      <w:numFmt w:val="bullet"/>
      <w:lvlText w:val=""/>
      <w:lvlJc w:val="left"/>
      <w:pPr>
        <w:ind w:left="644" w:hanging="360"/>
      </w:pPr>
      <w:rPr>
        <w:rFonts w:ascii="Symbol" w:hAnsi="Symbol" w:hint="default"/>
      </w:rPr>
    </w:lvl>
    <w:lvl w:ilvl="1" w:tplc="FFFFFFFF">
      <w:start w:val="1"/>
      <w:numFmt w:val="bullet"/>
      <w:lvlText w:val="o"/>
      <w:lvlJc w:val="left"/>
      <w:pPr>
        <w:ind w:left="1364" w:hanging="360"/>
      </w:pPr>
      <w:rPr>
        <w:rFonts w:ascii="Courier New" w:hAnsi="Courier New" w:cs="Courier New" w:hint="default"/>
      </w:rPr>
    </w:lvl>
    <w:lvl w:ilvl="2" w:tplc="FFFFFFFF">
      <w:start w:val="1"/>
      <w:numFmt w:val="bullet"/>
      <w:lvlText w:val=""/>
      <w:lvlJc w:val="left"/>
      <w:pPr>
        <w:ind w:left="2084" w:hanging="360"/>
      </w:pPr>
      <w:rPr>
        <w:rFonts w:ascii="Wingdings" w:hAnsi="Wingdings" w:hint="default"/>
      </w:rPr>
    </w:lvl>
    <w:lvl w:ilvl="3" w:tplc="FFFFFFFF">
      <w:start w:val="1"/>
      <w:numFmt w:val="bullet"/>
      <w:lvlText w:val=""/>
      <w:lvlJc w:val="left"/>
      <w:pPr>
        <w:ind w:left="2804" w:hanging="360"/>
      </w:pPr>
      <w:rPr>
        <w:rFonts w:ascii="Symbol" w:hAnsi="Symbol" w:hint="default"/>
      </w:rPr>
    </w:lvl>
    <w:lvl w:ilvl="4" w:tplc="FFFFFFFF">
      <w:start w:val="1"/>
      <w:numFmt w:val="bullet"/>
      <w:lvlText w:val="o"/>
      <w:lvlJc w:val="left"/>
      <w:pPr>
        <w:ind w:left="3524" w:hanging="360"/>
      </w:pPr>
      <w:rPr>
        <w:rFonts w:ascii="Courier New" w:hAnsi="Courier New" w:cs="Courier New" w:hint="default"/>
      </w:rPr>
    </w:lvl>
    <w:lvl w:ilvl="5" w:tplc="FFFFFFFF">
      <w:start w:val="1"/>
      <w:numFmt w:val="bullet"/>
      <w:lvlText w:val=""/>
      <w:lvlJc w:val="left"/>
      <w:pPr>
        <w:ind w:left="4244" w:hanging="360"/>
      </w:pPr>
      <w:rPr>
        <w:rFonts w:ascii="Wingdings" w:hAnsi="Wingdings" w:hint="default"/>
      </w:rPr>
    </w:lvl>
    <w:lvl w:ilvl="6" w:tplc="FFFFFFFF">
      <w:start w:val="1"/>
      <w:numFmt w:val="bullet"/>
      <w:lvlText w:val=""/>
      <w:lvlJc w:val="left"/>
      <w:pPr>
        <w:ind w:left="4964" w:hanging="360"/>
      </w:pPr>
      <w:rPr>
        <w:rFonts w:ascii="Symbol" w:hAnsi="Symbol" w:hint="default"/>
      </w:rPr>
    </w:lvl>
    <w:lvl w:ilvl="7" w:tplc="FFFFFFFF">
      <w:start w:val="1"/>
      <w:numFmt w:val="bullet"/>
      <w:lvlText w:val="o"/>
      <w:lvlJc w:val="left"/>
      <w:pPr>
        <w:ind w:left="5684" w:hanging="360"/>
      </w:pPr>
      <w:rPr>
        <w:rFonts w:ascii="Courier New" w:hAnsi="Courier New" w:cs="Courier New" w:hint="default"/>
      </w:rPr>
    </w:lvl>
    <w:lvl w:ilvl="8" w:tplc="FFFFFFFF">
      <w:start w:val="1"/>
      <w:numFmt w:val="bullet"/>
      <w:lvlText w:val=""/>
      <w:lvlJc w:val="left"/>
      <w:pPr>
        <w:ind w:left="6404" w:hanging="360"/>
      </w:pPr>
      <w:rPr>
        <w:rFonts w:ascii="Wingdings" w:hAnsi="Wingdings" w:hint="default"/>
      </w:rPr>
    </w:lvl>
  </w:abstractNum>
  <w:abstractNum w:abstractNumId="16" w15:restartNumberingAfterBreak="0">
    <w:nsid w:val="7CB87F68"/>
    <w:multiLevelType w:val="hybridMultilevel"/>
    <w:tmpl w:val="FEFA6814"/>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13"/>
  </w:num>
  <w:num w:numId="2">
    <w:abstractNumId w:val="8"/>
  </w:num>
  <w:num w:numId="3">
    <w:abstractNumId w:val="6"/>
  </w:num>
  <w:num w:numId="4">
    <w:abstractNumId w:val="15"/>
  </w:num>
  <w:num w:numId="5">
    <w:abstractNumId w:val="10"/>
  </w:num>
  <w:num w:numId="6">
    <w:abstractNumId w:val="9"/>
  </w:num>
  <w:num w:numId="7">
    <w:abstractNumId w:val="12"/>
  </w:num>
  <w:num w:numId="8">
    <w:abstractNumId w:val="4"/>
  </w:num>
  <w:num w:numId="9">
    <w:abstractNumId w:val="1"/>
  </w:num>
  <w:num w:numId="10">
    <w:abstractNumId w:val="14"/>
  </w:num>
  <w:num w:numId="11">
    <w:abstractNumId w:val="16"/>
  </w:num>
  <w:num w:numId="12">
    <w:abstractNumId w:val="0"/>
  </w:num>
  <w:num w:numId="13">
    <w:abstractNumId w:val="11"/>
  </w:num>
  <w:num w:numId="14">
    <w:abstractNumId w:val="7"/>
  </w:num>
  <w:num w:numId="15">
    <w:abstractNumId w:val="3"/>
  </w:num>
  <w:num w:numId="16">
    <w:abstractNumId w:val="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C3"/>
    <w:rsid w:val="00015AD9"/>
    <w:rsid w:val="00046252"/>
    <w:rsid w:val="000629DE"/>
    <w:rsid w:val="00065160"/>
    <w:rsid w:val="000D3360"/>
    <w:rsid w:val="000E42A5"/>
    <w:rsid w:val="000F00B8"/>
    <w:rsid w:val="00141C6A"/>
    <w:rsid w:val="00162BAF"/>
    <w:rsid w:val="001B3789"/>
    <w:rsid w:val="001B7D69"/>
    <w:rsid w:val="00204DBA"/>
    <w:rsid w:val="002142F2"/>
    <w:rsid w:val="002A0771"/>
    <w:rsid w:val="003149A6"/>
    <w:rsid w:val="00343246"/>
    <w:rsid w:val="003613E3"/>
    <w:rsid w:val="003A2370"/>
    <w:rsid w:val="003B4761"/>
    <w:rsid w:val="003D432E"/>
    <w:rsid w:val="003E3918"/>
    <w:rsid w:val="0040620E"/>
    <w:rsid w:val="00427AFB"/>
    <w:rsid w:val="004306DF"/>
    <w:rsid w:val="004D225F"/>
    <w:rsid w:val="004F6EB0"/>
    <w:rsid w:val="00525AC5"/>
    <w:rsid w:val="00531FE3"/>
    <w:rsid w:val="005400C9"/>
    <w:rsid w:val="0054234F"/>
    <w:rsid w:val="005548DB"/>
    <w:rsid w:val="0056724E"/>
    <w:rsid w:val="00570D33"/>
    <w:rsid w:val="00584EFC"/>
    <w:rsid w:val="005C37C1"/>
    <w:rsid w:val="005D7833"/>
    <w:rsid w:val="005E10C4"/>
    <w:rsid w:val="005E1E0B"/>
    <w:rsid w:val="005E40F6"/>
    <w:rsid w:val="00662EA4"/>
    <w:rsid w:val="00672B7E"/>
    <w:rsid w:val="006E38C5"/>
    <w:rsid w:val="00712341"/>
    <w:rsid w:val="00734B86"/>
    <w:rsid w:val="00741F11"/>
    <w:rsid w:val="0075236B"/>
    <w:rsid w:val="007817C1"/>
    <w:rsid w:val="00794141"/>
    <w:rsid w:val="007C0414"/>
    <w:rsid w:val="007E2E59"/>
    <w:rsid w:val="008073DE"/>
    <w:rsid w:val="008B2D4D"/>
    <w:rsid w:val="008D110A"/>
    <w:rsid w:val="00944BC3"/>
    <w:rsid w:val="009A1BE6"/>
    <w:rsid w:val="009B1131"/>
    <w:rsid w:val="009D4608"/>
    <w:rsid w:val="009F3354"/>
    <w:rsid w:val="009F77B7"/>
    <w:rsid w:val="00A03C45"/>
    <w:rsid w:val="00A30B0B"/>
    <w:rsid w:val="00AA42F8"/>
    <w:rsid w:val="00AB507B"/>
    <w:rsid w:val="00AF0C89"/>
    <w:rsid w:val="00B208D8"/>
    <w:rsid w:val="00B21FB9"/>
    <w:rsid w:val="00B70734"/>
    <w:rsid w:val="00BE206E"/>
    <w:rsid w:val="00C5003F"/>
    <w:rsid w:val="00C52350"/>
    <w:rsid w:val="00CC69CB"/>
    <w:rsid w:val="00CF14C9"/>
    <w:rsid w:val="00D3326A"/>
    <w:rsid w:val="00D55DCC"/>
    <w:rsid w:val="00D55F43"/>
    <w:rsid w:val="00D76BDA"/>
    <w:rsid w:val="00DA5F7A"/>
    <w:rsid w:val="00DB3847"/>
    <w:rsid w:val="00DD715D"/>
    <w:rsid w:val="00DF627D"/>
    <w:rsid w:val="00E05DE7"/>
    <w:rsid w:val="00E25305"/>
    <w:rsid w:val="00E32953"/>
    <w:rsid w:val="00E443BA"/>
    <w:rsid w:val="00E50AD0"/>
    <w:rsid w:val="00E631DB"/>
    <w:rsid w:val="00E7650F"/>
    <w:rsid w:val="00F22F00"/>
    <w:rsid w:val="00F2658F"/>
    <w:rsid w:val="00F31F18"/>
    <w:rsid w:val="00F37160"/>
    <w:rsid w:val="00F40C35"/>
    <w:rsid w:val="00F70B39"/>
    <w:rsid w:val="00F760C3"/>
    <w:rsid w:val="00F86931"/>
    <w:rsid w:val="00F900A8"/>
    <w:rsid w:val="00F90A14"/>
    <w:rsid w:val="00F924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2189"/>
  <w15:chartTrackingRefBased/>
  <w15:docId w15:val="{42435D85-15FF-457B-A8A6-E98500EC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kern w:val="2"/>
        <w:sz w:val="22"/>
        <w:szCs w:val="24"/>
        <w:lang w:val="pl-PL" w:eastAsia="en-US" w:bidi="ar-SA"/>
        <w14:ligatures w14:val="standardContextual"/>
      </w:rPr>
    </w:rPrDefault>
    <w:pPrDefault>
      <w:pPr>
        <w:spacing w:before="120"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F77B7"/>
    <w:pPr>
      <w:spacing w:before="0" w:after="160" w:line="259" w:lineRule="auto"/>
    </w:pPr>
    <w:rPr>
      <w:rFonts w:asciiTheme="minorHAnsi" w:hAnsiTheme="minorHAnsi"/>
      <w:kern w:val="0"/>
      <w:szCs w:val="22"/>
      <w14:ligatures w14:val="none"/>
    </w:rPr>
  </w:style>
  <w:style w:type="paragraph" w:styleId="Nagwek1">
    <w:name w:val="heading 1"/>
    <w:basedOn w:val="Normalny"/>
    <w:next w:val="Normalny"/>
    <w:link w:val="Nagwek1Znak"/>
    <w:uiPriority w:val="9"/>
    <w:qFormat/>
    <w:rsid w:val="00944BC3"/>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944BC3"/>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944BC3"/>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944BC3"/>
    <w:pPr>
      <w:keepNext/>
      <w:keepLines/>
      <w:spacing w:before="80" w:after="40" w:line="240" w:lineRule="auto"/>
      <w:outlineLvl w:val="3"/>
    </w:pPr>
    <w:rPr>
      <w:rFonts w:eastAsiaTheme="majorEastAsia" w:cstheme="majorBidi"/>
      <w:i/>
      <w:iCs/>
      <w:color w:val="0F4761" w:themeColor="accent1" w:themeShade="BF"/>
      <w:kern w:val="2"/>
      <w:szCs w:val="24"/>
      <w14:ligatures w14:val="standardContextual"/>
    </w:rPr>
  </w:style>
  <w:style w:type="paragraph" w:styleId="Nagwek5">
    <w:name w:val="heading 5"/>
    <w:basedOn w:val="Normalny"/>
    <w:next w:val="Normalny"/>
    <w:link w:val="Nagwek5Znak"/>
    <w:uiPriority w:val="9"/>
    <w:semiHidden/>
    <w:unhideWhenUsed/>
    <w:qFormat/>
    <w:rsid w:val="00944BC3"/>
    <w:pPr>
      <w:keepNext/>
      <w:keepLines/>
      <w:spacing w:before="80" w:after="40" w:line="240" w:lineRule="auto"/>
      <w:outlineLvl w:val="4"/>
    </w:pPr>
    <w:rPr>
      <w:rFonts w:eastAsiaTheme="majorEastAsia" w:cstheme="majorBidi"/>
      <w:color w:val="0F4761" w:themeColor="accent1" w:themeShade="BF"/>
      <w:kern w:val="2"/>
      <w:szCs w:val="24"/>
      <w14:ligatures w14:val="standardContextual"/>
    </w:rPr>
  </w:style>
  <w:style w:type="paragraph" w:styleId="Nagwek6">
    <w:name w:val="heading 6"/>
    <w:basedOn w:val="Normalny"/>
    <w:next w:val="Normalny"/>
    <w:link w:val="Nagwek6Znak"/>
    <w:uiPriority w:val="9"/>
    <w:semiHidden/>
    <w:unhideWhenUsed/>
    <w:qFormat/>
    <w:rsid w:val="00944BC3"/>
    <w:pPr>
      <w:keepNext/>
      <w:keepLines/>
      <w:spacing w:before="40" w:after="0" w:line="240" w:lineRule="auto"/>
      <w:outlineLvl w:val="5"/>
    </w:pPr>
    <w:rPr>
      <w:rFonts w:eastAsiaTheme="majorEastAsia" w:cstheme="majorBidi"/>
      <w:i/>
      <w:iCs/>
      <w:color w:val="595959" w:themeColor="text1" w:themeTint="A6"/>
      <w:kern w:val="2"/>
      <w:szCs w:val="24"/>
      <w14:ligatures w14:val="standardContextual"/>
    </w:rPr>
  </w:style>
  <w:style w:type="paragraph" w:styleId="Nagwek7">
    <w:name w:val="heading 7"/>
    <w:basedOn w:val="Normalny"/>
    <w:next w:val="Normalny"/>
    <w:link w:val="Nagwek7Znak"/>
    <w:uiPriority w:val="9"/>
    <w:semiHidden/>
    <w:unhideWhenUsed/>
    <w:qFormat/>
    <w:rsid w:val="00944BC3"/>
    <w:pPr>
      <w:keepNext/>
      <w:keepLines/>
      <w:spacing w:before="40" w:after="0" w:line="240" w:lineRule="auto"/>
      <w:outlineLvl w:val="6"/>
    </w:pPr>
    <w:rPr>
      <w:rFonts w:eastAsiaTheme="majorEastAsia" w:cstheme="majorBidi"/>
      <w:color w:val="595959" w:themeColor="text1" w:themeTint="A6"/>
      <w:kern w:val="2"/>
      <w:szCs w:val="24"/>
      <w14:ligatures w14:val="standardContextual"/>
    </w:rPr>
  </w:style>
  <w:style w:type="paragraph" w:styleId="Nagwek8">
    <w:name w:val="heading 8"/>
    <w:basedOn w:val="Normalny"/>
    <w:next w:val="Normalny"/>
    <w:link w:val="Nagwek8Znak"/>
    <w:uiPriority w:val="9"/>
    <w:semiHidden/>
    <w:unhideWhenUsed/>
    <w:qFormat/>
    <w:rsid w:val="00944BC3"/>
    <w:pPr>
      <w:keepNext/>
      <w:keepLines/>
      <w:spacing w:after="0" w:line="240" w:lineRule="auto"/>
      <w:outlineLvl w:val="7"/>
    </w:pPr>
    <w:rPr>
      <w:rFonts w:eastAsiaTheme="majorEastAsia" w:cstheme="majorBidi"/>
      <w:i/>
      <w:iCs/>
      <w:color w:val="272727" w:themeColor="text1" w:themeTint="D8"/>
      <w:kern w:val="2"/>
      <w:szCs w:val="24"/>
      <w14:ligatures w14:val="standardContextual"/>
    </w:rPr>
  </w:style>
  <w:style w:type="paragraph" w:styleId="Nagwek9">
    <w:name w:val="heading 9"/>
    <w:basedOn w:val="Normalny"/>
    <w:next w:val="Normalny"/>
    <w:link w:val="Nagwek9Znak"/>
    <w:uiPriority w:val="9"/>
    <w:semiHidden/>
    <w:unhideWhenUsed/>
    <w:qFormat/>
    <w:rsid w:val="00944BC3"/>
    <w:pPr>
      <w:keepNext/>
      <w:keepLines/>
      <w:spacing w:after="0" w:line="240" w:lineRule="auto"/>
      <w:outlineLvl w:val="8"/>
    </w:pPr>
    <w:rPr>
      <w:rFonts w:eastAsiaTheme="majorEastAsia" w:cstheme="majorBidi"/>
      <w:color w:val="272727" w:themeColor="text1" w:themeTint="D8"/>
      <w:kern w:val="2"/>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44BC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44BC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44BC3"/>
    <w:rPr>
      <w:rFonts w:asciiTheme="minorHAnsi" w:eastAsiaTheme="majorEastAsia" w:hAnsiTheme="minorHAnsi"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44BC3"/>
    <w:rPr>
      <w:rFonts w:asciiTheme="minorHAnsi" w:eastAsiaTheme="majorEastAsia" w:hAnsiTheme="minorHAnsi" w:cstheme="majorBidi"/>
      <w:i/>
      <w:iCs/>
      <w:color w:val="0F4761" w:themeColor="accent1" w:themeShade="BF"/>
    </w:rPr>
  </w:style>
  <w:style w:type="character" w:customStyle="1" w:styleId="Nagwek5Znak">
    <w:name w:val="Nagłówek 5 Znak"/>
    <w:basedOn w:val="Domylnaczcionkaakapitu"/>
    <w:link w:val="Nagwek5"/>
    <w:uiPriority w:val="9"/>
    <w:semiHidden/>
    <w:rsid w:val="00944BC3"/>
    <w:rPr>
      <w:rFonts w:asciiTheme="minorHAnsi" w:eastAsiaTheme="majorEastAsia" w:hAnsiTheme="minorHAnsi" w:cstheme="majorBidi"/>
      <w:color w:val="0F4761" w:themeColor="accent1" w:themeShade="BF"/>
    </w:rPr>
  </w:style>
  <w:style w:type="character" w:customStyle="1" w:styleId="Nagwek6Znak">
    <w:name w:val="Nagłówek 6 Znak"/>
    <w:basedOn w:val="Domylnaczcionkaakapitu"/>
    <w:link w:val="Nagwek6"/>
    <w:uiPriority w:val="9"/>
    <w:semiHidden/>
    <w:rsid w:val="00944BC3"/>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944BC3"/>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944BC3"/>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944BC3"/>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944BC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944BC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44BC3"/>
    <w:pPr>
      <w:numPr>
        <w:ilvl w:val="1"/>
      </w:numPr>
      <w:spacing w:before="12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944BC3"/>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944BC3"/>
    <w:pPr>
      <w:spacing w:before="160" w:line="240" w:lineRule="auto"/>
      <w:jc w:val="center"/>
    </w:pPr>
    <w:rPr>
      <w:rFonts w:ascii="Calibri" w:hAnsi="Calibri"/>
      <w:i/>
      <w:iCs/>
      <w:color w:val="404040" w:themeColor="text1" w:themeTint="BF"/>
      <w:kern w:val="2"/>
      <w:szCs w:val="24"/>
      <w14:ligatures w14:val="standardContextual"/>
    </w:rPr>
  </w:style>
  <w:style w:type="character" w:customStyle="1" w:styleId="CytatZnak">
    <w:name w:val="Cytat Znak"/>
    <w:basedOn w:val="Domylnaczcionkaakapitu"/>
    <w:link w:val="Cytat"/>
    <w:uiPriority w:val="29"/>
    <w:rsid w:val="00944BC3"/>
    <w:rPr>
      <w:i/>
      <w:iCs/>
      <w:color w:val="404040" w:themeColor="text1" w:themeTint="BF"/>
    </w:rPr>
  </w:style>
  <w:style w:type="paragraph" w:styleId="Akapitzlist">
    <w:name w:val="List Paragraph"/>
    <w:basedOn w:val="Normalny"/>
    <w:uiPriority w:val="34"/>
    <w:qFormat/>
    <w:rsid w:val="00944BC3"/>
    <w:pPr>
      <w:spacing w:before="120" w:after="120" w:line="240" w:lineRule="auto"/>
      <w:ind w:left="720"/>
      <w:contextualSpacing/>
    </w:pPr>
    <w:rPr>
      <w:rFonts w:ascii="Calibri" w:hAnsi="Calibri"/>
      <w:kern w:val="2"/>
      <w:szCs w:val="24"/>
      <w14:ligatures w14:val="standardContextual"/>
    </w:rPr>
  </w:style>
  <w:style w:type="character" w:styleId="Wyrnienieintensywne">
    <w:name w:val="Intense Emphasis"/>
    <w:basedOn w:val="Domylnaczcionkaakapitu"/>
    <w:uiPriority w:val="21"/>
    <w:qFormat/>
    <w:rsid w:val="00944BC3"/>
    <w:rPr>
      <w:i/>
      <w:iCs/>
      <w:color w:val="0F4761" w:themeColor="accent1" w:themeShade="BF"/>
    </w:rPr>
  </w:style>
  <w:style w:type="paragraph" w:styleId="Cytatintensywny">
    <w:name w:val="Intense Quote"/>
    <w:basedOn w:val="Normalny"/>
    <w:next w:val="Normalny"/>
    <w:link w:val="CytatintensywnyZnak"/>
    <w:uiPriority w:val="30"/>
    <w:qFormat/>
    <w:rsid w:val="00944BC3"/>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Calibri" w:hAnsi="Calibri"/>
      <w:i/>
      <w:iCs/>
      <w:color w:val="0F4761" w:themeColor="accent1" w:themeShade="BF"/>
      <w:kern w:val="2"/>
      <w:szCs w:val="24"/>
      <w14:ligatures w14:val="standardContextual"/>
    </w:rPr>
  </w:style>
  <w:style w:type="character" w:customStyle="1" w:styleId="CytatintensywnyZnak">
    <w:name w:val="Cytat intensywny Znak"/>
    <w:basedOn w:val="Domylnaczcionkaakapitu"/>
    <w:link w:val="Cytatintensywny"/>
    <w:uiPriority w:val="30"/>
    <w:rsid w:val="00944BC3"/>
    <w:rPr>
      <w:i/>
      <w:iCs/>
      <w:color w:val="0F4761" w:themeColor="accent1" w:themeShade="BF"/>
    </w:rPr>
  </w:style>
  <w:style w:type="character" w:styleId="Odwoanieintensywne">
    <w:name w:val="Intense Reference"/>
    <w:basedOn w:val="Domylnaczcionkaakapitu"/>
    <w:uiPriority w:val="32"/>
    <w:qFormat/>
    <w:rsid w:val="00944BC3"/>
    <w:rPr>
      <w:b/>
      <w:bCs/>
      <w:smallCaps/>
      <w:color w:val="0F4761" w:themeColor="accent1" w:themeShade="BF"/>
      <w:spacing w:val="5"/>
    </w:rPr>
  </w:style>
  <w:style w:type="paragraph" w:customStyle="1" w:styleId="ARTartustawynprozporzdzenia">
    <w:name w:val="ART(§) – art. ustawy (§ np. rozporządzenia)"/>
    <w:uiPriority w:val="11"/>
    <w:qFormat/>
    <w:rsid w:val="009F77B7"/>
    <w:pPr>
      <w:suppressAutoHyphens/>
      <w:autoSpaceDE w:val="0"/>
      <w:autoSpaceDN w:val="0"/>
      <w:adjustRightInd w:val="0"/>
      <w:spacing w:after="0" w:line="360" w:lineRule="auto"/>
      <w:ind w:firstLine="510"/>
      <w:jc w:val="both"/>
    </w:pPr>
    <w:rPr>
      <w:rFonts w:ascii="Times" w:eastAsiaTheme="minorEastAsia" w:hAnsi="Times" w:cs="Arial"/>
      <w:kern w:val="0"/>
      <w:sz w:val="24"/>
      <w:szCs w:val="20"/>
      <w:lang w:eastAsia="pl-PL"/>
      <w14:ligatures w14:val="none"/>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F77B7"/>
    <w:rPr>
      <w:bCs/>
    </w:rPr>
  </w:style>
  <w:style w:type="paragraph" w:customStyle="1" w:styleId="ROZDZODDZOZNoznaczenierozdziauluboddziau">
    <w:name w:val="ROZDZ(ODDZ)_OZN – oznaczenie rozdziału lub oddziału"/>
    <w:next w:val="ARTartustawynprozporzdzenia"/>
    <w:uiPriority w:val="10"/>
    <w:qFormat/>
    <w:rsid w:val="009F77B7"/>
    <w:pPr>
      <w:keepNext/>
      <w:suppressAutoHyphens/>
      <w:spacing w:after="0" w:line="360" w:lineRule="auto"/>
      <w:jc w:val="center"/>
    </w:pPr>
    <w:rPr>
      <w:rFonts w:ascii="Times" w:eastAsiaTheme="minorEastAsia" w:hAnsi="Times" w:cs="Arial"/>
      <w:bCs/>
      <w:kern w:val="24"/>
      <w:sz w:val="24"/>
      <w:lang w:eastAsia="pl-PL"/>
      <w14:ligatures w14:val="none"/>
    </w:rPr>
  </w:style>
  <w:style w:type="character" w:customStyle="1" w:styleId="Ppogrubienie">
    <w:name w:val="_P_ – pogrubienie"/>
    <w:basedOn w:val="Domylnaczcionkaakapitu"/>
    <w:uiPriority w:val="1"/>
    <w:qFormat/>
    <w:rsid w:val="009F77B7"/>
    <w:rPr>
      <w:b/>
    </w:rPr>
  </w:style>
  <w:style w:type="character" w:styleId="Odwoaniedokomentarza">
    <w:name w:val="annotation reference"/>
    <w:basedOn w:val="Domylnaczcionkaakapitu"/>
    <w:uiPriority w:val="99"/>
    <w:semiHidden/>
    <w:unhideWhenUsed/>
    <w:rsid w:val="00F924A3"/>
    <w:rPr>
      <w:sz w:val="16"/>
      <w:szCs w:val="16"/>
    </w:rPr>
  </w:style>
  <w:style w:type="paragraph" w:styleId="Tekstkomentarza">
    <w:name w:val="annotation text"/>
    <w:basedOn w:val="Normalny"/>
    <w:link w:val="TekstkomentarzaZnak"/>
    <w:uiPriority w:val="99"/>
    <w:unhideWhenUsed/>
    <w:rsid w:val="00F924A3"/>
    <w:pPr>
      <w:spacing w:line="240" w:lineRule="auto"/>
    </w:pPr>
    <w:rPr>
      <w:sz w:val="20"/>
      <w:szCs w:val="20"/>
    </w:rPr>
  </w:style>
  <w:style w:type="character" w:customStyle="1" w:styleId="TekstkomentarzaZnak">
    <w:name w:val="Tekst komentarza Znak"/>
    <w:basedOn w:val="Domylnaczcionkaakapitu"/>
    <w:link w:val="Tekstkomentarza"/>
    <w:uiPriority w:val="99"/>
    <w:rsid w:val="00F924A3"/>
    <w:rPr>
      <w:rFonts w:asciiTheme="minorHAnsi" w:hAnsiTheme="minorHAnsi"/>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F924A3"/>
    <w:rPr>
      <w:b/>
      <w:bCs/>
    </w:rPr>
  </w:style>
  <w:style w:type="character" w:customStyle="1" w:styleId="TematkomentarzaZnak">
    <w:name w:val="Temat komentarza Znak"/>
    <w:basedOn w:val="TekstkomentarzaZnak"/>
    <w:link w:val="Tematkomentarza"/>
    <w:uiPriority w:val="99"/>
    <w:semiHidden/>
    <w:rsid w:val="00F924A3"/>
    <w:rPr>
      <w:rFonts w:asciiTheme="minorHAnsi" w:hAnsiTheme="minorHAnsi"/>
      <w:b/>
      <w:bCs/>
      <w:kern w:val="0"/>
      <w:sz w:val="20"/>
      <w:szCs w:val="20"/>
      <w14:ligatures w14:val="none"/>
    </w:rPr>
  </w:style>
  <w:style w:type="paragraph" w:styleId="Poprawka">
    <w:name w:val="Revision"/>
    <w:hidden/>
    <w:uiPriority w:val="99"/>
    <w:semiHidden/>
    <w:rsid w:val="00C52350"/>
    <w:pPr>
      <w:spacing w:before="0" w:after="0"/>
    </w:pPr>
    <w:rPr>
      <w:rFonts w:asciiTheme="minorHAnsi" w:hAnsiTheme="minorHAnsi"/>
      <w:kern w:val="0"/>
      <w:szCs w:val="22"/>
      <w14:ligatures w14:val="none"/>
    </w:rPr>
  </w:style>
  <w:style w:type="paragraph" w:styleId="Tekstprzypisudolnego">
    <w:name w:val="footnote text"/>
    <w:basedOn w:val="Normalny"/>
    <w:link w:val="TekstprzypisudolnegoZnak"/>
    <w:uiPriority w:val="99"/>
    <w:semiHidden/>
    <w:unhideWhenUsed/>
    <w:rsid w:val="008D110A"/>
    <w:pPr>
      <w:spacing w:after="60" w:line="240" w:lineRule="auto"/>
    </w:pPr>
    <w:rPr>
      <w:rFonts w:ascii="Lato" w:eastAsia="Calibri" w:hAnsi="Lato" w:cs="Times New Roman"/>
      <w:sz w:val="18"/>
      <w:szCs w:val="20"/>
    </w:rPr>
  </w:style>
  <w:style w:type="character" w:customStyle="1" w:styleId="TekstprzypisudolnegoZnak">
    <w:name w:val="Tekst przypisu dolnego Znak"/>
    <w:basedOn w:val="Domylnaczcionkaakapitu"/>
    <w:link w:val="Tekstprzypisudolnego"/>
    <w:uiPriority w:val="99"/>
    <w:semiHidden/>
    <w:rsid w:val="008D110A"/>
    <w:rPr>
      <w:rFonts w:ascii="Lato" w:eastAsia="Calibri" w:hAnsi="Lato" w:cs="Times New Roman"/>
      <w:kern w:val="0"/>
      <w:sz w:val="18"/>
      <w:szCs w:val="20"/>
      <w14:ligatures w14:val="none"/>
    </w:rPr>
  </w:style>
  <w:style w:type="character" w:styleId="Odwoanieprzypisudolnego">
    <w:name w:val="footnote reference"/>
    <w:basedOn w:val="Domylnaczcionkaakapitu"/>
    <w:uiPriority w:val="99"/>
    <w:semiHidden/>
    <w:unhideWhenUsed/>
    <w:rsid w:val="008D110A"/>
    <w:rPr>
      <w:rFonts w:ascii="Lato" w:hAnsi="Lato"/>
      <w:vertAlign w:val="superscript"/>
    </w:rPr>
  </w:style>
  <w:style w:type="paragraph" w:styleId="Tekstdymka">
    <w:name w:val="Balloon Text"/>
    <w:basedOn w:val="Normalny"/>
    <w:link w:val="TekstdymkaZnak"/>
    <w:uiPriority w:val="99"/>
    <w:semiHidden/>
    <w:unhideWhenUsed/>
    <w:rsid w:val="00F22F0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22F00"/>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886</Words>
  <Characters>5322</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Uzasadnienie_KSOPK</vt:lpstr>
    </vt:vector>
  </TitlesOfParts>
  <Company>COI</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Uzasadnienie_KSOPK</dc:title>
  <dc:subject/>
  <dc:creator>Piotr Szufnara</dc:creator>
  <cp:keywords/>
  <dc:description/>
  <cp:lastModifiedBy>Piotr Szufnara</cp:lastModifiedBy>
  <cp:revision>8</cp:revision>
  <dcterms:created xsi:type="dcterms:W3CDTF">2026-10-21T07:17:00Z</dcterms:created>
  <dcterms:modified xsi:type="dcterms:W3CDTF">2026-10-22T06:31:00Z</dcterms:modified>
</cp:coreProperties>
</file>