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7B54C" w14:textId="77777777" w:rsidR="00440F2C" w:rsidRPr="000E5283" w:rsidRDefault="00603166" w:rsidP="003D41B4">
      <w:pPr>
        <w:spacing w:before="120" w:after="120" w:line="264" w:lineRule="auto"/>
        <w:outlineLvl w:val="1"/>
        <w:rPr>
          <w:rFonts w:cstheme="minorHAnsi"/>
          <w:b/>
        </w:rPr>
      </w:pPr>
      <w:r w:rsidRPr="000E5283">
        <w:rPr>
          <w:rFonts w:cstheme="minorHAnsi"/>
          <w:b/>
        </w:rPr>
        <w:t>STANY ZJEDNOCZONE AMERYKI – INFORMATOR EKONOMICZNY</w:t>
      </w:r>
    </w:p>
    <w:p w14:paraId="32230A70" w14:textId="27401BA6" w:rsidR="00EB602A" w:rsidRPr="000E5283" w:rsidRDefault="00356831" w:rsidP="0094518C">
      <w:pPr>
        <w:pStyle w:val="Akapitzlist"/>
        <w:numPr>
          <w:ilvl w:val="0"/>
          <w:numId w:val="10"/>
        </w:numPr>
        <w:spacing w:before="240" w:after="120" w:line="264" w:lineRule="auto"/>
        <w:outlineLvl w:val="3"/>
        <w:rPr>
          <w:rFonts w:cstheme="minorHAnsi"/>
          <w:b/>
        </w:rPr>
      </w:pPr>
      <w:r w:rsidRPr="000E5283">
        <w:rPr>
          <w:rFonts w:cstheme="minorHAnsi"/>
          <w:b/>
        </w:rPr>
        <w:t>Opis gospodarki</w:t>
      </w:r>
      <w:r w:rsidR="00BC69B4" w:rsidRPr="000E5283">
        <w:rPr>
          <w:rFonts w:cstheme="minorHAnsi"/>
          <w:b/>
        </w:rPr>
        <w:t xml:space="preserve"> </w:t>
      </w:r>
      <w:r w:rsidRPr="000E5283">
        <w:rPr>
          <w:rFonts w:cstheme="minorHAnsi"/>
          <w:b/>
        </w:rPr>
        <w:t>i jej struktury</w:t>
      </w:r>
    </w:p>
    <w:p w14:paraId="05543ED6" w14:textId="5D21E530" w:rsidR="00ED0D2C" w:rsidRPr="000E5283" w:rsidRDefault="007A6981" w:rsidP="001C6429">
      <w:pPr>
        <w:pStyle w:val="Akapitzlist"/>
        <w:numPr>
          <w:ilvl w:val="1"/>
          <w:numId w:val="19"/>
        </w:numPr>
        <w:spacing w:before="240" w:after="120" w:line="264" w:lineRule="auto"/>
        <w:ind w:left="357" w:hanging="357"/>
        <w:contextualSpacing w:val="0"/>
        <w:outlineLvl w:val="3"/>
        <w:rPr>
          <w:rFonts w:cstheme="minorHAnsi"/>
          <w:b/>
        </w:rPr>
      </w:pPr>
      <w:r>
        <w:rPr>
          <w:rFonts w:cstheme="minorHAnsi"/>
          <w:b/>
        </w:rPr>
        <w:t>System gospodarczy</w:t>
      </w:r>
    </w:p>
    <w:p w14:paraId="0BFB4A8C" w14:textId="77777777" w:rsidR="00ED0D2C" w:rsidRPr="000E5283" w:rsidRDefault="00ED0D2C" w:rsidP="00A71497">
      <w:pPr>
        <w:spacing w:before="240" w:after="120" w:line="264" w:lineRule="auto"/>
        <w:jc w:val="both"/>
        <w:outlineLvl w:val="3"/>
        <w:rPr>
          <w:rFonts w:cstheme="minorHAnsi"/>
        </w:rPr>
      </w:pPr>
      <w:r w:rsidRPr="000E5283">
        <w:rPr>
          <w:rFonts w:cstheme="minorHAnsi"/>
        </w:rPr>
        <w:t>Departament Handlu (</w:t>
      </w:r>
      <w:r w:rsidRPr="000E5283">
        <w:rPr>
          <w:rFonts w:cstheme="minorHAnsi"/>
          <w:i/>
        </w:rPr>
        <w:t>U.S. Department of Commerce</w:t>
      </w:r>
      <w:r w:rsidRPr="000E5283">
        <w:rPr>
          <w:rFonts w:cstheme="minorHAnsi"/>
        </w:rPr>
        <w:t>) jest odpowiedzialny za rozwój gospodarczy</w:t>
      </w:r>
      <w:r w:rsidR="00846FCC" w:rsidRPr="000E5283">
        <w:rPr>
          <w:rFonts w:cstheme="minorHAnsi"/>
        </w:rPr>
        <w:t xml:space="preserve"> Stanów Zjednoczonych Ameryki. Jego m</w:t>
      </w:r>
      <w:r w:rsidRPr="000E5283">
        <w:rPr>
          <w:rFonts w:cstheme="minorHAnsi"/>
        </w:rPr>
        <w:t>isją jest promowanie tworzenia nowych miejsc pracy i podnoszenia standardów życia obywateli USA przez wspieranie wzrostu gospodarczego, technologicznej konkurencyjności i utrzymywania stałego rozwoju. W jego kompetencji jest gromadzenie danych gospodarczych i demograficznych, wydawanie patentów i rejestracja marek handlowych oraz inicjatywa w kreowaniu standardów przemysłowych.</w:t>
      </w:r>
    </w:p>
    <w:p w14:paraId="4267962E" w14:textId="77777777" w:rsidR="00ED0D2C" w:rsidRPr="000E5283" w:rsidRDefault="00ED0D2C" w:rsidP="00A71497">
      <w:pPr>
        <w:spacing w:before="240" w:after="120" w:line="264" w:lineRule="auto"/>
        <w:jc w:val="both"/>
        <w:outlineLvl w:val="3"/>
        <w:rPr>
          <w:rFonts w:cstheme="minorHAnsi"/>
        </w:rPr>
      </w:pPr>
      <w:r w:rsidRPr="000E5283">
        <w:rPr>
          <w:rFonts w:cstheme="minorHAnsi"/>
        </w:rPr>
        <w:t>Problematyką gospodarczą zajmują się również inne centralne jednostki administracji federalnej</w:t>
      </w:r>
      <w:r w:rsidR="00846FCC" w:rsidRPr="000E5283">
        <w:rPr>
          <w:rFonts w:cstheme="minorHAnsi"/>
        </w:rPr>
        <w:t>, w tym</w:t>
      </w:r>
      <w:r w:rsidRPr="000E5283">
        <w:rPr>
          <w:rFonts w:cstheme="minorHAnsi"/>
        </w:rPr>
        <w:t>: Departament Energii, Departament Rolnictwa, Departament Transportu, Departament Skarbu, Departament Pracy, Urząd Przedstawiciela Stanów Zjednoczonych ds. Handlu (USTR) oraz w pewnym zakresie Departament Stanu i Departament Obrony. Sprawami gospodarczymi zajmują się też jednostki administracyjne podległe władzom stanowym i lokalnym.</w:t>
      </w:r>
    </w:p>
    <w:p w14:paraId="1AF93AD4" w14:textId="77777777" w:rsidR="00ED0D2C" w:rsidRPr="000E5283" w:rsidRDefault="00ED0D2C" w:rsidP="00A71497">
      <w:pPr>
        <w:spacing w:before="240" w:after="120" w:line="264" w:lineRule="auto"/>
        <w:jc w:val="both"/>
        <w:outlineLvl w:val="3"/>
        <w:rPr>
          <w:rFonts w:cstheme="minorHAnsi"/>
        </w:rPr>
      </w:pPr>
      <w:r w:rsidRPr="000E5283">
        <w:rPr>
          <w:rFonts w:cstheme="minorHAnsi"/>
        </w:rPr>
        <w:t>W gospodarce amerykańskiej duże znaczenie ma Zarząd Rezerwy Federalnej (Fed) pełniący w USA rolę banku centralnego i decydujący, w sposób niezależny od administracji federalnej, o polityce monetarnej. Od 2018 r. przewodniczącym Rezerwy Federalnej jest Jerome Powell.</w:t>
      </w:r>
    </w:p>
    <w:p w14:paraId="05D43E98" w14:textId="7FBA6903" w:rsidR="008818CC" w:rsidRPr="000E5283" w:rsidRDefault="00F31415" w:rsidP="008818CC">
      <w:pPr>
        <w:spacing w:before="120" w:after="0" w:line="264" w:lineRule="auto"/>
        <w:jc w:val="both"/>
        <w:rPr>
          <w:rFonts w:cstheme="minorHAnsi"/>
        </w:rPr>
      </w:pPr>
      <w:r w:rsidRPr="000E5283">
        <w:rPr>
          <w:rFonts w:cstheme="minorHAnsi"/>
        </w:rPr>
        <w:t>Kandydatami</w:t>
      </w:r>
      <w:r w:rsidR="008818CC" w:rsidRPr="000E5283">
        <w:rPr>
          <w:rFonts w:cstheme="minorHAnsi"/>
        </w:rPr>
        <w:t xml:space="preserve"> </w:t>
      </w:r>
      <w:r w:rsidR="00A83DE5" w:rsidRPr="000E5283">
        <w:rPr>
          <w:rFonts w:cstheme="minorHAnsi"/>
        </w:rPr>
        <w:t xml:space="preserve">wskazanymi przez prezydenta Donalda Trumpa do objęcia stanowisk </w:t>
      </w:r>
      <w:r w:rsidR="00697C4E" w:rsidRPr="000E5283">
        <w:rPr>
          <w:rFonts w:cstheme="minorHAnsi"/>
        </w:rPr>
        <w:t xml:space="preserve">gospodarczych </w:t>
      </w:r>
      <w:r w:rsidR="00A83DE5" w:rsidRPr="000E5283">
        <w:rPr>
          <w:rFonts w:cstheme="minorHAnsi"/>
        </w:rPr>
        <w:t xml:space="preserve">w jego rządzie USA </w:t>
      </w:r>
      <w:r w:rsidR="008818CC" w:rsidRPr="000E5283">
        <w:rPr>
          <w:rFonts w:cstheme="minorHAnsi"/>
        </w:rPr>
        <w:t>są:</w:t>
      </w:r>
    </w:p>
    <w:p w14:paraId="3A71F887" w14:textId="77777777" w:rsidR="008818CC" w:rsidRPr="000E5283" w:rsidRDefault="00697C4E" w:rsidP="008818CC">
      <w:pPr>
        <w:spacing w:after="0" w:line="264" w:lineRule="auto"/>
        <w:jc w:val="both"/>
        <w:rPr>
          <w:rFonts w:cstheme="minorHAnsi"/>
        </w:rPr>
      </w:pPr>
      <w:r w:rsidRPr="000E5283">
        <w:rPr>
          <w:rFonts w:cstheme="minorHAnsi"/>
        </w:rPr>
        <w:t xml:space="preserve">Howard </w:t>
      </w:r>
      <w:r w:rsidR="008818CC" w:rsidRPr="000E5283">
        <w:rPr>
          <w:rFonts w:cstheme="minorHAnsi"/>
        </w:rPr>
        <w:t>Lutnick – Departament Handlu</w:t>
      </w:r>
    </w:p>
    <w:p w14:paraId="1ADFF87C" w14:textId="036326E7" w:rsidR="00F31415" w:rsidRPr="000E5283" w:rsidRDefault="00F31415" w:rsidP="00F31415">
      <w:pPr>
        <w:spacing w:after="0" w:line="264" w:lineRule="auto"/>
        <w:jc w:val="both"/>
        <w:rPr>
          <w:rFonts w:cstheme="minorHAnsi"/>
        </w:rPr>
      </w:pPr>
      <w:r w:rsidRPr="000E5283">
        <w:rPr>
          <w:rFonts w:cstheme="minorHAnsi"/>
        </w:rPr>
        <w:t>Lori Chavez-DeRemer – Departament Pracy</w:t>
      </w:r>
    </w:p>
    <w:p w14:paraId="0DD8229E" w14:textId="62ABE3F1" w:rsidR="00F31415" w:rsidRPr="000E5283" w:rsidRDefault="00F31415" w:rsidP="00F31415">
      <w:pPr>
        <w:spacing w:after="0" w:line="264" w:lineRule="auto"/>
        <w:jc w:val="both"/>
        <w:rPr>
          <w:rFonts w:cstheme="minorHAnsi"/>
        </w:rPr>
      </w:pPr>
      <w:r w:rsidRPr="000E5283">
        <w:rPr>
          <w:rFonts w:cstheme="minorHAnsi"/>
        </w:rPr>
        <w:t>Brooke Rollins – Departament Rolnictwa</w:t>
      </w:r>
    </w:p>
    <w:p w14:paraId="56DD2551" w14:textId="2D5B955F" w:rsidR="00F31415" w:rsidRPr="000E5283" w:rsidRDefault="00F31415" w:rsidP="001646EF">
      <w:pPr>
        <w:spacing w:after="0" w:line="264" w:lineRule="auto"/>
        <w:jc w:val="both"/>
        <w:rPr>
          <w:rFonts w:cstheme="minorHAnsi"/>
        </w:rPr>
      </w:pPr>
      <w:r w:rsidRPr="000E5283">
        <w:rPr>
          <w:rFonts w:cstheme="minorHAnsi"/>
        </w:rPr>
        <w:t xml:space="preserve">Jamieson Greer - </w:t>
      </w:r>
      <w:r w:rsidR="002667BC" w:rsidRPr="000E5283">
        <w:rPr>
          <w:rFonts w:cstheme="minorHAnsi"/>
        </w:rPr>
        <w:t>Przedstawiciel USA ds. Handlu (USTR)</w:t>
      </w:r>
    </w:p>
    <w:p w14:paraId="30C3D802" w14:textId="77777777" w:rsidR="00070C80" w:rsidRPr="004E7EDF" w:rsidRDefault="00070C80" w:rsidP="00070C80">
      <w:pPr>
        <w:spacing w:after="0" w:line="264" w:lineRule="auto"/>
        <w:jc w:val="both"/>
        <w:rPr>
          <w:rFonts w:cstheme="minorHAnsi"/>
        </w:rPr>
      </w:pPr>
    </w:p>
    <w:p w14:paraId="1A8023C1" w14:textId="30AB8CF7" w:rsidR="00070C80" w:rsidRPr="000E5283" w:rsidRDefault="00070C80" w:rsidP="00070C80">
      <w:pPr>
        <w:spacing w:after="0" w:line="264" w:lineRule="auto"/>
        <w:jc w:val="both"/>
        <w:rPr>
          <w:rFonts w:cstheme="minorHAnsi"/>
        </w:rPr>
      </w:pPr>
      <w:r w:rsidRPr="000E5283">
        <w:rPr>
          <w:rFonts w:cstheme="minorHAnsi"/>
        </w:rPr>
        <w:t xml:space="preserve">Według stanu na </w:t>
      </w:r>
      <w:r w:rsidR="002A6EA7">
        <w:rPr>
          <w:rFonts w:cstheme="minorHAnsi"/>
        </w:rPr>
        <w:t>10</w:t>
      </w:r>
      <w:r w:rsidRPr="000E5283">
        <w:rPr>
          <w:rFonts w:cstheme="minorHAnsi"/>
        </w:rPr>
        <w:t>.02.2025 zatwierdzenie Senatu uzyskali:</w:t>
      </w:r>
    </w:p>
    <w:p w14:paraId="1408F44D" w14:textId="77777777" w:rsidR="00070C80" w:rsidRPr="004E7EDF" w:rsidRDefault="00070C80" w:rsidP="00070C80">
      <w:pPr>
        <w:spacing w:after="0" w:line="264" w:lineRule="auto"/>
        <w:jc w:val="both"/>
        <w:rPr>
          <w:rFonts w:eastAsia="Times New Roman" w:cstheme="minorHAnsi"/>
          <w:lang w:val="en-US"/>
        </w:rPr>
      </w:pPr>
      <w:r w:rsidRPr="004E7EDF">
        <w:rPr>
          <w:rFonts w:eastAsia="Times New Roman" w:cstheme="minorHAnsi"/>
          <w:lang w:val="en-US"/>
        </w:rPr>
        <w:t>Scott Bessent - Departament Skarbu</w:t>
      </w:r>
    </w:p>
    <w:p w14:paraId="42649935" w14:textId="72BB678B" w:rsidR="00070C80" w:rsidRPr="000E5283" w:rsidRDefault="00070C80" w:rsidP="00070C80">
      <w:pPr>
        <w:spacing w:after="0" w:line="264" w:lineRule="auto"/>
        <w:jc w:val="both"/>
        <w:rPr>
          <w:rFonts w:cstheme="minorHAnsi"/>
          <w:lang w:val="en-US"/>
        </w:rPr>
      </w:pPr>
      <w:r w:rsidRPr="000E5283">
        <w:rPr>
          <w:rFonts w:cstheme="minorHAnsi"/>
          <w:lang w:val="en-US"/>
        </w:rPr>
        <w:t>Sean Duffy – Departament Transportu</w:t>
      </w:r>
    </w:p>
    <w:p w14:paraId="2D7E2BF7" w14:textId="3ECCD5E4" w:rsidR="00070C80" w:rsidRPr="000E5283" w:rsidRDefault="00070C80" w:rsidP="001646EF">
      <w:pPr>
        <w:spacing w:after="0" w:line="264" w:lineRule="auto"/>
        <w:jc w:val="both"/>
        <w:rPr>
          <w:rFonts w:cstheme="minorHAnsi"/>
          <w:lang w:val="en-US"/>
        </w:rPr>
      </w:pPr>
      <w:r w:rsidRPr="000E5283">
        <w:rPr>
          <w:rFonts w:cstheme="minorHAnsi"/>
          <w:lang w:val="en-US"/>
        </w:rPr>
        <w:t>Chris Wright – Departament Energii</w:t>
      </w:r>
    </w:p>
    <w:p w14:paraId="11416A7C" w14:textId="77777777" w:rsidR="00F33740" w:rsidRPr="000E5283" w:rsidRDefault="00F33740" w:rsidP="00F33740">
      <w:pPr>
        <w:spacing w:before="240" w:after="120" w:line="264" w:lineRule="auto"/>
        <w:jc w:val="both"/>
        <w:outlineLvl w:val="3"/>
        <w:rPr>
          <w:rFonts w:cstheme="minorHAnsi"/>
        </w:rPr>
      </w:pPr>
      <w:bookmarkStart w:id="0" w:name="_GoBack"/>
      <w:bookmarkEnd w:id="0"/>
      <w:r w:rsidRPr="000E5283">
        <w:rPr>
          <w:rFonts w:cstheme="minorHAnsi"/>
        </w:rPr>
        <w:t>Amerykańska gospodarka w 2023 r. wzrastając w tempie przewyższającym prognozy ekonomistów wykazała się dużą odpornością pomimo obaw o recesję oraz oczekiwań, że polityka Fed zastosowana w celu walki z nadmierną inflacją niekorzystnie wpłynie na jej rozwój. Według danych Biura Analiz Ekonomicznych (BEA), w 2022 r. wzrost PKB w skali roku wyniósł 2,9% wobec 2,5%. Największy udział w tym miały wydatki i inwestycje rządowe, eksport oraz konsumpcja prywatna. W USA szczególnie mocna okazała się druga połowa roku, gdzie w III i IV kwartale wzrost w ujęciu rocznym osiągnął odpowiednio 4,4% i 3,2%. Rosnące płace pracowników i zwiększona podaż pracy pozwoliły gospodarce na wzrost bez nadmiernego zwiększania presji inflacyjnej, co było kluczowe w przełamaniu obaw dotyczących możliwego schłodzenia gospodarki wskutek utrzymujących się wysokich stóp procentowych.</w:t>
      </w:r>
    </w:p>
    <w:p w14:paraId="159EDC82" w14:textId="77777777" w:rsidR="00F33740" w:rsidRPr="000E5283" w:rsidRDefault="00F33740" w:rsidP="00F33740">
      <w:pPr>
        <w:spacing w:before="240" w:after="120" w:line="264" w:lineRule="auto"/>
        <w:jc w:val="both"/>
        <w:outlineLvl w:val="3"/>
        <w:rPr>
          <w:rFonts w:cstheme="minorHAnsi"/>
        </w:rPr>
      </w:pPr>
      <w:r w:rsidRPr="000E5283">
        <w:rPr>
          <w:rFonts w:cstheme="minorHAnsi"/>
        </w:rPr>
        <w:t xml:space="preserve">PKB USA w ujęciu rocznym wzrósł w III kwartale 2024 r. o 2,8% wobec 3% wzrostu w II kwartale i 1,6% w I kwartale. Na wynik ten decydujący wpływ miał wzrost wydatków konsumpcyjnych, eksportu, oraz wydatków rządu federalnego. Wzrost wydatków konsumpcyjnych dotyczył zarówno towarów, jak i </w:t>
      </w:r>
      <w:r w:rsidRPr="000E5283">
        <w:rPr>
          <w:rFonts w:cstheme="minorHAnsi"/>
        </w:rPr>
        <w:lastRenderedPageBreak/>
        <w:t>usług. W segmencie towarów największy udział miały „inne dobra nietrwałe” (głównie leki na receptę) oraz pojazdy silnikowe i części. W ramach usług największy wkład wniosły opieka zdrowotna (usługi ambulatoryjne), a także usługi gastronomiczne i zakwaterowanie. Wzrost eksportu odzwierciedlał głównie wzrost cen towarów (na czele z dobrami inwestycyjnymi, z wyłączeniem motoryzacji). Wzrost wydatków rządu federalnego był napędzany przez wydatki na obronę. Wzrost importu odzwierciedlał przede wszystkim wzrost cen towarów (głównie dóbr inwestycyjnych, z wyłączeniem motoryzacji).</w:t>
      </w:r>
    </w:p>
    <w:p w14:paraId="647D2BD5" w14:textId="3EB4FF6C" w:rsidR="00F33740" w:rsidRPr="00F33740" w:rsidRDefault="00F33740" w:rsidP="00F33740">
      <w:pPr>
        <w:spacing w:before="240" w:after="120" w:line="264" w:lineRule="auto"/>
        <w:jc w:val="both"/>
        <w:outlineLvl w:val="3"/>
        <w:rPr>
          <w:rFonts w:cstheme="minorHAnsi"/>
        </w:rPr>
      </w:pPr>
      <w:r w:rsidRPr="000E5283">
        <w:rPr>
          <w:rFonts w:cstheme="minorHAnsi"/>
        </w:rPr>
        <w:t>W porównaniu z II kwartałem niewielkie spowolnienie wzrostu PKB w III kwartale wynikało głównie ze spadku prywatnych inwestycji w zapasy i większego spadku inwestycji w mieszkaniowe środki trwałe. Zostało to częściowo skompensowane przez wzrost eksportu, wydatków konsumpcyjnych i wydatków rządu federalnego.</w:t>
      </w:r>
    </w:p>
    <w:p w14:paraId="3C20F096" w14:textId="0A5470EF" w:rsidR="006536C9" w:rsidRPr="000E5283" w:rsidRDefault="006536C9" w:rsidP="0094518C">
      <w:pPr>
        <w:pStyle w:val="Akapitzlist"/>
        <w:numPr>
          <w:ilvl w:val="1"/>
          <w:numId w:val="19"/>
        </w:numPr>
        <w:spacing w:before="240" w:after="120" w:line="264" w:lineRule="auto"/>
        <w:outlineLvl w:val="3"/>
        <w:rPr>
          <w:rFonts w:cstheme="minorHAnsi"/>
          <w:b/>
        </w:rPr>
      </w:pPr>
      <w:r w:rsidRPr="000E5283">
        <w:rPr>
          <w:rFonts w:cstheme="minorHAnsi"/>
          <w:b/>
        </w:rPr>
        <w:t>Najważniejsze strategie gospodarcze </w:t>
      </w:r>
    </w:p>
    <w:p w14:paraId="56BA800F" w14:textId="77777777" w:rsidR="00482958" w:rsidRPr="000E5283" w:rsidRDefault="00482958" w:rsidP="00A71497">
      <w:pPr>
        <w:spacing w:before="240" w:after="120" w:line="264" w:lineRule="auto"/>
        <w:jc w:val="both"/>
        <w:outlineLvl w:val="3"/>
        <w:rPr>
          <w:rFonts w:cstheme="minorHAnsi"/>
        </w:rPr>
      </w:pPr>
      <w:r w:rsidRPr="000E5283">
        <w:rPr>
          <w:rFonts w:cstheme="minorHAnsi"/>
        </w:rPr>
        <w:t xml:space="preserve">Nowoczesna amerykańska strategia przemysłowa stanowi podstawę agendy administracji Bidena mającej na celu zwiększenie globalnej konkurencyjności Stanów Zjednoczonych. </w:t>
      </w:r>
      <w:r w:rsidR="007E0404" w:rsidRPr="000E5283">
        <w:rPr>
          <w:rFonts w:cstheme="minorHAnsi"/>
        </w:rPr>
        <w:t>Jej założeniem jest</w:t>
      </w:r>
      <w:r w:rsidRPr="000E5283">
        <w:rPr>
          <w:rFonts w:cstheme="minorHAnsi"/>
        </w:rPr>
        <w:t xml:space="preserve"> przyspieszenie rozwoju innowacyjnych technologii i kluczowych gałęzi przemysłu, przy jednoczesnym wsp</w:t>
      </w:r>
      <w:r w:rsidR="007E0404" w:rsidRPr="000E5283">
        <w:rPr>
          <w:rFonts w:cstheme="minorHAnsi"/>
        </w:rPr>
        <w:t>arciu</w:t>
      </w:r>
      <w:r w:rsidRPr="000E5283">
        <w:rPr>
          <w:rFonts w:cstheme="minorHAnsi"/>
        </w:rPr>
        <w:t xml:space="preserve"> amerykańskiej klasy średniej i odbudowie potencjału produkcyjnego USA. </w:t>
      </w:r>
      <w:r w:rsidR="007E0404" w:rsidRPr="000E5283">
        <w:rPr>
          <w:rFonts w:cstheme="minorHAnsi"/>
        </w:rPr>
        <w:t>Strategia ta opiera się na</w:t>
      </w:r>
      <w:r w:rsidRPr="000E5283">
        <w:rPr>
          <w:rFonts w:cstheme="minorHAnsi"/>
        </w:rPr>
        <w:t xml:space="preserve"> inwestycj</w:t>
      </w:r>
      <w:r w:rsidR="007E0404" w:rsidRPr="000E5283">
        <w:rPr>
          <w:rFonts w:cstheme="minorHAnsi"/>
        </w:rPr>
        <w:t>ach</w:t>
      </w:r>
      <w:r w:rsidRPr="000E5283">
        <w:rPr>
          <w:rFonts w:cstheme="minorHAnsi"/>
        </w:rPr>
        <w:t xml:space="preserve"> sektora publicznego i prywatnego w technologie i branże uznane za krytyczne dla bezpieczeństwa narodowego i gospodarczego. Priorytetow</w:t>
      </w:r>
      <w:r w:rsidR="007E0404" w:rsidRPr="000E5283">
        <w:rPr>
          <w:rFonts w:cstheme="minorHAnsi"/>
        </w:rPr>
        <w:t>ymi</w:t>
      </w:r>
      <w:r w:rsidRPr="000E5283">
        <w:rPr>
          <w:rFonts w:cstheme="minorHAnsi"/>
        </w:rPr>
        <w:t xml:space="preserve"> akt</w:t>
      </w:r>
      <w:r w:rsidR="007E0404" w:rsidRPr="000E5283">
        <w:rPr>
          <w:rFonts w:cstheme="minorHAnsi"/>
        </w:rPr>
        <w:t>ami</w:t>
      </w:r>
      <w:r w:rsidRPr="000E5283">
        <w:rPr>
          <w:rFonts w:cstheme="minorHAnsi"/>
        </w:rPr>
        <w:t xml:space="preserve"> prawn</w:t>
      </w:r>
      <w:r w:rsidR="007E0404" w:rsidRPr="000E5283">
        <w:rPr>
          <w:rFonts w:cstheme="minorHAnsi"/>
        </w:rPr>
        <w:t>ymi</w:t>
      </w:r>
      <w:r w:rsidRPr="000E5283">
        <w:rPr>
          <w:rFonts w:cstheme="minorHAnsi"/>
        </w:rPr>
        <w:t xml:space="preserve"> koncentrując</w:t>
      </w:r>
      <w:r w:rsidR="007E0404" w:rsidRPr="000E5283">
        <w:rPr>
          <w:rFonts w:cstheme="minorHAnsi"/>
        </w:rPr>
        <w:t>ymi</w:t>
      </w:r>
      <w:r w:rsidRPr="000E5283">
        <w:rPr>
          <w:rFonts w:cstheme="minorHAnsi"/>
        </w:rPr>
        <w:t xml:space="preserve"> się na odbudowie infrastruktury, zwiększeniu odporności łańcuchów dostaw i przyspieszeniu przejścia na gospodarkę opartą na czystej energii </w:t>
      </w:r>
      <w:r w:rsidR="007E0404" w:rsidRPr="000E5283">
        <w:rPr>
          <w:rFonts w:cstheme="minorHAnsi"/>
        </w:rPr>
        <w:t>jest</w:t>
      </w:r>
      <w:r w:rsidRPr="000E5283">
        <w:rPr>
          <w:rFonts w:cstheme="minorHAnsi"/>
        </w:rPr>
        <w:t>:</w:t>
      </w:r>
    </w:p>
    <w:p w14:paraId="4BCFA9EC" w14:textId="77777777" w:rsidR="00482958" w:rsidRPr="000E5283" w:rsidRDefault="00482958" w:rsidP="00482958">
      <w:pPr>
        <w:pStyle w:val="Akapitzlist"/>
        <w:numPr>
          <w:ilvl w:val="0"/>
          <w:numId w:val="12"/>
        </w:numPr>
        <w:spacing w:before="120" w:after="120" w:line="264" w:lineRule="auto"/>
        <w:contextualSpacing w:val="0"/>
        <w:jc w:val="both"/>
        <w:rPr>
          <w:rFonts w:cstheme="minorHAnsi"/>
        </w:rPr>
      </w:pPr>
      <w:r w:rsidRPr="000E5283">
        <w:rPr>
          <w:rFonts w:cstheme="minorHAnsi"/>
          <w:b/>
        </w:rPr>
        <w:t xml:space="preserve">Ustawa o inwestycjach w infrastrukturę i miejscach pracy </w:t>
      </w:r>
      <w:r w:rsidRPr="000E5283">
        <w:rPr>
          <w:rFonts w:cstheme="minorHAnsi"/>
        </w:rPr>
        <w:t>(</w:t>
      </w:r>
      <w:r w:rsidRPr="000E5283">
        <w:rPr>
          <w:rFonts w:cstheme="minorHAnsi"/>
          <w:b/>
        </w:rPr>
        <w:t>(</w:t>
      </w:r>
      <w:r w:rsidRPr="000E5283">
        <w:rPr>
          <w:rFonts w:cstheme="minorHAnsi"/>
          <w:b/>
          <w:i/>
        </w:rPr>
        <w:t>Infrastructure Investment and Jobs Act, IIJA</w:t>
      </w:r>
      <w:r w:rsidRPr="000E5283">
        <w:rPr>
          <w:rFonts w:cstheme="minorHAnsi"/>
          <w:b/>
        </w:rPr>
        <w:t>)</w:t>
      </w:r>
      <w:r w:rsidRPr="000E5283">
        <w:rPr>
          <w:rFonts w:cstheme="minorHAnsi"/>
        </w:rPr>
        <w:t xml:space="preserve"> z listopada 2021 r., która przeznacza 1,2 bln USD na wzmocnienie infrastruktury i konkurencyjności amerykańskiej gospodarki. IIJA ma na celu sfinansowanie odbudowy i modernizacji infrastruktury publicznej (w tym transportu, infrastruktury wodnej, wytwarzania czystej energii i łączności szerokopasmowej). </w:t>
      </w:r>
      <w:r w:rsidR="007E0404" w:rsidRPr="000E5283">
        <w:rPr>
          <w:rFonts w:cstheme="minorHAnsi"/>
        </w:rPr>
        <w:t xml:space="preserve">Dążeniem </w:t>
      </w:r>
      <w:r w:rsidRPr="000E5283">
        <w:rPr>
          <w:rFonts w:cstheme="minorHAnsi"/>
        </w:rPr>
        <w:t xml:space="preserve">IIJA </w:t>
      </w:r>
      <w:r w:rsidR="007E0404" w:rsidRPr="000E5283">
        <w:rPr>
          <w:rFonts w:cstheme="minorHAnsi"/>
        </w:rPr>
        <w:t>jest</w:t>
      </w:r>
      <w:r w:rsidRPr="000E5283">
        <w:rPr>
          <w:rFonts w:cstheme="minorHAnsi"/>
        </w:rPr>
        <w:t xml:space="preserve"> popraw</w:t>
      </w:r>
      <w:r w:rsidR="007E0404" w:rsidRPr="000E5283">
        <w:rPr>
          <w:rFonts w:cstheme="minorHAnsi"/>
        </w:rPr>
        <w:t>a</w:t>
      </w:r>
      <w:r w:rsidRPr="000E5283">
        <w:rPr>
          <w:rFonts w:cstheme="minorHAnsi"/>
        </w:rPr>
        <w:t xml:space="preserve"> stanu amerykańskiej infrastruktury transportowej</w:t>
      </w:r>
      <w:r w:rsidR="007E0404" w:rsidRPr="000E5283">
        <w:rPr>
          <w:rFonts w:cstheme="minorHAnsi"/>
        </w:rPr>
        <w:t xml:space="preserve"> </w:t>
      </w:r>
      <w:r w:rsidR="00935991" w:rsidRPr="000E5283">
        <w:rPr>
          <w:rFonts w:cstheme="minorHAnsi"/>
        </w:rPr>
        <w:t>w celu</w:t>
      </w:r>
      <w:r w:rsidRPr="000E5283">
        <w:rPr>
          <w:rFonts w:cstheme="minorHAnsi"/>
        </w:rPr>
        <w:t xml:space="preserve"> </w:t>
      </w:r>
      <w:r w:rsidR="00935991" w:rsidRPr="000E5283">
        <w:rPr>
          <w:rFonts w:cstheme="minorHAnsi"/>
        </w:rPr>
        <w:t xml:space="preserve">wzmocnienia </w:t>
      </w:r>
      <w:r w:rsidRPr="000E5283">
        <w:rPr>
          <w:rFonts w:cstheme="minorHAnsi"/>
        </w:rPr>
        <w:t>gospodark</w:t>
      </w:r>
      <w:r w:rsidR="007E0404" w:rsidRPr="000E5283">
        <w:rPr>
          <w:rFonts w:cstheme="minorHAnsi"/>
        </w:rPr>
        <w:t>i</w:t>
      </w:r>
      <w:r w:rsidRPr="000E5283">
        <w:rPr>
          <w:rFonts w:cstheme="minorHAnsi"/>
        </w:rPr>
        <w:t xml:space="preserve"> i pozycj</w:t>
      </w:r>
      <w:r w:rsidR="007E0404" w:rsidRPr="000E5283">
        <w:rPr>
          <w:rFonts w:cstheme="minorHAnsi"/>
        </w:rPr>
        <w:t>i</w:t>
      </w:r>
      <w:r w:rsidRPr="000E5283">
        <w:rPr>
          <w:rFonts w:cstheme="minorHAnsi"/>
        </w:rPr>
        <w:t xml:space="preserve"> USA w rywalizacji z globalnymi konkurentami. IIJA obejmuje również środki wspierające rozwój elektromobilności, ochronę klimatu i wzmocnienie bezpieczeństwa infrastruktury krytycznej.</w:t>
      </w:r>
    </w:p>
    <w:p w14:paraId="78B6A0D7" w14:textId="77777777" w:rsidR="007E0404" w:rsidRPr="000E5283" w:rsidRDefault="007E0404" w:rsidP="007E0404">
      <w:pPr>
        <w:pStyle w:val="Akapitzlist"/>
        <w:numPr>
          <w:ilvl w:val="0"/>
          <w:numId w:val="12"/>
        </w:numPr>
        <w:spacing w:before="120" w:after="120" w:line="264" w:lineRule="auto"/>
        <w:contextualSpacing w:val="0"/>
        <w:jc w:val="both"/>
        <w:rPr>
          <w:rFonts w:cstheme="minorHAnsi"/>
        </w:rPr>
      </w:pPr>
      <w:r w:rsidRPr="000E5283">
        <w:rPr>
          <w:rFonts w:cstheme="minorHAnsi"/>
          <w:b/>
        </w:rPr>
        <w:t>Ustawa CHIPS and Science Act (CHIPS Act)</w:t>
      </w:r>
      <w:r w:rsidRPr="000E5283">
        <w:rPr>
          <w:rFonts w:cstheme="minorHAnsi"/>
        </w:rPr>
        <w:t xml:space="preserve"> z sierpnia 2022 r., która zakłada wzrost wydatków na wsparcie amerykańskiego potencjału naukowo-technologicznego i konkurencyjności gospodarki w wymiarze krajowym i międzynarodowym, ze szczególnym uwzględnieniem potencjału produkcji półprzewodników. CHIPS Act wprowadza mechanizm finansowania o wartości 52,7 mld USD na rzecz zaawansowanej produkcji półprzewodników, w tym 11 mld USD na badania i rozwój. Zapewnia </w:t>
      </w:r>
      <w:r w:rsidR="00935991" w:rsidRPr="000E5283">
        <w:rPr>
          <w:rFonts w:cstheme="minorHAnsi"/>
        </w:rPr>
        <w:t>także</w:t>
      </w:r>
      <w:r w:rsidRPr="000E5283">
        <w:rPr>
          <w:rFonts w:cstheme="minorHAnsi"/>
        </w:rPr>
        <w:t xml:space="preserve"> 25% ulgę podatkową na inwestycje dla producentów półprzewodników, co stanowi dodatkowe 24 mld USD. Ustawa ma na celu wzmocnienie amerykańskiej produkcji, łańcuchów dostaw i bezpieczeństwa narodowego, a także sektora badań i rozwoju oraz technologii, w tym nanotechnologii, czystej energii, obliczeń kwantowych i sztucznej inteligencji. Kongres przyjął pakiet instrumentów, przewidujący transfer do poszczególnych agend rządowych na przestrzeni pięciu lat środków </w:t>
      </w:r>
      <w:r w:rsidR="00935991" w:rsidRPr="000E5283">
        <w:rPr>
          <w:rFonts w:cstheme="minorHAnsi"/>
        </w:rPr>
        <w:t>w</w:t>
      </w:r>
      <w:r w:rsidRPr="000E5283">
        <w:rPr>
          <w:rFonts w:cstheme="minorHAnsi"/>
        </w:rPr>
        <w:t xml:space="preserve"> wysokości ok. 200 mld USD, które mają wzmocnić </w:t>
      </w:r>
      <w:r w:rsidR="00935991" w:rsidRPr="000E5283">
        <w:rPr>
          <w:rFonts w:cstheme="minorHAnsi"/>
        </w:rPr>
        <w:t>b</w:t>
      </w:r>
      <w:r w:rsidRPr="000E5283">
        <w:rPr>
          <w:rFonts w:cstheme="minorHAnsi"/>
        </w:rPr>
        <w:t xml:space="preserve">adania i </w:t>
      </w:r>
      <w:r w:rsidR="00935991" w:rsidRPr="000E5283">
        <w:rPr>
          <w:rFonts w:cstheme="minorHAnsi"/>
        </w:rPr>
        <w:t>r</w:t>
      </w:r>
      <w:r w:rsidRPr="000E5283">
        <w:rPr>
          <w:rFonts w:cstheme="minorHAnsi"/>
        </w:rPr>
        <w:t xml:space="preserve">ozwój </w:t>
      </w:r>
      <w:r w:rsidR="00935991" w:rsidRPr="000E5283">
        <w:rPr>
          <w:rFonts w:cstheme="minorHAnsi"/>
        </w:rPr>
        <w:t xml:space="preserve">w obszarze </w:t>
      </w:r>
      <w:r w:rsidRPr="000E5283">
        <w:rPr>
          <w:rFonts w:cstheme="minorHAnsi"/>
        </w:rPr>
        <w:t>branż high-tech.</w:t>
      </w:r>
    </w:p>
    <w:p w14:paraId="11455DB5" w14:textId="77777777" w:rsidR="00EE064C" w:rsidRPr="000E5283" w:rsidRDefault="00EE064C" w:rsidP="00EE064C">
      <w:pPr>
        <w:pStyle w:val="Akapitzlist"/>
        <w:numPr>
          <w:ilvl w:val="0"/>
          <w:numId w:val="12"/>
        </w:numPr>
        <w:spacing w:before="120" w:after="120" w:line="264" w:lineRule="auto"/>
        <w:contextualSpacing w:val="0"/>
        <w:jc w:val="both"/>
        <w:rPr>
          <w:rFonts w:cstheme="minorHAnsi"/>
        </w:rPr>
      </w:pPr>
      <w:r w:rsidRPr="000E5283">
        <w:rPr>
          <w:rFonts w:cstheme="minorHAnsi"/>
          <w:b/>
        </w:rPr>
        <w:t>Ustawa o redukcji inflacji (</w:t>
      </w:r>
      <w:r w:rsidRPr="000E5283">
        <w:rPr>
          <w:rFonts w:cstheme="minorHAnsi"/>
          <w:b/>
          <w:i/>
        </w:rPr>
        <w:t>Inflation Reduction Act, I</w:t>
      </w:r>
      <w:r w:rsidR="00482958" w:rsidRPr="000E5283">
        <w:rPr>
          <w:rFonts w:cstheme="minorHAnsi"/>
          <w:b/>
        </w:rPr>
        <w:t>RA)</w:t>
      </w:r>
      <w:r w:rsidRPr="000E5283">
        <w:rPr>
          <w:rFonts w:cstheme="minorHAnsi"/>
        </w:rPr>
        <w:t xml:space="preserve"> z sierpnia 2022 r., która przyznaje rządowi instrumenty do walki ze zmianami klimatu. Obejmuje ona m.in. finansowanie w wysokości 369 mld USD w obszarach transformacji energetycznej i przeciwdziałania zmianom klimatu, głównie w postaci ulg podatkowych. Zawiera zapisy dot. utworzenia Programu </w:t>
      </w:r>
      <w:r w:rsidRPr="000E5283">
        <w:rPr>
          <w:rFonts w:cstheme="minorHAnsi"/>
        </w:rPr>
        <w:lastRenderedPageBreak/>
        <w:t xml:space="preserve">Redukcji Emisji Metanu z sektora ropy naftowej i gazu ziemnego. </w:t>
      </w:r>
      <w:r w:rsidR="00935991" w:rsidRPr="000E5283">
        <w:rPr>
          <w:rFonts w:cstheme="minorHAnsi"/>
        </w:rPr>
        <w:t>Jej celem jest:</w:t>
      </w:r>
      <w:r w:rsidRPr="000E5283">
        <w:rPr>
          <w:rFonts w:cstheme="minorHAnsi"/>
        </w:rPr>
        <w:t xml:space="preserve"> przyspiesz</w:t>
      </w:r>
      <w:r w:rsidR="00935991" w:rsidRPr="000E5283">
        <w:rPr>
          <w:rFonts w:cstheme="minorHAnsi"/>
        </w:rPr>
        <w:t xml:space="preserve">enie </w:t>
      </w:r>
      <w:r w:rsidRPr="000E5283">
        <w:rPr>
          <w:rFonts w:cstheme="minorHAnsi"/>
        </w:rPr>
        <w:t>rozw</w:t>
      </w:r>
      <w:r w:rsidR="00935991" w:rsidRPr="000E5283">
        <w:rPr>
          <w:rFonts w:cstheme="minorHAnsi"/>
        </w:rPr>
        <w:t xml:space="preserve">oju </w:t>
      </w:r>
      <w:r w:rsidRPr="000E5283">
        <w:rPr>
          <w:rFonts w:cstheme="minorHAnsi"/>
        </w:rPr>
        <w:t>technologii sekwestracji CO2</w:t>
      </w:r>
      <w:r w:rsidR="00935991" w:rsidRPr="000E5283">
        <w:rPr>
          <w:rFonts w:cstheme="minorHAnsi"/>
        </w:rPr>
        <w:t>; wsparcie</w:t>
      </w:r>
      <w:r w:rsidRPr="000E5283">
        <w:rPr>
          <w:rFonts w:cstheme="minorHAnsi"/>
        </w:rPr>
        <w:t xml:space="preserve"> rozw</w:t>
      </w:r>
      <w:r w:rsidR="00935991" w:rsidRPr="000E5283">
        <w:rPr>
          <w:rFonts w:cstheme="minorHAnsi"/>
        </w:rPr>
        <w:t>oju</w:t>
      </w:r>
      <w:r w:rsidRPr="000E5283">
        <w:rPr>
          <w:rFonts w:cstheme="minorHAnsi"/>
        </w:rPr>
        <w:t xml:space="preserve"> cywilnej energetyki jądrowej</w:t>
      </w:r>
      <w:r w:rsidR="00935991" w:rsidRPr="000E5283">
        <w:rPr>
          <w:rFonts w:cstheme="minorHAnsi"/>
        </w:rPr>
        <w:t>;</w:t>
      </w:r>
      <w:r w:rsidRPr="000E5283">
        <w:rPr>
          <w:rFonts w:cstheme="minorHAnsi"/>
        </w:rPr>
        <w:t xml:space="preserve"> finansowanie działań wspierających dostępność wysokowartościowego ni</w:t>
      </w:r>
      <w:r w:rsidR="00935991" w:rsidRPr="000E5283">
        <w:rPr>
          <w:rFonts w:cstheme="minorHAnsi"/>
        </w:rPr>
        <w:t>sko wzbogaconego uranu (HALEU). IRA p</w:t>
      </w:r>
      <w:r w:rsidRPr="000E5283">
        <w:rPr>
          <w:rFonts w:cstheme="minorHAnsi"/>
        </w:rPr>
        <w:t>rzewiduje ulgi podatkowe na rzecz rozwoju morskiej energii wiatrowej oraz zezwala na zwiększenie obszarów rozwoju morskiej energetyki wiatrowej w USA. Obejmuje przepisy dot. pojazdów elektrycznych, których głównym celem jest wspieranie produkcji krajowej i wprowadzenie wymogu bardziej strategicznego zaopatrzenia w minerały krytyczne. Środki finansowe w wysokości 62 mld USD na transformację energetyczną zostały też ulokowane w ww. ustawie infrastrukturalnej.</w:t>
      </w:r>
    </w:p>
    <w:p w14:paraId="2D289723" w14:textId="77777777" w:rsidR="00932213" w:rsidRPr="000E5283" w:rsidRDefault="00F76AF0" w:rsidP="00A71497">
      <w:pPr>
        <w:spacing w:before="240" w:after="120" w:line="264" w:lineRule="auto"/>
        <w:jc w:val="both"/>
        <w:outlineLvl w:val="3"/>
        <w:rPr>
          <w:rFonts w:cstheme="minorHAnsi"/>
          <w:highlight w:val="yellow"/>
        </w:rPr>
      </w:pPr>
      <w:r w:rsidRPr="000E5283">
        <w:rPr>
          <w:rFonts w:cstheme="minorHAnsi"/>
        </w:rPr>
        <w:t>Celem ww. trzech ustaw</w:t>
      </w:r>
      <w:r w:rsidR="00402A0E" w:rsidRPr="000E5283">
        <w:rPr>
          <w:rFonts w:cstheme="minorHAnsi"/>
        </w:rPr>
        <w:t xml:space="preserve"> </w:t>
      </w:r>
      <w:r w:rsidRPr="000E5283">
        <w:rPr>
          <w:rFonts w:cstheme="minorHAnsi"/>
        </w:rPr>
        <w:t>jest tworzenie</w:t>
      </w:r>
      <w:r w:rsidR="00932213" w:rsidRPr="000E5283">
        <w:rPr>
          <w:rFonts w:cstheme="minorHAnsi"/>
        </w:rPr>
        <w:t xml:space="preserve"> wysokiej j</w:t>
      </w:r>
      <w:r w:rsidRPr="000E5283">
        <w:rPr>
          <w:rFonts w:cstheme="minorHAnsi"/>
        </w:rPr>
        <w:t>akości miejsc pracy, a także kierowanie</w:t>
      </w:r>
      <w:r w:rsidR="00932213" w:rsidRPr="000E5283">
        <w:rPr>
          <w:rFonts w:cstheme="minorHAnsi"/>
        </w:rPr>
        <w:t xml:space="preserve"> inwestycji do </w:t>
      </w:r>
      <w:r w:rsidR="00402A0E" w:rsidRPr="000E5283">
        <w:rPr>
          <w:rFonts w:cstheme="minorHAnsi"/>
        </w:rPr>
        <w:t>obszarów</w:t>
      </w:r>
      <w:r w:rsidR="00932213" w:rsidRPr="000E5283">
        <w:rPr>
          <w:rFonts w:cstheme="minorHAnsi"/>
        </w:rPr>
        <w:t>, które zostały „pozostawione w tyle” gospodarczo w ciągu ostatnich dekad.</w:t>
      </w:r>
    </w:p>
    <w:p w14:paraId="7AA92E14" w14:textId="77777777" w:rsidR="00EC3759" w:rsidRPr="000E5283" w:rsidRDefault="00CC3CB7" w:rsidP="00F20694">
      <w:pPr>
        <w:pStyle w:val="Akapitzlist"/>
        <w:numPr>
          <w:ilvl w:val="1"/>
          <w:numId w:val="19"/>
        </w:numPr>
        <w:spacing w:before="240" w:after="120" w:line="264" w:lineRule="auto"/>
        <w:outlineLvl w:val="3"/>
        <w:rPr>
          <w:rFonts w:eastAsia="Times New Roman" w:cstheme="minorHAnsi"/>
          <w:lang w:eastAsia="pl-PL"/>
        </w:rPr>
      </w:pPr>
      <w:r w:rsidRPr="000E5283">
        <w:rPr>
          <w:rFonts w:cstheme="minorHAnsi"/>
          <w:b/>
        </w:rPr>
        <w:t>Główne sektory gospodarki i ich udział w PKB</w:t>
      </w:r>
    </w:p>
    <w:p w14:paraId="4759BB16" w14:textId="77777777" w:rsidR="0074243C" w:rsidRPr="000E5283" w:rsidRDefault="0074243C" w:rsidP="00A71497">
      <w:pPr>
        <w:spacing w:before="240" w:after="120" w:line="264" w:lineRule="auto"/>
        <w:jc w:val="both"/>
        <w:outlineLvl w:val="3"/>
        <w:rPr>
          <w:rFonts w:eastAsia="Times New Roman" w:cstheme="minorHAnsi"/>
          <w:color w:val="1B1B1B"/>
          <w:lang w:eastAsia="pl-PL"/>
        </w:rPr>
      </w:pPr>
      <w:r w:rsidRPr="000E5283">
        <w:rPr>
          <w:rFonts w:eastAsia="Times New Roman" w:cstheme="minorHAnsi"/>
          <w:color w:val="1B1B1B"/>
          <w:lang w:eastAsia="pl-PL"/>
        </w:rPr>
        <w:t xml:space="preserve">Według szacunków BEA, PKB </w:t>
      </w:r>
      <w:r w:rsidR="00A71497" w:rsidRPr="000E5283">
        <w:rPr>
          <w:rFonts w:eastAsia="Times New Roman" w:cstheme="minorHAnsi"/>
          <w:color w:val="1B1B1B"/>
          <w:lang w:eastAsia="pl-PL"/>
        </w:rPr>
        <w:t>USA</w:t>
      </w:r>
      <w:r w:rsidRPr="000E5283">
        <w:rPr>
          <w:rFonts w:eastAsia="Times New Roman" w:cstheme="minorHAnsi"/>
          <w:color w:val="1B1B1B"/>
          <w:lang w:eastAsia="pl-PL"/>
        </w:rPr>
        <w:t xml:space="preserve"> w 2024 r. osiągnie </w:t>
      </w:r>
      <w:r w:rsidR="00A71497" w:rsidRPr="000E5283">
        <w:rPr>
          <w:rFonts w:eastAsia="Times New Roman" w:cstheme="minorHAnsi"/>
          <w:color w:val="1B1B1B"/>
          <w:lang w:eastAsia="pl-PL"/>
        </w:rPr>
        <w:t xml:space="preserve">ponad </w:t>
      </w:r>
      <w:r w:rsidRPr="000E5283">
        <w:rPr>
          <w:rFonts w:eastAsia="Times New Roman" w:cstheme="minorHAnsi"/>
          <w:color w:val="1B1B1B"/>
          <w:lang w:eastAsia="pl-PL"/>
        </w:rPr>
        <w:t xml:space="preserve">29 </w:t>
      </w:r>
      <w:r w:rsidR="00A71497" w:rsidRPr="000E5283">
        <w:rPr>
          <w:rFonts w:eastAsia="Times New Roman" w:cstheme="minorHAnsi"/>
          <w:color w:val="1B1B1B"/>
          <w:lang w:eastAsia="pl-PL"/>
        </w:rPr>
        <w:t>bln</w:t>
      </w:r>
      <w:r w:rsidRPr="000E5283">
        <w:rPr>
          <w:rFonts w:eastAsia="Times New Roman" w:cstheme="minorHAnsi"/>
          <w:color w:val="1B1B1B"/>
          <w:lang w:eastAsia="pl-PL"/>
        </w:rPr>
        <w:t xml:space="preserve"> USD. 88,7% amerykańskiego PKB pochodzi z sektora prywatnego, podczas gdy 11,3% jest generowana przez sektor publiczny (na poziomie </w:t>
      </w:r>
      <w:r w:rsidRPr="000E5283">
        <w:rPr>
          <w:rFonts w:cstheme="minorHAnsi"/>
        </w:rPr>
        <w:t>federalnym</w:t>
      </w:r>
      <w:r w:rsidRPr="000E5283">
        <w:rPr>
          <w:rFonts w:eastAsia="Times New Roman" w:cstheme="minorHAnsi"/>
          <w:color w:val="1B1B1B"/>
          <w:lang w:eastAsia="pl-PL"/>
        </w:rPr>
        <w:t xml:space="preserve"> (3,6%), stanowym i lokalnym (7,7%)).</w:t>
      </w:r>
    </w:p>
    <w:p w14:paraId="586B24B7" w14:textId="77777777" w:rsidR="00CC3CB7" w:rsidRPr="000E5283" w:rsidRDefault="00697C4E" w:rsidP="00697C4E">
      <w:pPr>
        <w:spacing w:before="240" w:after="120" w:line="264" w:lineRule="auto"/>
        <w:jc w:val="both"/>
        <w:outlineLvl w:val="3"/>
        <w:rPr>
          <w:rFonts w:eastAsia="Times New Roman" w:cstheme="minorHAnsi"/>
          <w:color w:val="1B1B1B"/>
          <w:lang w:eastAsia="pl-PL"/>
        </w:rPr>
      </w:pPr>
      <w:r w:rsidRPr="000E5283">
        <w:rPr>
          <w:rFonts w:eastAsia="Times New Roman" w:cstheme="minorHAnsi"/>
          <w:color w:val="1B1B1B"/>
          <w:lang w:eastAsia="pl-PL"/>
        </w:rPr>
        <w:t xml:space="preserve">W II kwartale 2024 r., w ramach PKB generowanego przez sektor prywatny - 0,8% pochodzi z sektora rolnictwa, leśnictwa i łowiectwa, 1,4% - przypada na sektor wydobywczy, </w:t>
      </w:r>
      <w:r w:rsidR="00C93566" w:rsidRPr="000E5283">
        <w:rPr>
          <w:rFonts w:eastAsia="Times New Roman" w:cstheme="minorHAnsi"/>
          <w:color w:val="1B1B1B"/>
          <w:lang w:eastAsia="pl-PL"/>
        </w:rPr>
        <w:t xml:space="preserve">1,5% - </w:t>
      </w:r>
      <w:r w:rsidR="008B6F09" w:rsidRPr="000E5283">
        <w:rPr>
          <w:rFonts w:eastAsia="Times New Roman" w:cstheme="minorHAnsi"/>
          <w:color w:val="1B1B1B"/>
          <w:lang w:eastAsia="pl-PL"/>
        </w:rPr>
        <w:t xml:space="preserve">usługi </w:t>
      </w:r>
      <w:r w:rsidRPr="000E5283">
        <w:rPr>
          <w:rFonts w:eastAsia="Times New Roman" w:cstheme="minorHAnsi"/>
          <w:color w:val="1B1B1B"/>
          <w:lang w:eastAsia="pl-PL"/>
        </w:rPr>
        <w:t>komunalne</w:t>
      </w:r>
      <w:r w:rsidR="00C93566" w:rsidRPr="000E5283">
        <w:rPr>
          <w:rFonts w:eastAsia="Times New Roman" w:cstheme="minorHAnsi"/>
          <w:color w:val="1B1B1B"/>
          <w:lang w:eastAsia="pl-PL"/>
        </w:rPr>
        <w:t xml:space="preserve">, 4,5% - budownictwo, 10,0% - produkcja, 5,8% - handel hurtowy, 6,3% </w:t>
      </w:r>
      <w:r w:rsidRPr="000E5283">
        <w:rPr>
          <w:rFonts w:eastAsia="Times New Roman" w:cstheme="minorHAnsi"/>
          <w:color w:val="1B1B1B"/>
          <w:lang w:eastAsia="pl-PL"/>
        </w:rPr>
        <w:t xml:space="preserve">- </w:t>
      </w:r>
      <w:r w:rsidR="00C93566" w:rsidRPr="000E5283">
        <w:rPr>
          <w:rFonts w:eastAsia="Times New Roman" w:cstheme="minorHAnsi"/>
          <w:color w:val="1B1B1B"/>
          <w:lang w:eastAsia="pl-PL"/>
        </w:rPr>
        <w:t>handel detaliczny, 3,3% - sektor transportowy i magazyny, 5,4% - sektor informacyjny/medialny, 21,2% - finanse, ubezpieczenia, nieruchomości, 13,2% - usługi pr</w:t>
      </w:r>
      <w:r w:rsidR="006A73DC" w:rsidRPr="000E5283">
        <w:rPr>
          <w:rFonts w:eastAsia="Times New Roman" w:cstheme="minorHAnsi"/>
          <w:color w:val="1B1B1B"/>
          <w:lang w:eastAsia="pl-PL"/>
        </w:rPr>
        <w:t xml:space="preserve">ofesjonalne i biznesowe, 1,1% </w:t>
      </w:r>
      <w:r w:rsidR="00C93566" w:rsidRPr="000E5283">
        <w:rPr>
          <w:rFonts w:eastAsia="Times New Roman" w:cstheme="minorHAnsi"/>
          <w:color w:val="1B1B1B"/>
          <w:lang w:eastAsia="pl-PL"/>
        </w:rPr>
        <w:t>usługi w sektorze edukacji</w:t>
      </w:r>
      <w:r w:rsidR="006A73DC" w:rsidRPr="000E5283">
        <w:rPr>
          <w:rFonts w:eastAsia="Times New Roman" w:cstheme="minorHAnsi"/>
          <w:color w:val="1B1B1B"/>
          <w:lang w:eastAsia="pl-PL"/>
        </w:rPr>
        <w:t xml:space="preserve">, 7,6% - usługi w </w:t>
      </w:r>
      <w:r w:rsidR="00D7662F" w:rsidRPr="000E5283">
        <w:rPr>
          <w:rFonts w:eastAsia="Times New Roman" w:cstheme="minorHAnsi"/>
          <w:color w:val="1B1B1B"/>
          <w:lang w:eastAsia="pl-PL"/>
        </w:rPr>
        <w:t xml:space="preserve">sektorze </w:t>
      </w:r>
      <w:r w:rsidR="00C93566" w:rsidRPr="000E5283">
        <w:rPr>
          <w:rFonts w:eastAsia="Times New Roman" w:cstheme="minorHAnsi"/>
          <w:color w:val="1B1B1B"/>
          <w:lang w:eastAsia="pl-PL"/>
        </w:rPr>
        <w:t xml:space="preserve">ochrony zdrowia, </w:t>
      </w:r>
      <w:r w:rsidR="006A73DC" w:rsidRPr="000E5283">
        <w:rPr>
          <w:rFonts w:eastAsia="Times New Roman" w:cstheme="minorHAnsi"/>
          <w:color w:val="1B1B1B"/>
          <w:lang w:eastAsia="pl-PL"/>
        </w:rPr>
        <w:t>4,5</w:t>
      </w:r>
      <w:r w:rsidR="00D7662F" w:rsidRPr="000E5283">
        <w:rPr>
          <w:rFonts w:eastAsia="Times New Roman" w:cstheme="minorHAnsi"/>
          <w:color w:val="1B1B1B"/>
          <w:lang w:eastAsia="pl-PL"/>
        </w:rPr>
        <w:t>% - sztuka, rozrywka, rekreacja</w:t>
      </w:r>
      <w:r w:rsidR="006A73DC" w:rsidRPr="000E5283">
        <w:rPr>
          <w:rFonts w:eastAsia="Times New Roman" w:cstheme="minorHAnsi"/>
          <w:color w:val="1B1B1B"/>
          <w:lang w:eastAsia="pl-PL"/>
        </w:rPr>
        <w:t>, hotele, gastronomia, 2,2% - inne usługi.</w:t>
      </w:r>
      <w:r w:rsidR="00D7662F" w:rsidRPr="000E5283">
        <w:rPr>
          <w:rFonts w:eastAsia="Times New Roman" w:cstheme="minorHAnsi"/>
          <w:color w:val="1B1B1B"/>
          <w:lang w:eastAsia="pl-PL"/>
        </w:rPr>
        <w:t xml:space="preserve"> </w:t>
      </w:r>
    </w:p>
    <w:p w14:paraId="216C65A3" w14:textId="77777777" w:rsidR="00C03E0F" w:rsidRPr="000E5283" w:rsidRDefault="001C6429" w:rsidP="00A71497">
      <w:pPr>
        <w:spacing w:before="240" w:after="120" w:line="264" w:lineRule="auto"/>
        <w:jc w:val="both"/>
        <w:outlineLvl w:val="3"/>
        <w:rPr>
          <w:rFonts w:eastAsia="Times New Roman" w:cstheme="minorHAnsi"/>
          <w:color w:val="1B1B1B"/>
          <w:lang w:eastAsia="pl-PL"/>
        </w:rPr>
      </w:pPr>
      <w:r w:rsidRPr="000E5283">
        <w:rPr>
          <w:rFonts w:eastAsia="Times New Roman" w:cstheme="minorHAnsi"/>
          <w:color w:val="1B1B1B"/>
          <w:lang w:eastAsia="pl-PL"/>
        </w:rPr>
        <w:t xml:space="preserve">Zgodnie z danymi za rok 2023, </w:t>
      </w:r>
      <w:r w:rsidR="00A71497" w:rsidRPr="000E5283">
        <w:rPr>
          <w:rFonts w:eastAsia="Times New Roman" w:cstheme="minorHAnsi"/>
          <w:color w:val="1B1B1B"/>
          <w:lang w:eastAsia="pl-PL"/>
        </w:rPr>
        <w:t>USA</w:t>
      </w:r>
      <w:r w:rsidRPr="000E5283">
        <w:rPr>
          <w:rFonts w:eastAsia="Times New Roman" w:cstheme="minorHAnsi"/>
          <w:color w:val="1B1B1B"/>
          <w:lang w:eastAsia="pl-PL"/>
        </w:rPr>
        <w:t xml:space="preserve"> generując 15,9% globalnej produkcji przemysłowej </w:t>
      </w:r>
      <w:r w:rsidR="00C03E0F" w:rsidRPr="000E5283">
        <w:rPr>
          <w:rFonts w:eastAsia="Times New Roman" w:cstheme="minorHAnsi"/>
          <w:color w:val="1B1B1B"/>
          <w:lang w:eastAsia="pl-PL"/>
        </w:rPr>
        <w:t xml:space="preserve">zajmują drugie miejsce </w:t>
      </w:r>
      <w:r w:rsidR="00C35E03" w:rsidRPr="000E5283">
        <w:rPr>
          <w:rFonts w:eastAsia="Times New Roman" w:cstheme="minorHAnsi"/>
          <w:color w:val="1B1B1B"/>
          <w:lang w:eastAsia="pl-PL"/>
        </w:rPr>
        <w:t xml:space="preserve">po Chinach. </w:t>
      </w:r>
      <w:r w:rsidRPr="000E5283">
        <w:rPr>
          <w:rFonts w:eastAsia="Times New Roman" w:cstheme="minorHAnsi"/>
          <w:color w:val="1B1B1B"/>
          <w:lang w:eastAsia="pl-PL"/>
        </w:rPr>
        <w:t>P</w:t>
      </w:r>
      <w:r w:rsidR="00C03E0F" w:rsidRPr="000E5283">
        <w:rPr>
          <w:rFonts w:eastAsia="Times New Roman" w:cstheme="minorHAnsi"/>
          <w:color w:val="1B1B1B"/>
          <w:lang w:eastAsia="pl-PL"/>
        </w:rPr>
        <w:t xml:space="preserve">rodukcja przemysłowa w USA jest </w:t>
      </w:r>
      <w:r w:rsidRPr="000E5283">
        <w:rPr>
          <w:rFonts w:eastAsia="Times New Roman" w:cstheme="minorHAnsi"/>
          <w:color w:val="1B1B1B"/>
          <w:lang w:eastAsia="pl-PL"/>
        </w:rPr>
        <w:t>mocn</w:t>
      </w:r>
      <w:r w:rsidR="00C03E0F" w:rsidRPr="000E5283">
        <w:rPr>
          <w:rFonts w:eastAsia="Times New Roman" w:cstheme="minorHAnsi"/>
          <w:color w:val="1B1B1B"/>
          <w:lang w:eastAsia="pl-PL"/>
        </w:rPr>
        <w:t>o zróżnicowana i charakteryzuje się wysokim poziomem innowacyjności. Główne branże obejmują przemysł petrochemiczny, stalowy, motoryzacyjny</w:t>
      </w:r>
      <w:r w:rsidR="00DF0C7B" w:rsidRPr="000E5283">
        <w:rPr>
          <w:rFonts w:eastAsia="Times New Roman" w:cstheme="minorHAnsi"/>
          <w:color w:val="1B1B1B"/>
          <w:lang w:eastAsia="pl-PL"/>
        </w:rPr>
        <w:t>,</w:t>
      </w:r>
      <w:r w:rsidR="00C03E0F" w:rsidRPr="000E5283">
        <w:rPr>
          <w:rFonts w:eastAsia="Times New Roman" w:cstheme="minorHAnsi"/>
          <w:color w:val="1B1B1B"/>
          <w:lang w:eastAsia="pl-PL"/>
        </w:rPr>
        <w:t xml:space="preserve"> lotniczy, chemiczny, farmaceutyczny, telekomunikację, elektronikę, przemysł spożywczy, dóbr konsumpcyjnych, drzewny i górnictwo. Stany Zjednoczone zajmują dominującą pozycję w dziedzinie oprogramowania i technologii informatycznych, których udział w światowym rynku szacuje się na prawie 40%.</w:t>
      </w:r>
    </w:p>
    <w:p w14:paraId="5683D9EF" w14:textId="77777777" w:rsidR="005518EA" w:rsidRPr="000E5283" w:rsidRDefault="005518EA" w:rsidP="000454F4">
      <w:pPr>
        <w:pStyle w:val="Akapitzlist"/>
        <w:numPr>
          <w:ilvl w:val="1"/>
          <w:numId w:val="19"/>
        </w:numPr>
        <w:spacing w:before="240" w:after="120" w:line="264" w:lineRule="auto"/>
        <w:jc w:val="both"/>
        <w:outlineLvl w:val="3"/>
        <w:rPr>
          <w:rFonts w:cstheme="minorHAnsi"/>
          <w:b/>
        </w:rPr>
      </w:pPr>
      <w:r w:rsidRPr="000E5283">
        <w:rPr>
          <w:rFonts w:cstheme="minorHAnsi"/>
          <w:b/>
        </w:rPr>
        <w:t>Polityka kursowa</w:t>
      </w:r>
    </w:p>
    <w:p w14:paraId="5826905F" w14:textId="7F9F318D" w:rsidR="007179C9" w:rsidRPr="007179C9" w:rsidRDefault="00DF0C7B" w:rsidP="00A71497">
      <w:pPr>
        <w:spacing w:before="240" w:after="120" w:line="264" w:lineRule="auto"/>
        <w:jc w:val="both"/>
        <w:outlineLvl w:val="3"/>
        <w:rPr>
          <w:rFonts w:eastAsia="Times New Roman" w:cstheme="minorHAnsi"/>
          <w:color w:val="1B1B1B"/>
          <w:lang w:eastAsia="pl-PL"/>
        </w:rPr>
      </w:pPr>
      <w:r w:rsidRPr="000E5283">
        <w:rPr>
          <w:rFonts w:eastAsia="Times New Roman" w:cstheme="minorHAnsi"/>
          <w:color w:val="1B1B1B"/>
          <w:lang w:eastAsia="pl-PL"/>
        </w:rPr>
        <w:t>Oficjalną walutą obowiązującą w Stanach Zjednoczonych jest dolar amerykański (USD). Jest to równocześnie główna wa</w:t>
      </w:r>
      <w:r w:rsidR="00121DFA" w:rsidRPr="000E5283">
        <w:rPr>
          <w:rFonts w:eastAsia="Times New Roman" w:cstheme="minorHAnsi"/>
          <w:color w:val="1B1B1B"/>
          <w:lang w:eastAsia="pl-PL"/>
        </w:rPr>
        <w:t>luta rezerwowa świata. Pełni funkcję podstawowej waluty w transakcjach międzynarodowych oraz jednego z najbezpieczniejszych aktywów. USD</w:t>
      </w:r>
      <w:r w:rsidRPr="000E5283">
        <w:rPr>
          <w:rFonts w:eastAsia="Times New Roman" w:cstheme="minorHAnsi"/>
          <w:color w:val="1B1B1B"/>
          <w:lang w:eastAsia="pl-PL"/>
        </w:rPr>
        <w:t xml:space="preserve"> jest walutą płynną, a </w:t>
      </w:r>
      <w:r w:rsidR="00121DFA" w:rsidRPr="000E5283">
        <w:rPr>
          <w:rFonts w:eastAsia="Times New Roman" w:cstheme="minorHAnsi"/>
          <w:color w:val="1B1B1B"/>
          <w:lang w:eastAsia="pl-PL"/>
        </w:rPr>
        <w:t>o jego aktualnej wartości w</w:t>
      </w:r>
      <w:r w:rsidRPr="000E5283">
        <w:rPr>
          <w:rFonts w:eastAsia="Times New Roman" w:cstheme="minorHAnsi"/>
          <w:color w:val="1B1B1B"/>
          <w:lang w:eastAsia="pl-PL"/>
        </w:rPr>
        <w:t xml:space="preserve"> stosunku do innych walut </w:t>
      </w:r>
      <w:r w:rsidR="00121DFA" w:rsidRPr="000E5283">
        <w:rPr>
          <w:rFonts w:eastAsia="Times New Roman" w:cstheme="minorHAnsi"/>
          <w:color w:val="1B1B1B"/>
          <w:lang w:eastAsia="pl-PL"/>
        </w:rPr>
        <w:t>decyduje</w:t>
      </w:r>
      <w:r w:rsidRPr="000E5283">
        <w:rPr>
          <w:rFonts w:eastAsia="Times New Roman" w:cstheme="minorHAnsi"/>
          <w:color w:val="1B1B1B"/>
          <w:lang w:eastAsia="pl-PL"/>
        </w:rPr>
        <w:t xml:space="preserve"> rynek.</w:t>
      </w:r>
    </w:p>
    <w:p w14:paraId="5F745DD1" w14:textId="77777777" w:rsidR="00BC69B4" w:rsidRPr="000E5283" w:rsidRDefault="00BC69B4" w:rsidP="00F20694">
      <w:pPr>
        <w:pStyle w:val="Akapitzlist"/>
        <w:numPr>
          <w:ilvl w:val="1"/>
          <w:numId w:val="19"/>
        </w:numPr>
        <w:spacing w:before="240" w:after="120" w:line="264" w:lineRule="auto"/>
        <w:outlineLvl w:val="3"/>
        <w:rPr>
          <w:rFonts w:cstheme="minorHAnsi"/>
          <w:b/>
        </w:rPr>
      </w:pPr>
      <w:r w:rsidRPr="000E5283">
        <w:rPr>
          <w:rFonts w:cstheme="minorHAnsi"/>
          <w:b/>
        </w:rPr>
        <w:t>Surowce i technologie krytyczne</w:t>
      </w:r>
    </w:p>
    <w:p w14:paraId="0E40125D" w14:textId="77777777" w:rsidR="0075732C" w:rsidRPr="000E5283" w:rsidRDefault="0075732C" w:rsidP="00A71497">
      <w:pPr>
        <w:spacing w:before="240" w:after="120" w:line="264" w:lineRule="auto"/>
        <w:jc w:val="both"/>
        <w:outlineLvl w:val="3"/>
        <w:rPr>
          <w:rFonts w:cstheme="minorHAnsi"/>
        </w:rPr>
      </w:pPr>
      <w:r w:rsidRPr="000E5283">
        <w:rPr>
          <w:rFonts w:cstheme="minorHAnsi"/>
        </w:rPr>
        <w:t xml:space="preserve">Stany Zjednoczone są największym na świecie producentem paliw kopalnych, w tym przede wszystkim ropy naftowej i gazu ziemnego. Według </w:t>
      </w:r>
      <w:r w:rsidR="002626B5" w:rsidRPr="000E5283">
        <w:rPr>
          <w:rFonts w:cstheme="minorHAnsi"/>
        </w:rPr>
        <w:t>d</w:t>
      </w:r>
      <w:r w:rsidRPr="000E5283">
        <w:rPr>
          <w:rFonts w:cstheme="minorHAnsi"/>
        </w:rPr>
        <w:t xml:space="preserve">anych EIA USA w 2023 </w:t>
      </w:r>
      <w:r w:rsidR="00121DFA" w:rsidRPr="000E5283">
        <w:rPr>
          <w:rFonts w:cstheme="minorHAnsi"/>
        </w:rPr>
        <w:t xml:space="preserve">r. </w:t>
      </w:r>
      <w:r w:rsidRPr="000E5283">
        <w:rPr>
          <w:rFonts w:cstheme="minorHAnsi"/>
        </w:rPr>
        <w:t>odpowiadały za produkcję: 4,7 mld baryłek ropy naftowej (bbl) (12,9 mln baryłek ropy naftowej/dzień - bpd) oraz 37,8 bln stóp sześciennych (bcf;  1,07 bln m</w:t>
      </w:r>
      <w:r w:rsidRPr="000E5283">
        <w:rPr>
          <w:rFonts w:cstheme="minorHAnsi"/>
          <w:vertAlign w:val="superscript"/>
        </w:rPr>
        <w:t>3</w:t>
      </w:r>
      <w:r w:rsidRPr="000E5283">
        <w:rPr>
          <w:rFonts w:cstheme="minorHAnsi"/>
        </w:rPr>
        <w:t xml:space="preserve">). W obu przypadkach utrzymuje się stała tendencja wzrostu produkcji, </w:t>
      </w:r>
      <w:r w:rsidRPr="000E5283">
        <w:rPr>
          <w:rFonts w:cstheme="minorHAnsi"/>
        </w:rPr>
        <w:lastRenderedPageBreak/>
        <w:t xml:space="preserve">dzięki której USA stały się </w:t>
      </w:r>
      <w:r w:rsidRPr="000E5283">
        <w:rPr>
          <w:rFonts w:eastAsia="Times New Roman" w:cstheme="minorHAnsi"/>
          <w:color w:val="1B1B1B"/>
          <w:lang w:eastAsia="pl-PL"/>
        </w:rPr>
        <w:t>największym</w:t>
      </w:r>
      <w:r w:rsidRPr="000E5283">
        <w:rPr>
          <w:rFonts w:cstheme="minorHAnsi"/>
        </w:rPr>
        <w:t xml:space="preserve"> globalnym producentem zarówno ropy (w 2018 r.) oraz gazu ziemnego (w 2023</w:t>
      </w:r>
      <w:r w:rsidR="00121DFA" w:rsidRPr="000E5283">
        <w:rPr>
          <w:rFonts w:cstheme="minorHAnsi"/>
        </w:rPr>
        <w:t xml:space="preserve"> </w:t>
      </w:r>
      <w:r w:rsidRPr="000E5283">
        <w:rPr>
          <w:rFonts w:cstheme="minorHAnsi"/>
        </w:rPr>
        <w:t>r.).</w:t>
      </w:r>
    </w:p>
    <w:p w14:paraId="4B0D41CA" w14:textId="77777777" w:rsidR="0075732C" w:rsidRPr="000E5283" w:rsidRDefault="0075732C" w:rsidP="00A71497">
      <w:pPr>
        <w:spacing w:before="240" w:after="120" w:line="264" w:lineRule="auto"/>
        <w:jc w:val="both"/>
        <w:outlineLvl w:val="3"/>
        <w:rPr>
          <w:rFonts w:cstheme="minorHAnsi"/>
        </w:rPr>
      </w:pPr>
      <w:r w:rsidRPr="000E5283">
        <w:rPr>
          <w:rFonts w:cstheme="minorHAnsi"/>
        </w:rPr>
        <w:t xml:space="preserve">Stany Zjednoczone są także ważnym producentem węgla kamiennego (choć jego wydobycie systematycznie spada, a kolejne kopalnie są zamykane). W 2023 r. w USA wydobyto 578 mln ton węgla (o 16 mln ton mniej niż w 2022 r.; </w:t>
      </w:r>
      <w:r w:rsidRPr="000E5283">
        <w:rPr>
          <w:rFonts w:eastAsia="Times New Roman" w:cstheme="minorHAnsi"/>
          <w:color w:val="1B1B1B"/>
          <w:lang w:eastAsia="pl-PL"/>
        </w:rPr>
        <w:t>jeszcze</w:t>
      </w:r>
      <w:r w:rsidRPr="000E5283">
        <w:rPr>
          <w:rFonts w:cstheme="minorHAnsi"/>
        </w:rPr>
        <w:t xml:space="preserve"> w 2014 r. produkcja przekraczała 1</w:t>
      </w:r>
      <w:r w:rsidR="002626B5" w:rsidRPr="000E5283">
        <w:rPr>
          <w:rFonts w:cstheme="minorHAnsi"/>
        </w:rPr>
        <w:t xml:space="preserve"> </w:t>
      </w:r>
      <w:r w:rsidRPr="000E5283">
        <w:rPr>
          <w:rFonts w:cstheme="minorHAnsi"/>
        </w:rPr>
        <w:t>mld ton/rok).</w:t>
      </w:r>
    </w:p>
    <w:p w14:paraId="56A1D193" w14:textId="77777777" w:rsidR="0075732C" w:rsidRPr="000E5283" w:rsidRDefault="0075732C" w:rsidP="00A71497">
      <w:pPr>
        <w:spacing w:before="240" w:after="120" w:line="264" w:lineRule="auto"/>
        <w:jc w:val="both"/>
        <w:outlineLvl w:val="3"/>
        <w:rPr>
          <w:rFonts w:cstheme="minorHAnsi"/>
        </w:rPr>
      </w:pPr>
      <w:r w:rsidRPr="000E5283">
        <w:rPr>
          <w:rFonts w:cstheme="minorHAnsi"/>
        </w:rPr>
        <w:t>Wobec rosnącego zapotrzebowania na tzw. minerały krytyczne – odgrywające kluczową rolę w rozwoju branż wysokotechnologicznych - USA podejmują działania ukierunkowane na wzrost produkcji własnej oraz importu z</w:t>
      </w:r>
      <w:r w:rsidR="002626B5" w:rsidRPr="000E5283">
        <w:rPr>
          <w:rFonts w:cstheme="minorHAnsi"/>
        </w:rPr>
        <w:t xml:space="preserve"> kierunków innych aniżeli ChRL, </w:t>
      </w:r>
      <w:r w:rsidRPr="000E5283">
        <w:rPr>
          <w:rFonts w:cstheme="minorHAnsi"/>
        </w:rPr>
        <w:t>które zdominowały obszar rafinacji w</w:t>
      </w:r>
      <w:r w:rsidR="002626B5" w:rsidRPr="000E5283">
        <w:rPr>
          <w:rFonts w:cstheme="minorHAnsi"/>
        </w:rPr>
        <w:t>iększości minerałów krytycznych</w:t>
      </w:r>
      <w:r w:rsidRPr="000E5283">
        <w:rPr>
          <w:rFonts w:cstheme="minorHAnsi"/>
        </w:rPr>
        <w:t xml:space="preserve">. Efektem tych działań są także inicjatywy multilateralne, w tym przede wszystkim inicjatywa </w:t>
      </w:r>
      <w:r w:rsidRPr="000E5283">
        <w:rPr>
          <w:rFonts w:cstheme="minorHAnsi"/>
          <w:i/>
        </w:rPr>
        <w:t xml:space="preserve">Minerals </w:t>
      </w:r>
      <w:r w:rsidRPr="000E5283">
        <w:rPr>
          <w:rFonts w:eastAsia="Times New Roman" w:cstheme="minorHAnsi"/>
          <w:i/>
          <w:color w:val="1B1B1B"/>
          <w:lang w:eastAsia="pl-PL"/>
        </w:rPr>
        <w:t>Security</w:t>
      </w:r>
      <w:r w:rsidRPr="000E5283">
        <w:rPr>
          <w:rFonts w:cstheme="minorHAnsi"/>
          <w:i/>
        </w:rPr>
        <w:t xml:space="preserve"> Partnership</w:t>
      </w:r>
      <w:r w:rsidRPr="000E5283">
        <w:rPr>
          <w:rFonts w:cstheme="minorHAnsi"/>
        </w:rPr>
        <w:t xml:space="preserve"> (MSP), w której uczestniczy 15 podmiotów (14 państwa oraz Unia Europejska) i obejmuje wsparcie inicjatyw w obszarze wydobycia, rafinacji oraz recyklingu minerałów krytycznych.</w:t>
      </w:r>
    </w:p>
    <w:p w14:paraId="18F1E386" w14:textId="77777777" w:rsidR="00BC69B4" w:rsidRPr="000E5283" w:rsidRDefault="00CC1D6A" w:rsidP="00F20694">
      <w:pPr>
        <w:pStyle w:val="Akapitzlist"/>
        <w:numPr>
          <w:ilvl w:val="1"/>
          <w:numId w:val="19"/>
        </w:numPr>
        <w:spacing w:before="240" w:after="120" w:line="264" w:lineRule="auto"/>
        <w:outlineLvl w:val="3"/>
        <w:rPr>
          <w:rFonts w:cstheme="minorHAnsi"/>
          <w:b/>
        </w:rPr>
      </w:pPr>
      <w:r w:rsidRPr="000E5283">
        <w:rPr>
          <w:rFonts w:cstheme="minorHAnsi"/>
          <w:b/>
        </w:rPr>
        <w:t>Stan infrastruktury</w:t>
      </w:r>
    </w:p>
    <w:p w14:paraId="12B24D78" w14:textId="77777777" w:rsidR="004436F9" w:rsidRPr="000E5283" w:rsidRDefault="004436F9" w:rsidP="00A71497">
      <w:pPr>
        <w:spacing w:before="240" w:after="120" w:line="264" w:lineRule="auto"/>
        <w:jc w:val="both"/>
        <w:outlineLvl w:val="3"/>
        <w:rPr>
          <w:rFonts w:cstheme="minorHAnsi"/>
        </w:rPr>
      </w:pPr>
      <w:r w:rsidRPr="000E5283">
        <w:rPr>
          <w:rFonts w:cstheme="minorHAnsi"/>
        </w:rPr>
        <w:t>Lotniska: ponad 5000 z betonowym pasem startowym; największe lotniska (liczba pasażerów – w milionach): Atlanta (ok. 5</w:t>
      </w:r>
      <w:r w:rsidR="00D44163" w:rsidRPr="000E5283">
        <w:rPr>
          <w:rFonts w:cstheme="minorHAnsi"/>
        </w:rPr>
        <w:t>1</w:t>
      </w:r>
      <w:r w:rsidRPr="000E5283">
        <w:rPr>
          <w:rFonts w:cstheme="minorHAnsi"/>
        </w:rPr>
        <w:t xml:space="preserve">), </w:t>
      </w:r>
      <w:r w:rsidR="00D44163" w:rsidRPr="000E5283">
        <w:rPr>
          <w:rFonts w:cstheme="minorHAnsi"/>
        </w:rPr>
        <w:t xml:space="preserve">Dallas/Fort Worth (ok. 39), Denver (ok. 38), Chicago (ok. 36,5), </w:t>
      </w:r>
      <w:r w:rsidRPr="000E5283">
        <w:rPr>
          <w:rFonts w:cstheme="minorHAnsi"/>
        </w:rPr>
        <w:t xml:space="preserve">Los Angeles (ok. </w:t>
      </w:r>
      <w:r w:rsidR="00A9637A" w:rsidRPr="000E5283">
        <w:rPr>
          <w:rFonts w:cstheme="minorHAnsi"/>
        </w:rPr>
        <w:t>36</w:t>
      </w:r>
      <w:r w:rsidRPr="000E5283">
        <w:rPr>
          <w:rFonts w:cstheme="minorHAnsi"/>
        </w:rPr>
        <w:t xml:space="preserve">), </w:t>
      </w:r>
      <w:r w:rsidR="00A9637A" w:rsidRPr="000E5283">
        <w:rPr>
          <w:rFonts w:eastAsia="Times New Roman" w:cstheme="minorHAnsi"/>
          <w:color w:val="1B1B1B"/>
          <w:lang w:eastAsia="pl-PL"/>
        </w:rPr>
        <w:t>Orlando</w:t>
      </w:r>
      <w:r w:rsidRPr="000E5283">
        <w:rPr>
          <w:rFonts w:cstheme="minorHAnsi"/>
        </w:rPr>
        <w:t xml:space="preserve"> (ok. </w:t>
      </w:r>
      <w:r w:rsidR="00A9637A" w:rsidRPr="000E5283">
        <w:rPr>
          <w:rFonts w:cstheme="minorHAnsi"/>
        </w:rPr>
        <w:t>28</w:t>
      </w:r>
      <w:r w:rsidRPr="000E5283">
        <w:rPr>
          <w:rFonts w:cstheme="minorHAnsi"/>
        </w:rPr>
        <w:t xml:space="preserve">), </w:t>
      </w:r>
      <w:r w:rsidR="00A9637A" w:rsidRPr="000E5283">
        <w:rPr>
          <w:rFonts w:cstheme="minorHAnsi"/>
        </w:rPr>
        <w:t>Las Vegas</w:t>
      </w:r>
      <w:r w:rsidRPr="000E5283">
        <w:rPr>
          <w:rFonts w:cstheme="minorHAnsi"/>
        </w:rPr>
        <w:t xml:space="preserve"> (ok.</w:t>
      </w:r>
      <w:r w:rsidR="00A9637A" w:rsidRPr="000E5283">
        <w:rPr>
          <w:rFonts w:cstheme="minorHAnsi"/>
        </w:rPr>
        <w:t xml:space="preserve"> </w:t>
      </w:r>
      <w:r w:rsidRPr="000E5283">
        <w:rPr>
          <w:rFonts w:cstheme="minorHAnsi"/>
        </w:rPr>
        <w:t>27</w:t>
      </w:r>
      <w:r w:rsidR="00A9637A" w:rsidRPr="000E5283">
        <w:rPr>
          <w:rFonts w:cstheme="minorHAnsi"/>
        </w:rPr>
        <w:t>,8</w:t>
      </w:r>
      <w:r w:rsidRPr="000E5283">
        <w:rPr>
          <w:rFonts w:cstheme="minorHAnsi"/>
        </w:rPr>
        <w:t>)</w:t>
      </w:r>
      <w:r w:rsidR="00A9637A" w:rsidRPr="000E5283">
        <w:rPr>
          <w:rFonts w:cstheme="minorHAnsi"/>
        </w:rPr>
        <w:t>, Phoenix (ok. 25,8)</w:t>
      </w:r>
      <w:r w:rsidRPr="000E5283">
        <w:rPr>
          <w:rFonts w:cstheme="minorHAnsi"/>
        </w:rPr>
        <w:t>.</w:t>
      </w:r>
    </w:p>
    <w:p w14:paraId="5D52BA80" w14:textId="77777777" w:rsidR="00D44163" w:rsidRPr="000E5283" w:rsidRDefault="004436F9" w:rsidP="00A71497">
      <w:pPr>
        <w:spacing w:before="240" w:after="120" w:line="264" w:lineRule="auto"/>
        <w:jc w:val="both"/>
        <w:outlineLvl w:val="3"/>
        <w:rPr>
          <w:rFonts w:cstheme="minorHAnsi"/>
        </w:rPr>
      </w:pPr>
      <w:r w:rsidRPr="000E5283">
        <w:rPr>
          <w:rFonts w:cstheme="minorHAnsi"/>
        </w:rPr>
        <w:t xml:space="preserve">Rurociągi: ropa – 240 tys. km, gaz – 2 </w:t>
      </w:r>
      <w:r w:rsidR="002626B5" w:rsidRPr="000E5283">
        <w:rPr>
          <w:rFonts w:cstheme="minorHAnsi"/>
        </w:rPr>
        <w:t>mln</w:t>
      </w:r>
      <w:r w:rsidRPr="000E5283">
        <w:rPr>
          <w:rFonts w:cstheme="minorHAnsi"/>
        </w:rPr>
        <w:t xml:space="preserve"> km.</w:t>
      </w:r>
      <w:r w:rsidR="00D44163" w:rsidRPr="000E5283">
        <w:rPr>
          <w:rFonts w:cstheme="minorHAnsi"/>
        </w:rPr>
        <w:t xml:space="preserve"> </w:t>
      </w:r>
    </w:p>
    <w:p w14:paraId="49C9AC65" w14:textId="77777777" w:rsidR="004436F9" w:rsidRPr="000E5283" w:rsidRDefault="004436F9" w:rsidP="00A71497">
      <w:pPr>
        <w:spacing w:before="240" w:after="120" w:line="264" w:lineRule="auto"/>
        <w:jc w:val="both"/>
        <w:outlineLvl w:val="3"/>
        <w:rPr>
          <w:rFonts w:cstheme="minorHAnsi"/>
        </w:rPr>
      </w:pPr>
      <w:r w:rsidRPr="000E5283">
        <w:rPr>
          <w:rFonts w:cstheme="minorHAnsi"/>
        </w:rPr>
        <w:t xml:space="preserve">Linie kolejowe: 257,7 tys. km; drogi: 6,8 </w:t>
      </w:r>
      <w:r w:rsidR="002626B5" w:rsidRPr="000E5283">
        <w:rPr>
          <w:rFonts w:cstheme="minorHAnsi"/>
        </w:rPr>
        <w:t>mln</w:t>
      </w:r>
      <w:r w:rsidRPr="000E5283">
        <w:rPr>
          <w:rFonts w:cstheme="minorHAnsi"/>
        </w:rPr>
        <w:t xml:space="preserve"> km (w tym 76,</w:t>
      </w:r>
      <w:r w:rsidR="00D44163" w:rsidRPr="000E5283">
        <w:rPr>
          <w:rFonts w:cstheme="minorHAnsi"/>
        </w:rPr>
        <w:t xml:space="preserve">3 tys. km dróg szybkiego ruchu); </w:t>
      </w:r>
      <w:r w:rsidRPr="000E5283">
        <w:rPr>
          <w:rFonts w:cstheme="minorHAnsi"/>
        </w:rPr>
        <w:t xml:space="preserve">Szlaki wodne: 41 tys. km (w tym </w:t>
      </w:r>
      <w:r w:rsidRPr="000E5283">
        <w:rPr>
          <w:rFonts w:eastAsia="Times New Roman" w:cstheme="minorHAnsi"/>
          <w:color w:val="1B1B1B"/>
          <w:lang w:eastAsia="pl-PL"/>
        </w:rPr>
        <w:t>19</w:t>
      </w:r>
      <w:r w:rsidRPr="000E5283">
        <w:rPr>
          <w:rFonts w:cstheme="minorHAnsi"/>
        </w:rPr>
        <w:t>,3 tys. km jako szlaki handlowe); porty i terminale przeładunkowe: Baton Rouge, Corpus Christi, Duluth, HamptonRoads, Houston, Long Beach, Los Angeles, Nowy Jork, Philadelphia, Tampa, Texas City.</w:t>
      </w:r>
      <w:r w:rsidR="00D44163" w:rsidRPr="000E5283">
        <w:rPr>
          <w:rFonts w:cstheme="minorHAnsi"/>
        </w:rPr>
        <w:t xml:space="preserve"> </w:t>
      </w:r>
    </w:p>
    <w:p w14:paraId="58E78E1C" w14:textId="77777777" w:rsidR="004436F9" w:rsidRPr="000E5283" w:rsidRDefault="004436F9" w:rsidP="00A71497">
      <w:pPr>
        <w:spacing w:before="240" w:after="120" w:line="264" w:lineRule="auto"/>
        <w:jc w:val="both"/>
        <w:outlineLvl w:val="3"/>
        <w:rPr>
          <w:rFonts w:cstheme="minorHAnsi"/>
          <w:lang w:val="en-US"/>
        </w:rPr>
      </w:pPr>
      <w:r w:rsidRPr="000E5283">
        <w:rPr>
          <w:rFonts w:cstheme="minorHAnsi"/>
          <w:lang w:val="en-US"/>
        </w:rPr>
        <w:t xml:space="preserve">Przejścia graniczne: Alexandra Bay, Blaine, Buffalo/Niagara Falls, Calais, Champlain, Derby Line, Detroit, Highgate Springs, Houlton, Jackman, Norton, Pembina, Port Huron, Sault Ste. Marie, Sumas oraz Sweetgrass (z Kanadą), Andrade, Brownsville, Calexico, Columbus, Del Rio, Douglas, Eagle Pass, El Paso, Fabens, Fort </w:t>
      </w:r>
      <w:r w:rsidRPr="000E5283">
        <w:rPr>
          <w:rFonts w:eastAsia="Times New Roman" w:cstheme="minorHAnsi"/>
          <w:color w:val="1B1B1B"/>
          <w:lang w:val="en-US" w:eastAsia="pl-PL"/>
        </w:rPr>
        <w:t>Hanckock</w:t>
      </w:r>
      <w:r w:rsidRPr="000E5283">
        <w:rPr>
          <w:rFonts w:cstheme="minorHAnsi"/>
          <w:lang w:val="en-US"/>
        </w:rPr>
        <w:t>, Hidalgo/Pharr, Laredo, Lukeville, Naco, Nogales, Otay Mesa, Presidlo, Progreso, Rio Grande, Roma, San Luis, San Ysidoro, Santa Teresa, Stanton, Tecate (z Meksykiem).</w:t>
      </w:r>
    </w:p>
    <w:p w14:paraId="4643A5D5" w14:textId="77777777" w:rsidR="00467781" w:rsidRPr="000E5283" w:rsidRDefault="00CC1D6A" w:rsidP="00F20694">
      <w:pPr>
        <w:pStyle w:val="Akapitzlist"/>
        <w:numPr>
          <w:ilvl w:val="1"/>
          <w:numId w:val="19"/>
        </w:numPr>
        <w:spacing w:before="240" w:after="120" w:line="264" w:lineRule="auto"/>
        <w:outlineLvl w:val="3"/>
        <w:rPr>
          <w:rFonts w:cstheme="minorHAnsi"/>
          <w:b/>
        </w:rPr>
      </w:pPr>
      <w:r w:rsidRPr="000E5283">
        <w:rPr>
          <w:rFonts w:cstheme="minorHAnsi"/>
          <w:b/>
        </w:rPr>
        <w:t xml:space="preserve">Kalendarz dni </w:t>
      </w:r>
      <w:r w:rsidR="00467781" w:rsidRPr="000E5283">
        <w:rPr>
          <w:rFonts w:cstheme="minorHAnsi"/>
          <w:b/>
        </w:rPr>
        <w:t>wolnych od pracy</w:t>
      </w:r>
    </w:p>
    <w:p w14:paraId="2C3DB82B" w14:textId="77777777" w:rsidR="004436F9" w:rsidRPr="000E5283" w:rsidRDefault="004436F9" w:rsidP="004436F9">
      <w:pPr>
        <w:spacing w:after="0" w:line="264" w:lineRule="auto"/>
        <w:outlineLvl w:val="3"/>
        <w:rPr>
          <w:rFonts w:cstheme="minorHAnsi"/>
        </w:rPr>
      </w:pPr>
      <w:r w:rsidRPr="000E5283">
        <w:rPr>
          <w:rFonts w:cstheme="minorHAnsi"/>
        </w:rPr>
        <w:t>Nowy Rok – 1 stycznia</w:t>
      </w:r>
    </w:p>
    <w:p w14:paraId="56CF10A7" w14:textId="77777777" w:rsidR="004436F9" w:rsidRPr="000E5283" w:rsidRDefault="004436F9" w:rsidP="004436F9">
      <w:pPr>
        <w:spacing w:after="0" w:line="264" w:lineRule="auto"/>
        <w:outlineLvl w:val="3"/>
        <w:rPr>
          <w:rFonts w:cstheme="minorHAnsi"/>
        </w:rPr>
      </w:pPr>
      <w:r w:rsidRPr="000E5283">
        <w:rPr>
          <w:rFonts w:cstheme="minorHAnsi"/>
        </w:rPr>
        <w:t>Urodziny Martina Luthera Kinga Jr. – trzeci poniedziałek stycznia</w:t>
      </w:r>
    </w:p>
    <w:p w14:paraId="60BEB800" w14:textId="77777777" w:rsidR="004436F9" w:rsidRPr="000E5283" w:rsidRDefault="004436F9" w:rsidP="004436F9">
      <w:pPr>
        <w:spacing w:after="0" w:line="264" w:lineRule="auto"/>
        <w:outlineLvl w:val="3"/>
        <w:rPr>
          <w:rFonts w:cstheme="minorHAnsi"/>
        </w:rPr>
      </w:pPr>
      <w:r w:rsidRPr="000E5283">
        <w:rPr>
          <w:rFonts w:cstheme="minorHAnsi"/>
        </w:rPr>
        <w:t xml:space="preserve">Inauguracja Prezydenta – 20 stycznia, co 4 lata (dot. tylko Dystryktu Kolumbii i przyległych </w:t>
      </w:r>
      <w:r w:rsidR="00121DFA" w:rsidRPr="000E5283">
        <w:rPr>
          <w:rFonts w:cstheme="minorHAnsi"/>
        </w:rPr>
        <w:t>hrabstw</w:t>
      </w:r>
      <w:r w:rsidRPr="000E5283">
        <w:rPr>
          <w:rFonts w:cstheme="minorHAnsi"/>
        </w:rPr>
        <w:t xml:space="preserve"> w </w:t>
      </w:r>
      <w:r w:rsidR="00121DFA" w:rsidRPr="000E5283">
        <w:rPr>
          <w:rFonts w:cstheme="minorHAnsi"/>
        </w:rPr>
        <w:t>stanach Maryland i Wirginia</w:t>
      </w:r>
      <w:r w:rsidRPr="000E5283">
        <w:rPr>
          <w:rFonts w:cstheme="minorHAnsi"/>
        </w:rPr>
        <w:t>)</w:t>
      </w:r>
    </w:p>
    <w:p w14:paraId="0FA5AFF8" w14:textId="77777777" w:rsidR="004436F9" w:rsidRPr="000E5283" w:rsidRDefault="004436F9" w:rsidP="004436F9">
      <w:pPr>
        <w:spacing w:after="0" w:line="264" w:lineRule="auto"/>
        <w:outlineLvl w:val="3"/>
        <w:rPr>
          <w:rFonts w:cstheme="minorHAnsi"/>
        </w:rPr>
      </w:pPr>
      <w:r w:rsidRPr="000E5283">
        <w:rPr>
          <w:rFonts w:cstheme="minorHAnsi"/>
        </w:rPr>
        <w:t>Urodziny G. Washingtona/Dzień Prezydenta – trzeci poniedziałek lutego</w:t>
      </w:r>
    </w:p>
    <w:p w14:paraId="625C7A02" w14:textId="77777777" w:rsidR="004436F9" w:rsidRPr="000E5283" w:rsidRDefault="004436F9" w:rsidP="004436F9">
      <w:pPr>
        <w:spacing w:after="0" w:line="264" w:lineRule="auto"/>
        <w:outlineLvl w:val="3"/>
        <w:rPr>
          <w:rFonts w:cstheme="minorHAnsi"/>
        </w:rPr>
      </w:pPr>
      <w:r w:rsidRPr="000E5283">
        <w:rPr>
          <w:rFonts w:cstheme="minorHAnsi"/>
        </w:rPr>
        <w:t>Dzień Pamięci (</w:t>
      </w:r>
      <w:r w:rsidRPr="000E5283">
        <w:rPr>
          <w:rFonts w:cstheme="minorHAnsi"/>
          <w:i/>
        </w:rPr>
        <w:t>Memorial Day</w:t>
      </w:r>
      <w:r w:rsidRPr="000E5283">
        <w:rPr>
          <w:rFonts w:cstheme="minorHAnsi"/>
        </w:rPr>
        <w:t>) – ostatni poniedziałek maja</w:t>
      </w:r>
    </w:p>
    <w:p w14:paraId="10C1926B" w14:textId="77777777" w:rsidR="004436F9" w:rsidRPr="000E5283" w:rsidRDefault="004436F9" w:rsidP="004436F9">
      <w:pPr>
        <w:spacing w:after="0" w:line="264" w:lineRule="auto"/>
        <w:outlineLvl w:val="3"/>
        <w:rPr>
          <w:rFonts w:cstheme="minorHAnsi"/>
          <w:lang w:val="en-US"/>
        </w:rPr>
      </w:pPr>
      <w:r w:rsidRPr="000E5283">
        <w:rPr>
          <w:rFonts w:cstheme="minorHAnsi"/>
          <w:lang w:val="en-US"/>
        </w:rPr>
        <w:t>Dzień Wyzwolenia (</w:t>
      </w:r>
      <w:r w:rsidRPr="000E5283">
        <w:rPr>
          <w:rFonts w:cstheme="minorHAnsi"/>
          <w:i/>
          <w:lang w:val="en-US"/>
        </w:rPr>
        <w:t>Juneteenth National Independence Day</w:t>
      </w:r>
      <w:r w:rsidRPr="000E5283">
        <w:rPr>
          <w:rFonts w:cstheme="minorHAnsi"/>
          <w:lang w:val="en-US"/>
        </w:rPr>
        <w:t>) – 19 czerwca</w:t>
      </w:r>
    </w:p>
    <w:p w14:paraId="6D1AD7BA" w14:textId="77777777" w:rsidR="004436F9" w:rsidRPr="000E5283" w:rsidRDefault="004436F9" w:rsidP="004436F9">
      <w:pPr>
        <w:spacing w:after="0" w:line="264" w:lineRule="auto"/>
        <w:outlineLvl w:val="3"/>
        <w:rPr>
          <w:rFonts w:cstheme="minorHAnsi"/>
        </w:rPr>
      </w:pPr>
      <w:r w:rsidRPr="000E5283">
        <w:rPr>
          <w:rFonts w:cstheme="minorHAnsi"/>
        </w:rPr>
        <w:t>Dzień Niepodległości – 4 lipca</w:t>
      </w:r>
    </w:p>
    <w:p w14:paraId="39D2F800" w14:textId="77777777" w:rsidR="004436F9" w:rsidRPr="000E5283" w:rsidRDefault="004436F9" w:rsidP="004436F9">
      <w:pPr>
        <w:spacing w:after="0" w:line="264" w:lineRule="auto"/>
        <w:outlineLvl w:val="3"/>
        <w:rPr>
          <w:rFonts w:cstheme="minorHAnsi"/>
        </w:rPr>
      </w:pPr>
      <w:r w:rsidRPr="000E5283">
        <w:rPr>
          <w:rFonts w:cstheme="minorHAnsi"/>
        </w:rPr>
        <w:t>Święto Pracy – pierwszy poniedziałek września</w:t>
      </w:r>
    </w:p>
    <w:p w14:paraId="6D80F489" w14:textId="77777777" w:rsidR="004436F9" w:rsidRPr="000E5283" w:rsidRDefault="004436F9" w:rsidP="004436F9">
      <w:pPr>
        <w:spacing w:after="0" w:line="264" w:lineRule="auto"/>
        <w:outlineLvl w:val="3"/>
        <w:rPr>
          <w:rFonts w:cstheme="minorHAnsi"/>
        </w:rPr>
      </w:pPr>
      <w:r w:rsidRPr="000E5283">
        <w:rPr>
          <w:rFonts w:cstheme="minorHAnsi"/>
        </w:rPr>
        <w:t>Dzień Kolumba (Columbus Day) – drugi poniedziałek października</w:t>
      </w:r>
    </w:p>
    <w:p w14:paraId="07321220" w14:textId="77777777" w:rsidR="004436F9" w:rsidRPr="000E5283" w:rsidRDefault="004436F9" w:rsidP="004436F9">
      <w:pPr>
        <w:spacing w:after="0" w:line="264" w:lineRule="auto"/>
        <w:outlineLvl w:val="3"/>
        <w:rPr>
          <w:rFonts w:cstheme="minorHAnsi"/>
        </w:rPr>
      </w:pPr>
      <w:r w:rsidRPr="000E5283">
        <w:rPr>
          <w:rFonts w:cstheme="minorHAnsi"/>
        </w:rPr>
        <w:t>Dzień Weterana – 11 listopada</w:t>
      </w:r>
    </w:p>
    <w:p w14:paraId="26EE0DE6" w14:textId="77777777" w:rsidR="004436F9" w:rsidRPr="000E5283" w:rsidRDefault="004436F9" w:rsidP="004436F9">
      <w:pPr>
        <w:spacing w:after="0" w:line="264" w:lineRule="auto"/>
        <w:outlineLvl w:val="3"/>
        <w:rPr>
          <w:rFonts w:cstheme="minorHAnsi"/>
        </w:rPr>
      </w:pPr>
      <w:r w:rsidRPr="000E5283">
        <w:rPr>
          <w:rFonts w:cstheme="minorHAnsi"/>
        </w:rPr>
        <w:t>Święto Dziękczynienia – czwarty czwartek listopada</w:t>
      </w:r>
    </w:p>
    <w:p w14:paraId="01725D4B" w14:textId="50AA2DA7" w:rsidR="00AF5B8B" w:rsidRPr="000E5283" w:rsidRDefault="004436F9" w:rsidP="004436F9">
      <w:pPr>
        <w:spacing w:after="0" w:line="264" w:lineRule="auto"/>
        <w:outlineLvl w:val="3"/>
        <w:rPr>
          <w:rFonts w:cstheme="minorHAnsi"/>
        </w:rPr>
      </w:pPr>
      <w:r w:rsidRPr="000E5283">
        <w:rPr>
          <w:rFonts w:cstheme="minorHAnsi"/>
        </w:rPr>
        <w:t>Boże Narodzenie – 25 grudnia</w:t>
      </w:r>
    </w:p>
    <w:p w14:paraId="1B71C616" w14:textId="77777777" w:rsidR="00115A6B" w:rsidRPr="000E5283" w:rsidRDefault="00CC1D6A" w:rsidP="00EB602A">
      <w:pPr>
        <w:pStyle w:val="Akapitzlist"/>
        <w:numPr>
          <w:ilvl w:val="0"/>
          <w:numId w:val="10"/>
        </w:numPr>
        <w:spacing w:before="240" w:after="120" w:line="264" w:lineRule="auto"/>
        <w:outlineLvl w:val="3"/>
        <w:rPr>
          <w:rFonts w:cstheme="minorHAnsi"/>
          <w:b/>
        </w:rPr>
      </w:pPr>
      <w:bookmarkStart w:id="1" w:name="system"/>
      <w:bookmarkEnd w:id="1"/>
      <w:r w:rsidRPr="000E5283">
        <w:rPr>
          <w:rFonts w:cstheme="minorHAnsi"/>
          <w:b/>
        </w:rPr>
        <w:lastRenderedPageBreak/>
        <w:t xml:space="preserve">Podstawowe dane makroekonomiczne (tabela za rok poprzedni i prognozy na rok bieżący i </w:t>
      </w:r>
      <w:r w:rsidR="00093E6C" w:rsidRPr="000E5283">
        <w:rPr>
          <w:rFonts w:cstheme="minorHAnsi"/>
          <w:b/>
        </w:rPr>
        <w:t>następny)</w:t>
      </w:r>
    </w:p>
    <w:tbl>
      <w:tblPr>
        <w:tblStyle w:val="Tabela-Siatka2"/>
        <w:tblW w:w="9062" w:type="dxa"/>
        <w:tblLook w:val="04A0" w:firstRow="1" w:lastRow="0" w:firstColumn="1" w:lastColumn="0" w:noHBand="0" w:noVBand="1"/>
      </w:tblPr>
      <w:tblGrid>
        <w:gridCol w:w="3528"/>
        <w:gridCol w:w="2135"/>
        <w:gridCol w:w="1703"/>
        <w:gridCol w:w="1696"/>
      </w:tblGrid>
      <w:tr w:rsidR="00CC1D6A" w:rsidRPr="000E5283" w14:paraId="19A63F97" w14:textId="77777777" w:rsidTr="00F207FF">
        <w:trPr>
          <w:trHeight w:val="312"/>
        </w:trPr>
        <w:tc>
          <w:tcPr>
            <w:tcW w:w="9062" w:type="dxa"/>
            <w:gridSpan w:val="4"/>
            <w:noWrap/>
            <w:hideMark/>
          </w:tcPr>
          <w:p w14:paraId="76C90A8A" w14:textId="77777777" w:rsidR="00CC1D6A" w:rsidRPr="000E5283" w:rsidRDefault="00CC1D6A" w:rsidP="00CC1D6A">
            <w:pPr>
              <w:rPr>
                <w:rFonts w:cstheme="minorHAnsi"/>
                <w:b/>
                <w:bCs/>
              </w:rPr>
            </w:pPr>
            <w:r w:rsidRPr="000E5283">
              <w:rPr>
                <w:rFonts w:cstheme="minorHAnsi"/>
                <w:b/>
                <w:bCs/>
              </w:rPr>
              <w:t>Podstawowe dane makroekonomiczne</w:t>
            </w:r>
          </w:p>
        </w:tc>
      </w:tr>
      <w:tr w:rsidR="00CC1D6A" w:rsidRPr="000E5283" w14:paraId="7DD07EB7" w14:textId="77777777" w:rsidTr="00F207FF">
        <w:trPr>
          <w:trHeight w:val="324"/>
        </w:trPr>
        <w:tc>
          <w:tcPr>
            <w:tcW w:w="3528" w:type="dxa"/>
            <w:noWrap/>
            <w:hideMark/>
          </w:tcPr>
          <w:p w14:paraId="19E251DC" w14:textId="77777777" w:rsidR="00CC1D6A" w:rsidRPr="000E5283" w:rsidRDefault="00CC1D6A" w:rsidP="00CC1D6A">
            <w:pPr>
              <w:rPr>
                <w:rFonts w:cstheme="minorHAnsi"/>
              </w:rPr>
            </w:pPr>
            <w:r w:rsidRPr="000E5283">
              <w:rPr>
                <w:rFonts w:cstheme="minorHAnsi"/>
              </w:rPr>
              <w:t> </w:t>
            </w:r>
          </w:p>
        </w:tc>
        <w:tc>
          <w:tcPr>
            <w:tcW w:w="2135" w:type="dxa"/>
            <w:noWrap/>
            <w:hideMark/>
          </w:tcPr>
          <w:p w14:paraId="1A6B1BC6" w14:textId="77777777" w:rsidR="00CC1D6A" w:rsidRPr="000E5283" w:rsidRDefault="00CC1D6A" w:rsidP="00CC1D6A">
            <w:pPr>
              <w:rPr>
                <w:rFonts w:cstheme="minorHAnsi"/>
                <w:b/>
                <w:bCs/>
              </w:rPr>
            </w:pPr>
            <w:r w:rsidRPr="000E5283">
              <w:rPr>
                <w:rFonts w:cstheme="minorHAnsi"/>
                <w:b/>
                <w:bCs/>
              </w:rPr>
              <w:t>2023</w:t>
            </w:r>
          </w:p>
        </w:tc>
        <w:tc>
          <w:tcPr>
            <w:tcW w:w="1703" w:type="dxa"/>
            <w:noWrap/>
            <w:hideMark/>
          </w:tcPr>
          <w:p w14:paraId="1A152CE9" w14:textId="77777777" w:rsidR="00CC1D6A" w:rsidRPr="000E5283" w:rsidRDefault="00CC1D6A" w:rsidP="00CC1D6A">
            <w:pPr>
              <w:rPr>
                <w:rFonts w:cstheme="minorHAnsi"/>
                <w:b/>
                <w:bCs/>
              </w:rPr>
            </w:pPr>
            <w:r w:rsidRPr="000E5283">
              <w:rPr>
                <w:rFonts w:cstheme="minorHAnsi"/>
                <w:b/>
                <w:bCs/>
              </w:rPr>
              <w:t>2024 (prognoza)</w:t>
            </w:r>
          </w:p>
        </w:tc>
        <w:tc>
          <w:tcPr>
            <w:tcW w:w="1696" w:type="dxa"/>
            <w:noWrap/>
            <w:hideMark/>
          </w:tcPr>
          <w:p w14:paraId="3968A00A" w14:textId="77777777" w:rsidR="00CC1D6A" w:rsidRPr="000E5283" w:rsidRDefault="00CC1D6A" w:rsidP="00CC1D6A">
            <w:pPr>
              <w:rPr>
                <w:rFonts w:cstheme="minorHAnsi"/>
                <w:b/>
                <w:bCs/>
              </w:rPr>
            </w:pPr>
            <w:r w:rsidRPr="000E5283">
              <w:rPr>
                <w:rFonts w:cstheme="minorHAnsi"/>
                <w:b/>
                <w:bCs/>
              </w:rPr>
              <w:t>2025 (prognoza)</w:t>
            </w:r>
          </w:p>
        </w:tc>
      </w:tr>
      <w:tr w:rsidR="00CC1D6A" w:rsidRPr="000E5283" w14:paraId="05C5917B" w14:textId="77777777" w:rsidTr="00F207FF">
        <w:trPr>
          <w:trHeight w:val="312"/>
        </w:trPr>
        <w:tc>
          <w:tcPr>
            <w:tcW w:w="3528" w:type="dxa"/>
            <w:noWrap/>
            <w:hideMark/>
          </w:tcPr>
          <w:p w14:paraId="429A1F94" w14:textId="77777777" w:rsidR="00CC1D6A" w:rsidRPr="000E5283" w:rsidRDefault="00133CF4" w:rsidP="00AF5B8B">
            <w:pPr>
              <w:rPr>
                <w:rFonts w:cstheme="minorHAnsi"/>
              </w:rPr>
            </w:pPr>
            <w:hyperlink r:id="rId8" w:history="1">
              <w:r w:rsidR="00CC1D6A" w:rsidRPr="000E5283">
                <w:rPr>
                  <w:rStyle w:val="Hipercze"/>
                  <w:rFonts w:cstheme="minorHAnsi"/>
                </w:rPr>
                <w:t>PKB nominalne</w:t>
              </w:r>
            </w:hyperlink>
            <w:r w:rsidR="00CC1D6A" w:rsidRPr="000E5283">
              <w:rPr>
                <w:rFonts w:cstheme="minorHAnsi"/>
              </w:rPr>
              <w:t xml:space="preserve"> (USD ceny bieżące)</w:t>
            </w:r>
            <w:r w:rsidR="00071D1F" w:rsidRPr="000E5283">
              <w:rPr>
                <w:rFonts w:cstheme="minorHAnsi"/>
              </w:rPr>
              <w:t xml:space="preserve"> </w:t>
            </w:r>
          </w:p>
        </w:tc>
        <w:tc>
          <w:tcPr>
            <w:tcW w:w="2135" w:type="dxa"/>
            <w:noWrap/>
            <w:hideMark/>
          </w:tcPr>
          <w:p w14:paraId="2DBA363A" w14:textId="77777777" w:rsidR="00CC1D6A" w:rsidRPr="000E5283" w:rsidRDefault="00CC1D6A" w:rsidP="00CC1D6A">
            <w:pPr>
              <w:rPr>
                <w:rFonts w:cstheme="minorHAnsi"/>
              </w:rPr>
            </w:pPr>
            <w:r w:rsidRPr="000E5283">
              <w:rPr>
                <w:rFonts w:cstheme="minorHAnsi"/>
              </w:rPr>
              <w:t> </w:t>
            </w:r>
            <w:r w:rsidR="000A07B9" w:rsidRPr="000E5283">
              <w:rPr>
                <w:rFonts w:cstheme="minorHAnsi"/>
              </w:rPr>
              <w:t>27,36 bln</w:t>
            </w:r>
          </w:p>
        </w:tc>
        <w:tc>
          <w:tcPr>
            <w:tcW w:w="1703" w:type="dxa"/>
            <w:noWrap/>
            <w:hideMark/>
          </w:tcPr>
          <w:p w14:paraId="5BBF1128" w14:textId="77777777" w:rsidR="00CC1D6A" w:rsidRPr="000E5283" w:rsidRDefault="00CC1D6A" w:rsidP="00CC1D6A">
            <w:pPr>
              <w:rPr>
                <w:rFonts w:cstheme="minorHAnsi"/>
              </w:rPr>
            </w:pPr>
            <w:r w:rsidRPr="000E5283">
              <w:rPr>
                <w:rFonts w:cstheme="minorHAnsi"/>
              </w:rPr>
              <w:t> </w:t>
            </w:r>
            <w:r w:rsidR="00B02786" w:rsidRPr="000E5283">
              <w:rPr>
                <w:rFonts w:cstheme="minorHAnsi"/>
              </w:rPr>
              <w:t>-</w:t>
            </w:r>
          </w:p>
        </w:tc>
        <w:tc>
          <w:tcPr>
            <w:tcW w:w="1696" w:type="dxa"/>
            <w:noWrap/>
            <w:hideMark/>
          </w:tcPr>
          <w:p w14:paraId="4C020D50" w14:textId="77777777" w:rsidR="00CC1D6A" w:rsidRPr="000E5283" w:rsidRDefault="00CC1D6A" w:rsidP="00CC1D6A">
            <w:pPr>
              <w:rPr>
                <w:rFonts w:cstheme="minorHAnsi"/>
              </w:rPr>
            </w:pPr>
            <w:r w:rsidRPr="000E5283">
              <w:rPr>
                <w:rFonts w:cstheme="minorHAnsi"/>
              </w:rPr>
              <w:t> </w:t>
            </w:r>
            <w:r w:rsidR="00B02786" w:rsidRPr="000E5283">
              <w:rPr>
                <w:rFonts w:cstheme="minorHAnsi"/>
              </w:rPr>
              <w:t>-</w:t>
            </w:r>
          </w:p>
        </w:tc>
      </w:tr>
      <w:tr w:rsidR="00CC1D6A" w:rsidRPr="000E5283" w14:paraId="31554EE6" w14:textId="77777777" w:rsidTr="00F207FF">
        <w:trPr>
          <w:trHeight w:val="312"/>
        </w:trPr>
        <w:tc>
          <w:tcPr>
            <w:tcW w:w="3528" w:type="dxa"/>
            <w:noWrap/>
            <w:hideMark/>
          </w:tcPr>
          <w:p w14:paraId="076ABFE1" w14:textId="77777777" w:rsidR="00CC1D6A" w:rsidRPr="000E5283" w:rsidRDefault="00133CF4" w:rsidP="00AF5B8B">
            <w:pPr>
              <w:rPr>
                <w:rFonts w:cstheme="minorHAnsi"/>
              </w:rPr>
            </w:pPr>
            <w:hyperlink r:id="rId9" w:history="1">
              <w:r w:rsidR="00CC1D6A" w:rsidRPr="000E5283">
                <w:rPr>
                  <w:rStyle w:val="Hipercze"/>
                  <w:rFonts w:cstheme="minorHAnsi"/>
                </w:rPr>
                <w:t>PKB</w:t>
              </w:r>
            </w:hyperlink>
            <w:r w:rsidR="00CC1D6A" w:rsidRPr="000E5283">
              <w:rPr>
                <w:rFonts w:cstheme="minorHAnsi"/>
              </w:rPr>
              <w:t xml:space="preserve"> (PPP)</w:t>
            </w:r>
            <w:r w:rsidR="00071D1F" w:rsidRPr="000E5283">
              <w:rPr>
                <w:rFonts w:cstheme="minorHAnsi"/>
              </w:rPr>
              <w:t xml:space="preserve"> </w:t>
            </w:r>
          </w:p>
        </w:tc>
        <w:tc>
          <w:tcPr>
            <w:tcW w:w="2135" w:type="dxa"/>
            <w:noWrap/>
            <w:hideMark/>
          </w:tcPr>
          <w:p w14:paraId="254FC3F3" w14:textId="77777777" w:rsidR="00CC1D6A" w:rsidRPr="000E5283" w:rsidRDefault="00CC1D6A" w:rsidP="00CC1D6A">
            <w:pPr>
              <w:rPr>
                <w:rFonts w:cstheme="minorHAnsi"/>
              </w:rPr>
            </w:pPr>
            <w:r w:rsidRPr="000E5283">
              <w:rPr>
                <w:rFonts w:cstheme="minorHAnsi"/>
              </w:rPr>
              <w:t> </w:t>
            </w:r>
            <w:r w:rsidR="00992649" w:rsidRPr="000E5283">
              <w:rPr>
                <w:rFonts w:cstheme="minorHAnsi"/>
              </w:rPr>
              <w:t>27 720,725 bln</w:t>
            </w:r>
          </w:p>
        </w:tc>
        <w:tc>
          <w:tcPr>
            <w:tcW w:w="1703" w:type="dxa"/>
            <w:noWrap/>
            <w:hideMark/>
          </w:tcPr>
          <w:p w14:paraId="001D1760" w14:textId="77777777" w:rsidR="00CC1D6A" w:rsidRPr="000E5283" w:rsidRDefault="00CC1D6A" w:rsidP="00CC1D6A">
            <w:pPr>
              <w:rPr>
                <w:rFonts w:cstheme="minorHAnsi"/>
              </w:rPr>
            </w:pPr>
            <w:r w:rsidRPr="000E5283">
              <w:rPr>
                <w:rFonts w:cstheme="minorHAnsi"/>
              </w:rPr>
              <w:t> </w:t>
            </w:r>
            <w:r w:rsidR="00992649" w:rsidRPr="000E5283">
              <w:rPr>
                <w:rFonts w:cstheme="minorHAnsi"/>
              </w:rPr>
              <w:t>29 167,779 bln</w:t>
            </w:r>
          </w:p>
        </w:tc>
        <w:tc>
          <w:tcPr>
            <w:tcW w:w="1696" w:type="dxa"/>
            <w:noWrap/>
            <w:hideMark/>
          </w:tcPr>
          <w:p w14:paraId="77166609" w14:textId="77777777" w:rsidR="00CC1D6A" w:rsidRPr="000E5283" w:rsidRDefault="00CC1D6A" w:rsidP="00CC1D6A">
            <w:pPr>
              <w:rPr>
                <w:rFonts w:cstheme="minorHAnsi"/>
              </w:rPr>
            </w:pPr>
            <w:r w:rsidRPr="000E5283">
              <w:rPr>
                <w:rFonts w:cstheme="minorHAnsi"/>
              </w:rPr>
              <w:t> </w:t>
            </w:r>
            <w:r w:rsidR="00992649" w:rsidRPr="000E5283">
              <w:rPr>
                <w:rFonts w:cstheme="minorHAnsi"/>
              </w:rPr>
              <w:t>-</w:t>
            </w:r>
          </w:p>
        </w:tc>
      </w:tr>
      <w:tr w:rsidR="00CC1D6A" w:rsidRPr="000E5283" w14:paraId="0AE440EE" w14:textId="77777777" w:rsidTr="00F207FF">
        <w:trPr>
          <w:trHeight w:val="312"/>
        </w:trPr>
        <w:tc>
          <w:tcPr>
            <w:tcW w:w="3528" w:type="dxa"/>
            <w:noWrap/>
            <w:hideMark/>
          </w:tcPr>
          <w:p w14:paraId="30C09783" w14:textId="77777777" w:rsidR="00CC1D6A" w:rsidRPr="000E5283" w:rsidRDefault="00133CF4" w:rsidP="00AF5B8B">
            <w:pPr>
              <w:rPr>
                <w:rFonts w:cstheme="minorHAnsi"/>
              </w:rPr>
            </w:pPr>
            <w:hyperlink r:id="rId10" w:history="1">
              <w:r w:rsidR="00CC1D6A" w:rsidRPr="000E5283">
                <w:rPr>
                  <w:rStyle w:val="Hipercze"/>
                  <w:rFonts w:cstheme="minorHAnsi"/>
                  <w:lang w:val="en-US"/>
                </w:rPr>
                <w:t>Stopa wzrostu PKB</w:t>
              </w:r>
            </w:hyperlink>
            <w:r w:rsidR="00CC1D6A" w:rsidRPr="000E5283">
              <w:rPr>
                <w:rFonts w:cstheme="minorHAnsi"/>
              </w:rPr>
              <w:t xml:space="preserve"> (realna)</w:t>
            </w:r>
            <w:r w:rsidR="00071D1F" w:rsidRPr="000E5283">
              <w:rPr>
                <w:rFonts w:cstheme="minorHAnsi"/>
              </w:rPr>
              <w:t xml:space="preserve"> </w:t>
            </w:r>
          </w:p>
        </w:tc>
        <w:tc>
          <w:tcPr>
            <w:tcW w:w="2135" w:type="dxa"/>
            <w:noWrap/>
            <w:hideMark/>
          </w:tcPr>
          <w:p w14:paraId="67813AC7" w14:textId="77777777" w:rsidR="00CC1D6A" w:rsidRPr="000E5283" w:rsidRDefault="00CC1D6A" w:rsidP="00CC1D6A">
            <w:pPr>
              <w:rPr>
                <w:rFonts w:cstheme="minorHAnsi"/>
              </w:rPr>
            </w:pPr>
            <w:r w:rsidRPr="000E5283">
              <w:rPr>
                <w:rFonts w:cstheme="minorHAnsi"/>
              </w:rPr>
              <w:t> </w:t>
            </w:r>
            <w:r w:rsidR="000A07B9" w:rsidRPr="000E5283">
              <w:rPr>
                <w:rFonts w:cstheme="minorHAnsi"/>
              </w:rPr>
              <w:t>2,5</w:t>
            </w:r>
          </w:p>
        </w:tc>
        <w:tc>
          <w:tcPr>
            <w:tcW w:w="1703" w:type="dxa"/>
            <w:noWrap/>
            <w:hideMark/>
          </w:tcPr>
          <w:p w14:paraId="63B8DB5A" w14:textId="77777777" w:rsidR="00CC1D6A" w:rsidRPr="000E5283" w:rsidRDefault="00CC1D6A" w:rsidP="00CC1D6A">
            <w:pPr>
              <w:rPr>
                <w:rFonts w:cstheme="minorHAnsi"/>
              </w:rPr>
            </w:pPr>
            <w:r w:rsidRPr="000E5283">
              <w:rPr>
                <w:rFonts w:cstheme="minorHAnsi"/>
              </w:rPr>
              <w:t> </w:t>
            </w:r>
            <w:r w:rsidR="000A07B9" w:rsidRPr="000E5283">
              <w:rPr>
                <w:rFonts w:cstheme="minorHAnsi"/>
              </w:rPr>
              <w:t>2,5</w:t>
            </w:r>
          </w:p>
        </w:tc>
        <w:tc>
          <w:tcPr>
            <w:tcW w:w="1696" w:type="dxa"/>
            <w:noWrap/>
            <w:hideMark/>
          </w:tcPr>
          <w:p w14:paraId="45C3FD96" w14:textId="77777777" w:rsidR="00CC1D6A" w:rsidRPr="000E5283" w:rsidRDefault="00CC1D6A" w:rsidP="00CC1D6A">
            <w:pPr>
              <w:rPr>
                <w:rFonts w:cstheme="minorHAnsi"/>
              </w:rPr>
            </w:pPr>
            <w:r w:rsidRPr="000E5283">
              <w:rPr>
                <w:rFonts w:cstheme="minorHAnsi"/>
              </w:rPr>
              <w:t> </w:t>
            </w:r>
            <w:r w:rsidR="000A07B9" w:rsidRPr="000E5283">
              <w:rPr>
                <w:rFonts w:cstheme="minorHAnsi"/>
              </w:rPr>
              <w:t>1,8</w:t>
            </w:r>
          </w:p>
        </w:tc>
      </w:tr>
      <w:tr w:rsidR="00CC1D6A" w:rsidRPr="000E5283" w14:paraId="55EEFDF7" w14:textId="77777777" w:rsidTr="00F207FF">
        <w:trPr>
          <w:trHeight w:val="312"/>
        </w:trPr>
        <w:tc>
          <w:tcPr>
            <w:tcW w:w="3528" w:type="dxa"/>
            <w:noWrap/>
            <w:hideMark/>
          </w:tcPr>
          <w:p w14:paraId="719BB157" w14:textId="77777777" w:rsidR="00CC1D6A" w:rsidRPr="000E5283" w:rsidRDefault="00CC1D6A" w:rsidP="00AF5B8B">
            <w:pPr>
              <w:rPr>
                <w:rFonts w:cstheme="minorHAnsi"/>
              </w:rPr>
            </w:pPr>
            <w:r w:rsidRPr="000E5283">
              <w:rPr>
                <w:rFonts w:cstheme="minorHAnsi"/>
                <w:lang w:val="en-US"/>
              </w:rPr>
              <w:t>PKB per capita</w:t>
            </w:r>
            <w:r w:rsidRPr="000E5283">
              <w:rPr>
                <w:rFonts w:cstheme="minorHAnsi"/>
              </w:rPr>
              <w:t xml:space="preserve"> (nominalne)</w:t>
            </w:r>
            <w:r w:rsidR="00071D1F" w:rsidRPr="000E5283">
              <w:rPr>
                <w:rFonts w:cstheme="minorHAnsi"/>
              </w:rPr>
              <w:t xml:space="preserve"> </w:t>
            </w:r>
          </w:p>
        </w:tc>
        <w:tc>
          <w:tcPr>
            <w:tcW w:w="2135" w:type="dxa"/>
            <w:noWrap/>
            <w:hideMark/>
          </w:tcPr>
          <w:p w14:paraId="7CEF505C" w14:textId="77777777" w:rsidR="00CC1D6A" w:rsidRPr="000E5283" w:rsidRDefault="00CC1D6A" w:rsidP="00CC1D6A">
            <w:pPr>
              <w:rPr>
                <w:rFonts w:cstheme="minorHAnsi"/>
              </w:rPr>
            </w:pPr>
            <w:r w:rsidRPr="000E5283">
              <w:rPr>
                <w:rFonts w:cstheme="minorHAnsi"/>
              </w:rPr>
              <w:t> </w:t>
            </w:r>
            <w:r w:rsidR="00071D1F" w:rsidRPr="000E5283">
              <w:rPr>
                <w:rFonts w:cstheme="minorHAnsi"/>
              </w:rPr>
              <w:t>65 020,4 USD</w:t>
            </w:r>
          </w:p>
        </w:tc>
        <w:tc>
          <w:tcPr>
            <w:tcW w:w="1703" w:type="dxa"/>
            <w:noWrap/>
            <w:hideMark/>
          </w:tcPr>
          <w:p w14:paraId="03EAE012" w14:textId="77777777" w:rsidR="00CC1D6A" w:rsidRPr="000E5283" w:rsidRDefault="00CC1D6A" w:rsidP="00CC1D6A">
            <w:pPr>
              <w:rPr>
                <w:rFonts w:cstheme="minorHAnsi"/>
              </w:rPr>
            </w:pPr>
            <w:r w:rsidRPr="000E5283">
              <w:rPr>
                <w:rFonts w:cstheme="minorHAnsi"/>
              </w:rPr>
              <w:t> </w:t>
            </w:r>
            <w:r w:rsidR="00E37B8E" w:rsidRPr="000E5283">
              <w:rPr>
                <w:rFonts w:cstheme="minorHAnsi"/>
              </w:rPr>
              <w:t>-</w:t>
            </w:r>
          </w:p>
        </w:tc>
        <w:tc>
          <w:tcPr>
            <w:tcW w:w="1696" w:type="dxa"/>
            <w:noWrap/>
            <w:hideMark/>
          </w:tcPr>
          <w:p w14:paraId="64A2D5BF" w14:textId="77777777" w:rsidR="00CC1D6A" w:rsidRPr="000E5283" w:rsidRDefault="00CC1D6A" w:rsidP="00CC1D6A">
            <w:pPr>
              <w:rPr>
                <w:rFonts w:cstheme="minorHAnsi"/>
              </w:rPr>
            </w:pPr>
            <w:r w:rsidRPr="000E5283">
              <w:rPr>
                <w:rFonts w:cstheme="minorHAnsi"/>
              </w:rPr>
              <w:t> </w:t>
            </w:r>
            <w:r w:rsidR="00E37B8E" w:rsidRPr="000E5283">
              <w:rPr>
                <w:rFonts w:cstheme="minorHAnsi"/>
              </w:rPr>
              <w:t>-</w:t>
            </w:r>
          </w:p>
        </w:tc>
      </w:tr>
      <w:tr w:rsidR="00CC1D6A" w:rsidRPr="000E5283" w14:paraId="47B53F12" w14:textId="77777777" w:rsidTr="00F207FF">
        <w:trPr>
          <w:trHeight w:val="312"/>
        </w:trPr>
        <w:tc>
          <w:tcPr>
            <w:tcW w:w="3528" w:type="dxa"/>
            <w:noWrap/>
            <w:hideMark/>
          </w:tcPr>
          <w:p w14:paraId="4C91D70E" w14:textId="77777777" w:rsidR="00CC1D6A" w:rsidRPr="000E5283" w:rsidRDefault="00133CF4" w:rsidP="00AF5B8B">
            <w:pPr>
              <w:rPr>
                <w:rFonts w:cstheme="minorHAnsi"/>
                <w:lang w:val="en-US"/>
              </w:rPr>
            </w:pPr>
            <w:hyperlink r:id="rId11" w:history="1">
              <w:r w:rsidR="00CC1D6A" w:rsidRPr="000E5283">
                <w:rPr>
                  <w:rStyle w:val="Hipercze"/>
                  <w:rFonts w:cstheme="minorHAnsi"/>
                  <w:lang w:val="en-US"/>
                </w:rPr>
                <w:t>PKB per capita</w:t>
              </w:r>
            </w:hyperlink>
            <w:r w:rsidR="00CC1D6A" w:rsidRPr="000E5283">
              <w:rPr>
                <w:rFonts w:cstheme="minorHAnsi"/>
                <w:lang w:val="en-US"/>
              </w:rPr>
              <w:t xml:space="preserve"> (PPP)</w:t>
            </w:r>
          </w:p>
        </w:tc>
        <w:tc>
          <w:tcPr>
            <w:tcW w:w="2135" w:type="dxa"/>
            <w:noWrap/>
            <w:hideMark/>
          </w:tcPr>
          <w:p w14:paraId="11F40443" w14:textId="77777777" w:rsidR="00CC1D6A" w:rsidRPr="000E5283" w:rsidRDefault="00CC1D6A" w:rsidP="00CC1D6A">
            <w:pPr>
              <w:rPr>
                <w:rFonts w:cstheme="minorHAnsi"/>
                <w:lang w:val="en-US"/>
              </w:rPr>
            </w:pPr>
            <w:r w:rsidRPr="000E5283">
              <w:rPr>
                <w:rFonts w:cstheme="minorHAnsi"/>
                <w:lang w:val="en-US"/>
              </w:rPr>
              <w:t> </w:t>
            </w:r>
            <w:r w:rsidR="00992649" w:rsidRPr="000E5283">
              <w:rPr>
                <w:rFonts w:cstheme="minorHAnsi"/>
                <w:lang w:val="en-US"/>
              </w:rPr>
              <w:t>74 528,463</w:t>
            </w:r>
          </w:p>
        </w:tc>
        <w:tc>
          <w:tcPr>
            <w:tcW w:w="1703" w:type="dxa"/>
            <w:noWrap/>
            <w:hideMark/>
          </w:tcPr>
          <w:p w14:paraId="59543F74" w14:textId="77777777" w:rsidR="00CC1D6A" w:rsidRPr="000E5283" w:rsidRDefault="00CC1D6A" w:rsidP="00CC1D6A">
            <w:pPr>
              <w:rPr>
                <w:rFonts w:cstheme="minorHAnsi"/>
                <w:lang w:val="en-US"/>
              </w:rPr>
            </w:pPr>
            <w:r w:rsidRPr="000E5283">
              <w:rPr>
                <w:rFonts w:cstheme="minorHAnsi"/>
                <w:lang w:val="en-US"/>
              </w:rPr>
              <w:t> </w:t>
            </w:r>
            <w:r w:rsidR="00992649" w:rsidRPr="000E5283">
              <w:rPr>
                <w:rFonts w:cstheme="minorHAnsi"/>
                <w:lang w:val="en-US"/>
              </w:rPr>
              <w:t>76 209,306</w:t>
            </w:r>
          </w:p>
        </w:tc>
        <w:tc>
          <w:tcPr>
            <w:tcW w:w="1696" w:type="dxa"/>
            <w:noWrap/>
            <w:hideMark/>
          </w:tcPr>
          <w:p w14:paraId="10131910" w14:textId="77777777" w:rsidR="00CC1D6A" w:rsidRPr="000E5283" w:rsidRDefault="00CC1D6A" w:rsidP="00CC1D6A">
            <w:pPr>
              <w:rPr>
                <w:rFonts w:cstheme="minorHAnsi"/>
                <w:lang w:val="en-US"/>
              </w:rPr>
            </w:pPr>
            <w:r w:rsidRPr="000E5283">
              <w:rPr>
                <w:rFonts w:cstheme="minorHAnsi"/>
                <w:lang w:val="en-US"/>
              </w:rPr>
              <w:t> </w:t>
            </w:r>
            <w:r w:rsidR="004A0ABE" w:rsidRPr="000E5283">
              <w:rPr>
                <w:rFonts w:cstheme="minorHAnsi"/>
                <w:lang w:val="en-US"/>
              </w:rPr>
              <w:t>-</w:t>
            </w:r>
          </w:p>
        </w:tc>
      </w:tr>
      <w:tr w:rsidR="00CC1D6A" w:rsidRPr="000E5283" w14:paraId="67DCB28E" w14:textId="77777777" w:rsidTr="00F207FF">
        <w:trPr>
          <w:trHeight w:val="312"/>
        </w:trPr>
        <w:tc>
          <w:tcPr>
            <w:tcW w:w="3528" w:type="dxa"/>
            <w:noWrap/>
            <w:hideMark/>
          </w:tcPr>
          <w:p w14:paraId="0F418197" w14:textId="77777777" w:rsidR="00CC1D6A" w:rsidRPr="000E5283" w:rsidRDefault="00133CF4" w:rsidP="00AF5B8B">
            <w:pPr>
              <w:rPr>
                <w:rFonts w:cstheme="minorHAnsi"/>
              </w:rPr>
            </w:pPr>
            <w:hyperlink r:id="rId12" w:history="1">
              <w:r w:rsidR="00CC1D6A" w:rsidRPr="000E5283">
                <w:rPr>
                  <w:rStyle w:val="Hipercze"/>
                  <w:rFonts w:cstheme="minorHAnsi"/>
                  <w:lang w:val="en-US"/>
                </w:rPr>
                <w:t>Stopa inflacji</w:t>
              </w:r>
            </w:hyperlink>
            <w:r w:rsidR="00CC1D6A" w:rsidRPr="000E5283">
              <w:rPr>
                <w:rFonts w:cstheme="minorHAnsi"/>
              </w:rPr>
              <w:t xml:space="preserve"> (CPI)</w:t>
            </w:r>
            <w:r w:rsidR="00071D1F" w:rsidRPr="000E5283">
              <w:rPr>
                <w:rFonts w:cstheme="minorHAnsi"/>
              </w:rPr>
              <w:t xml:space="preserve"> </w:t>
            </w:r>
          </w:p>
        </w:tc>
        <w:tc>
          <w:tcPr>
            <w:tcW w:w="2135" w:type="dxa"/>
            <w:noWrap/>
            <w:hideMark/>
          </w:tcPr>
          <w:p w14:paraId="5F152E7B" w14:textId="77777777" w:rsidR="00CC1D6A" w:rsidRPr="000E5283" w:rsidRDefault="00CC1D6A" w:rsidP="00CC1D6A">
            <w:pPr>
              <w:rPr>
                <w:rFonts w:cstheme="minorHAnsi"/>
              </w:rPr>
            </w:pPr>
            <w:r w:rsidRPr="000E5283">
              <w:rPr>
                <w:rFonts w:cstheme="minorHAnsi"/>
              </w:rPr>
              <w:t> </w:t>
            </w:r>
            <w:r w:rsidR="000A07B9" w:rsidRPr="000E5283">
              <w:rPr>
                <w:rFonts w:cstheme="minorHAnsi"/>
              </w:rPr>
              <w:t>4,1</w:t>
            </w:r>
            <w:r w:rsidR="002D09B3" w:rsidRPr="000E5283">
              <w:rPr>
                <w:rFonts w:cstheme="minorHAnsi"/>
              </w:rPr>
              <w:t xml:space="preserve"> (WB)</w:t>
            </w:r>
          </w:p>
        </w:tc>
        <w:tc>
          <w:tcPr>
            <w:tcW w:w="1703" w:type="dxa"/>
            <w:noWrap/>
            <w:hideMark/>
          </w:tcPr>
          <w:p w14:paraId="4AA52077" w14:textId="77777777" w:rsidR="00CC1D6A" w:rsidRPr="000E5283" w:rsidRDefault="00CC1D6A" w:rsidP="002D09B3">
            <w:pPr>
              <w:rPr>
                <w:rFonts w:cstheme="minorHAnsi"/>
              </w:rPr>
            </w:pPr>
            <w:r w:rsidRPr="000E5283">
              <w:rPr>
                <w:rFonts w:cstheme="minorHAnsi"/>
              </w:rPr>
              <w:t> </w:t>
            </w:r>
            <w:r w:rsidR="002D09B3" w:rsidRPr="000E5283">
              <w:rPr>
                <w:rFonts w:cstheme="minorHAnsi"/>
              </w:rPr>
              <w:t>2,7 (WB)</w:t>
            </w:r>
          </w:p>
        </w:tc>
        <w:tc>
          <w:tcPr>
            <w:tcW w:w="1696" w:type="dxa"/>
            <w:noWrap/>
            <w:hideMark/>
          </w:tcPr>
          <w:p w14:paraId="3BDB51C4" w14:textId="77777777" w:rsidR="00CC1D6A" w:rsidRPr="000E5283" w:rsidRDefault="00CC1D6A" w:rsidP="00CC1D6A">
            <w:pPr>
              <w:rPr>
                <w:rFonts w:cstheme="minorHAnsi"/>
              </w:rPr>
            </w:pPr>
            <w:r w:rsidRPr="000E5283">
              <w:rPr>
                <w:rFonts w:cstheme="minorHAnsi"/>
              </w:rPr>
              <w:t> </w:t>
            </w:r>
            <w:r w:rsidR="004A0ABE" w:rsidRPr="000E5283">
              <w:rPr>
                <w:rFonts w:cstheme="minorHAnsi"/>
              </w:rPr>
              <w:t>-</w:t>
            </w:r>
          </w:p>
        </w:tc>
      </w:tr>
      <w:tr w:rsidR="00CC1D6A" w:rsidRPr="000E5283" w14:paraId="6FC16690" w14:textId="77777777" w:rsidTr="00F207FF">
        <w:trPr>
          <w:trHeight w:val="312"/>
        </w:trPr>
        <w:tc>
          <w:tcPr>
            <w:tcW w:w="3528" w:type="dxa"/>
            <w:noWrap/>
            <w:hideMark/>
          </w:tcPr>
          <w:p w14:paraId="18BAD013" w14:textId="77777777" w:rsidR="00CC1D6A" w:rsidRPr="000E5283" w:rsidRDefault="00133CF4" w:rsidP="00AF5B8B">
            <w:pPr>
              <w:rPr>
                <w:rFonts w:cstheme="minorHAnsi"/>
              </w:rPr>
            </w:pPr>
            <w:hyperlink r:id="rId13" w:history="1">
              <w:r w:rsidR="002D09B3" w:rsidRPr="000E5283">
                <w:rPr>
                  <w:rStyle w:val="Hipercze"/>
                  <w:rFonts w:cstheme="minorHAnsi"/>
                  <w:lang w:val="en-US"/>
                </w:rPr>
                <w:t>Stopa bezrobocia</w:t>
              </w:r>
            </w:hyperlink>
          </w:p>
        </w:tc>
        <w:tc>
          <w:tcPr>
            <w:tcW w:w="2135" w:type="dxa"/>
            <w:noWrap/>
            <w:hideMark/>
          </w:tcPr>
          <w:p w14:paraId="51CD1E40" w14:textId="77777777" w:rsidR="00CC1D6A" w:rsidRPr="000E5283" w:rsidRDefault="00CC1D6A" w:rsidP="00CC1D6A">
            <w:pPr>
              <w:rPr>
                <w:rFonts w:cstheme="minorHAnsi"/>
              </w:rPr>
            </w:pPr>
            <w:r w:rsidRPr="000E5283">
              <w:rPr>
                <w:rFonts w:cstheme="minorHAnsi"/>
              </w:rPr>
              <w:t> </w:t>
            </w:r>
            <w:r w:rsidR="000A07B9" w:rsidRPr="000E5283">
              <w:rPr>
                <w:rFonts w:cstheme="minorHAnsi"/>
              </w:rPr>
              <w:t>3,6</w:t>
            </w:r>
            <w:r w:rsidR="00AF5B8B" w:rsidRPr="000E5283">
              <w:rPr>
                <w:rFonts w:cstheme="minorHAnsi"/>
              </w:rPr>
              <w:t xml:space="preserve"> (</w:t>
            </w:r>
            <w:hyperlink r:id="rId14" w:history="1">
              <w:r w:rsidR="00AF5B8B" w:rsidRPr="000E5283">
                <w:rPr>
                  <w:rStyle w:val="Hipercze"/>
                  <w:rFonts w:cstheme="minorHAnsi"/>
                </w:rPr>
                <w:t>WB</w:t>
              </w:r>
            </w:hyperlink>
            <w:r w:rsidR="00AF5B8B" w:rsidRPr="000E5283">
              <w:rPr>
                <w:rFonts w:cstheme="minorHAnsi"/>
              </w:rPr>
              <w:t>)</w:t>
            </w:r>
          </w:p>
        </w:tc>
        <w:tc>
          <w:tcPr>
            <w:tcW w:w="1703" w:type="dxa"/>
            <w:noWrap/>
            <w:hideMark/>
          </w:tcPr>
          <w:p w14:paraId="450E63AD" w14:textId="77777777" w:rsidR="00CC1D6A" w:rsidRPr="000E5283" w:rsidRDefault="00CC1D6A" w:rsidP="003A7378">
            <w:pPr>
              <w:rPr>
                <w:rFonts w:cstheme="minorHAnsi"/>
              </w:rPr>
            </w:pPr>
            <w:r w:rsidRPr="000E5283">
              <w:rPr>
                <w:rFonts w:cstheme="minorHAnsi"/>
              </w:rPr>
              <w:t> </w:t>
            </w:r>
            <w:r w:rsidR="00AF5B8B" w:rsidRPr="000E5283">
              <w:rPr>
                <w:rFonts w:cstheme="minorHAnsi"/>
              </w:rPr>
              <w:t>4,</w:t>
            </w:r>
            <w:r w:rsidR="003A7378" w:rsidRPr="000E5283">
              <w:rPr>
                <w:rFonts w:cstheme="minorHAnsi"/>
              </w:rPr>
              <w:t>2</w:t>
            </w:r>
            <w:r w:rsidR="00AF5B8B" w:rsidRPr="000E5283">
              <w:rPr>
                <w:rFonts w:cstheme="minorHAnsi"/>
              </w:rPr>
              <w:t xml:space="preserve"> (</w:t>
            </w:r>
            <w:hyperlink r:id="rId15" w:history="1">
              <w:r w:rsidR="00AF5B8B" w:rsidRPr="000E5283">
                <w:rPr>
                  <w:rStyle w:val="Hipercze"/>
                  <w:rFonts w:cstheme="minorHAnsi"/>
                </w:rPr>
                <w:t>IMF</w:t>
              </w:r>
            </w:hyperlink>
            <w:r w:rsidR="00AF5B8B" w:rsidRPr="000E5283">
              <w:rPr>
                <w:rFonts w:cstheme="minorHAnsi"/>
              </w:rPr>
              <w:t>)</w:t>
            </w:r>
          </w:p>
        </w:tc>
        <w:tc>
          <w:tcPr>
            <w:tcW w:w="1696" w:type="dxa"/>
            <w:noWrap/>
            <w:hideMark/>
          </w:tcPr>
          <w:p w14:paraId="5412C94D" w14:textId="77777777" w:rsidR="00CC1D6A" w:rsidRPr="000E5283" w:rsidRDefault="003A7378" w:rsidP="00CC1D6A">
            <w:pPr>
              <w:rPr>
                <w:rFonts w:cstheme="minorHAnsi"/>
              </w:rPr>
            </w:pPr>
            <w:r w:rsidRPr="000E5283">
              <w:rPr>
                <w:rFonts w:cstheme="minorHAnsi"/>
              </w:rPr>
              <w:t>4,3 (</w:t>
            </w:r>
            <w:hyperlink r:id="rId16" w:history="1">
              <w:r w:rsidRPr="000E5283">
                <w:rPr>
                  <w:rStyle w:val="Hipercze"/>
                  <w:rFonts w:cstheme="minorHAnsi"/>
                </w:rPr>
                <w:t>IMF</w:t>
              </w:r>
            </w:hyperlink>
            <w:r w:rsidRPr="000E5283">
              <w:rPr>
                <w:rFonts w:cstheme="minorHAnsi"/>
              </w:rPr>
              <w:t>)</w:t>
            </w:r>
          </w:p>
        </w:tc>
      </w:tr>
      <w:tr w:rsidR="00CC1D6A" w:rsidRPr="000E5283" w14:paraId="3D3E8CDF" w14:textId="77777777" w:rsidTr="00F207FF">
        <w:trPr>
          <w:trHeight w:val="312"/>
        </w:trPr>
        <w:tc>
          <w:tcPr>
            <w:tcW w:w="3528" w:type="dxa"/>
            <w:noWrap/>
            <w:hideMark/>
          </w:tcPr>
          <w:p w14:paraId="6988891D" w14:textId="77777777" w:rsidR="00CC1D6A" w:rsidRPr="000E5283" w:rsidRDefault="00CC1D6A" w:rsidP="00CC1D6A">
            <w:pPr>
              <w:rPr>
                <w:rFonts w:cstheme="minorHAnsi"/>
                <w:lang w:val="en-US"/>
              </w:rPr>
            </w:pPr>
            <w:r w:rsidRPr="000E5283">
              <w:rPr>
                <w:rFonts w:cstheme="minorHAnsi"/>
                <w:lang w:val="en-US"/>
              </w:rPr>
              <w:t>Rating kredytowy Fitch / Moody's / S&amp;P</w:t>
            </w:r>
          </w:p>
        </w:tc>
        <w:tc>
          <w:tcPr>
            <w:tcW w:w="2135" w:type="dxa"/>
            <w:noWrap/>
            <w:hideMark/>
          </w:tcPr>
          <w:p w14:paraId="3600FF78" w14:textId="77777777" w:rsidR="00AF5B8B" w:rsidRPr="000E5283" w:rsidRDefault="00AF5B8B" w:rsidP="00AF5B8B">
            <w:pPr>
              <w:rPr>
                <w:rFonts w:cstheme="minorHAnsi"/>
              </w:rPr>
            </w:pPr>
            <w:r w:rsidRPr="000E5283">
              <w:rPr>
                <w:rFonts w:cstheme="minorHAnsi"/>
              </w:rPr>
              <w:t>Standard &amp; Poor's: AA+ z perspektywą stabilną</w:t>
            </w:r>
            <w:r w:rsidR="00F207FF" w:rsidRPr="000E5283">
              <w:rPr>
                <w:rFonts w:cstheme="minorHAnsi"/>
              </w:rPr>
              <w:t xml:space="preserve"> (III 2024)</w:t>
            </w:r>
          </w:p>
          <w:p w14:paraId="5F556194" w14:textId="77777777" w:rsidR="00AF5B8B" w:rsidRPr="000E5283" w:rsidRDefault="00AF5B8B" w:rsidP="00F207FF">
            <w:pPr>
              <w:spacing w:before="240"/>
              <w:rPr>
                <w:rFonts w:cstheme="minorHAnsi"/>
              </w:rPr>
            </w:pPr>
            <w:r w:rsidRPr="000E5283">
              <w:rPr>
                <w:rFonts w:cstheme="minorHAnsi"/>
              </w:rPr>
              <w:t xml:space="preserve">Fitch rating: </w:t>
            </w:r>
            <w:r w:rsidR="00F207FF" w:rsidRPr="000E5283">
              <w:rPr>
                <w:rFonts w:cstheme="minorHAnsi"/>
              </w:rPr>
              <w:t>AA+ z perspektywa stabilną (VIII 2024)</w:t>
            </w:r>
          </w:p>
          <w:p w14:paraId="698D5370" w14:textId="77777777" w:rsidR="00AF5B8B" w:rsidRPr="000E5283" w:rsidRDefault="00AF5B8B" w:rsidP="00AF5B8B">
            <w:pPr>
              <w:rPr>
                <w:rFonts w:cstheme="minorHAnsi"/>
              </w:rPr>
            </w:pPr>
          </w:p>
          <w:p w14:paraId="6DC6E65F" w14:textId="77777777" w:rsidR="00AF5B8B" w:rsidRPr="000E5283" w:rsidRDefault="00AF5B8B" w:rsidP="00AF5B8B">
            <w:pPr>
              <w:rPr>
                <w:rFonts w:cstheme="minorHAnsi"/>
              </w:rPr>
            </w:pPr>
            <w:r w:rsidRPr="000E5283">
              <w:rPr>
                <w:rFonts w:cstheme="minorHAnsi"/>
              </w:rPr>
              <w:t xml:space="preserve">Moody's rating: </w:t>
            </w:r>
          </w:p>
          <w:p w14:paraId="0280BFEE" w14:textId="77777777" w:rsidR="00AF5B8B" w:rsidRPr="000E5283" w:rsidRDefault="00AF5B8B" w:rsidP="00CC1D6A">
            <w:pPr>
              <w:rPr>
                <w:rFonts w:cstheme="minorHAnsi"/>
              </w:rPr>
            </w:pPr>
            <w:r w:rsidRPr="000E5283">
              <w:rPr>
                <w:rFonts w:cstheme="minorHAnsi"/>
              </w:rPr>
              <w:t>Aaa z perspektywą negatywną</w:t>
            </w:r>
          </w:p>
        </w:tc>
        <w:tc>
          <w:tcPr>
            <w:tcW w:w="1703" w:type="dxa"/>
            <w:noWrap/>
            <w:hideMark/>
          </w:tcPr>
          <w:p w14:paraId="204FB2DA" w14:textId="77777777" w:rsidR="00CC1D6A" w:rsidRPr="000E5283" w:rsidRDefault="00CC1D6A" w:rsidP="00CC1D6A">
            <w:pPr>
              <w:rPr>
                <w:rFonts w:cstheme="minorHAnsi"/>
                <w:lang w:val="en-US"/>
              </w:rPr>
            </w:pPr>
            <w:r w:rsidRPr="000E5283">
              <w:rPr>
                <w:rFonts w:cstheme="minorHAnsi"/>
              </w:rPr>
              <w:t> </w:t>
            </w:r>
            <w:r w:rsidR="00F207FF" w:rsidRPr="000E5283">
              <w:rPr>
                <w:rFonts w:cstheme="minorHAnsi"/>
                <w:lang w:val="en-US"/>
              </w:rPr>
              <w:t>-</w:t>
            </w:r>
          </w:p>
        </w:tc>
        <w:tc>
          <w:tcPr>
            <w:tcW w:w="1696" w:type="dxa"/>
            <w:noWrap/>
            <w:hideMark/>
          </w:tcPr>
          <w:p w14:paraId="2C8D212D" w14:textId="77777777" w:rsidR="00CC1D6A" w:rsidRPr="000E5283" w:rsidRDefault="00CC1D6A" w:rsidP="00CC1D6A">
            <w:pPr>
              <w:rPr>
                <w:rFonts w:cstheme="minorHAnsi"/>
                <w:lang w:val="en-US"/>
              </w:rPr>
            </w:pPr>
            <w:r w:rsidRPr="000E5283">
              <w:rPr>
                <w:rFonts w:cstheme="minorHAnsi"/>
                <w:lang w:val="en-US"/>
              </w:rPr>
              <w:t> </w:t>
            </w:r>
            <w:r w:rsidR="00F207FF" w:rsidRPr="000E5283">
              <w:rPr>
                <w:rFonts w:cstheme="minorHAnsi"/>
                <w:lang w:val="en-US"/>
              </w:rPr>
              <w:t>-</w:t>
            </w:r>
          </w:p>
        </w:tc>
      </w:tr>
      <w:tr w:rsidR="00CC1D6A" w:rsidRPr="000E5283" w14:paraId="38244FD4" w14:textId="77777777" w:rsidTr="00F207FF">
        <w:trPr>
          <w:trHeight w:val="312"/>
        </w:trPr>
        <w:tc>
          <w:tcPr>
            <w:tcW w:w="3528" w:type="dxa"/>
            <w:noWrap/>
          </w:tcPr>
          <w:p w14:paraId="23AF1277" w14:textId="77777777" w:rsidR="00CC1D6A" w:rsidRPr="000E5283" w:rsidRDefault="00CC1D6A" w:rsidP="003A7378">
            <w:pPr>
              <w:rPr>
                <w:rFonts w:cstheme="minorHAnsi"/>
              </w:rPr>
            </w:pPr>
            <w:r w:rsidRPr="000E5283">
              <w:rPr>
                <w:rFonts w:cstheme="minorHAnsi"/>
              </w:rPr>
              <w:t>Deficyt i nadwyżki budżetowe</w:t>
            </w:r>
            <w:r w:rsidR="005A54B5" w:rsidRPr="000E5283">
              <w:rPr>
                <w:rFonts w:cstheme="minorHAnsi"/>
              </w:rPr>
              <w:t xml:space="preserve"> (</w:t>
            </w:r>
            <w:hyperlink r:id="rId17" w:history="1">
              <w:r w:rsidR="005A54B5" w:rsidRPr="000E5283">
                <w:rPr>
                  <w:rStyle w:val="Hipercze"/>
                  <w:rFonts w:cstheme="minorHAnsi"/>
                </w:rPr>
                <w:t>IMF</w:t>
              </w:r>
            </w:hyperlink>
            <w:r w:rsidR="005A54B5" w:rsidRPr="000E5283">
              <w:rPr>
                <w:rFonts w:cstheme="minorHAnsi"/>
              </w:rPr>
              <w:t>)</w:t>
            </w:r>
          </w:p>
        </w:tc>
        <w:tc>
          <w:tcPr>
            <w:tcW w:w="2135" w:type="dxa"/>
            <w:noWrap/>
          </w:tcPr>
          <w:p w14:paraId="0E6435B3" w14:textId="77777777" w:rsidR="00CC1D6A" w:rsidRPr="000E5283" w:rsidRDefault="004A0ABE" w:rsidP="00CC1D6A">
            <w:pPr>
              <w:rPr>
                <w:rFonts w:cstheme="minorHAnsi"/>
              </w:rPr>
            </w:pPr>
            <w:r w:rsidRPr="000E5283">
              <w:rPr>
                <w:rFonts w:cstheme="minorHAnsi"/>
              </w:rPr>
              <w:t>-6,3</w:t>
            </w:r>
            <w:r w:rsidR="00121DFA" w:rsidRPr="000E5283">
              <w:rPr>
                <w:rFonts w:cstheme="minorHAnsi"/>
              </w:rPr>
              <w:t>% PKB</w:t>
            </w:r>
          </w:p>
        </w:tc>
        <w:tc>
          <w:tcPr>
            <w:tcW w:w="1703" w:type="dxa"/>
            <w:noWrap/>
          </w:tcPr>
          <w:p w14:paraId="356CDF08" w14:textId="77777777" w:rsidR="00CC1D6A" w:rsidRPr="000E5283" w:rsidRDefault="004A0ABE" w:rsidP="00CC1D6A">
            <w:pPr>
              <w:rPr>
                <w:rFonts w:cstheme="minorHAnsi"/>
              </w:rPr>
            </w:pPr>
            <w:r w:rsidRPr="000E5283">
              <w:rPr>
                <w:rFonts w:cstheme="minorHAnsi"/>
              </w:rPr>
              <w:t>-6,8</w:t>
            </w:r>
            <w:r w:rsidR="00121DFA" w:rsidRPr="000E5283">
              <w:rPr>
                <w:rFonts w:cstheme="minorHAnsi"/>
              </w:rPr>
              <w:t>% PKB</w:t>
            </w:r>
          </w:p>
        </w:tc>
        <w:tc>
          <w:tcPr>
            <w:tcW w:w="1696" w:type="dxa"/>
            <w:noWrap/>
          </w:tcPr>
          <w:p w14:paraId="2CB508EE" w14:textId="77777777" w:rsidR="00CC1D6A" w:rsidRPr="000E5283" w:rsidRDefault="004A0ABE" w:rsidP="00CC1D6A">
            <w:pPr>
              <w:rPr>
                <w:rFonts w:cstheme="minorHAnsi"/>
              </w:rPr>
            </w:pPr>
            <w:r w:rsidRPr="000E5283">
              <w:rPr>
                <w:rFonts w:cstheme="minorHAnsi"/>
              </w:rPr>
              <w:t>-6,6</w:t>
            </w:r>
            <w:r w:rsidR="00121DFA" w:rsidRPr="000E5283">
              <w:rPr>
                <w:rFonts w:cstheme="minorHAnsi"/>
              </w:rPr>
              <w:t>% PKB</w:t>
            </w:r>
          </w:p>
        </w:tc>
      </w:tr>
      <w:tr w:rsidR="00CC1D6A" w:rsidRPr="000E5283" w14:paraId="482773D8" w14:textId="77777777" w:rsidTr="00F207FF">
        <w:trPr>
          <w:trHeight w:val="312"/>
        </w:trPr>
        <w:tc>
          <w:tcPr>
            <w:tcW w:w="3528" w:type="dxa"/>
            <w:noWrap/>
          </w:tcPr>
          <w:p w14:paraId="641748C9" w14:textId="77777777" w:rsidR="00CC1D6A" w:rsidRPr="000E5283" w:rsidRDefault="00CC1D6A" w:rsidP="002C4ADA">
            <w:pPr>
              <w:rPr>
                <w:rFonts w:cstheme="minorHAnsi"/>
                <w:lang w:val="en-US"/>
              </w:rPr>
            </w:pPr>
            <w:r w:rsidRPr="000E5283">
              <w:rPr>
                <w:rFonts w:cstheme="minorHAnsi"/>
              </w:rPr>
              <w:t>Dług publiczny (% PKB)</w:t>
            </w:r>
            <w:r w:rsidR="00071D1F" w:rsidRPr="000E5283">
              <w:rPr>
                <w:rFonts w:cstheme="minorHAnsi"/>
              </w:rPr>
              <w:t xml:space="preserve"> </w:t>
            </w:r>
          </w:p>
        </w:tc>
        <w:tc>
          <w:tcPr>
            <w:tcW w:w="2135" w:type="dxa"/>
            <w:noWrap/>
          </w:tcPr>
          <w:p w14:paraId="6C503FE0" w14:textId="77777777" w:rsidR="00CC1D6A" w:rsidRPr="000E5283" w:rsidRDefault="00133CF4" w:rsidP="002C4ADA">
            <w:pPr>
              <w:rPr>
                <w:rFonts w:cstheme="minorHAnsi"/>
                <w:lang w:val="en-US"/>
              </w:rPr>
            </w:pPr>
            <w:hyperlink r:id="rId18" w:history="1">
              <w:r w:rsidR="002C4ADA" w:rsidRPr="000E5283">
                <w:rPr>
                  <w:rStyle w:val="Hipercze"/>
                  <w:rFonts w:cstheme="minorHAnsi"/>
                </w:rPr>
                <w:t>Q4 2023: 120%</w:t>
              </w:r>
            </w:hyperlink>
          </w:p>
        </w:tc>
        <w:tc>
          <w:tcPr>
            <w:tcW w:w="1703" w:type="dxa"/>
            <w:noWrap/>
          </w:tcPr>
          <w:p w14:paraId="5DAF740D" w14:textId="77777777" w:rsidR="00CC1D6A" w:rsidRPr="000E5283" w:rsidRDefault="00133CF4" w:rsidP="002C4ADA">
            <w:pPr>
              <w:rPr>
                <w:rFonts w:cstheme="minorHAnsi"/>
                <w:lang w:val="en-US"/>
              </w:rPr>
            </w:pPr>
            <w:hyperlink r:id="rId19" w:history="1">
              <w:r w:rsidR="002C4ADA" w:rsidRPr="000E5283">
                <w:rPr>
                  <w:rStyle w:val="Hipercze"/>
                  <w:rFonts w:cstheme="minorHAnsi"/>
                </w:rPr>
                <w:t>Q2 2024: 120%</w:t>
              </w:r>
            </w:hyperlink>
          </w:p>
        </w:tc>
        <w:tc>
          <w:tcPr>
            <w:tcW w:w="1696" w:type="dxa"/>
            <w:noWrap/>
          </w:tcPr>
          <w:p w14:paraId="2F040458" w14:textId="77777777" w:rsidR="00CC1D6A" w:rsidRPr="000E5283" w:rsidRDefault="002C4ADA" w:rsidP="00CC1D6A">
            <w:pPr>
              <w:rPr>
                <w:rFonts w:cstheme="minorHAnsi"/>
                <w:lang w:val="en-US"/>
              </w:rPr>
            </w:pPr>
            <w:r w:rsidRPr="000E5283">
              <w:rPr>
                <w:rFonts w:cstheme="minorHAnsi"/>
                <w:lang w:val="en-US"/>
              </w:rPr>
              <w:t>-</w:t>
            </w:r>
          </w:p>
        </w:tc>
      </w:tr>
    </w:tbl>
    <w:p w14:paraId="2C93F113" w14:textId="77777777" w:rsidR="00CC1D6A" w:rsidRPr="000E5283" w:rsidRDefault="00CC1D6A" w:rsidP="00EB602A">
      <w:pPr>
        <w:pStyle w:val="Akapitzlist"/>
        <w:numPr>
          <w:ilvl w:val="0"/>
          <w:numId w:val="10"/>
        </w:numPr>
        <w:spacing w:before="240" w:after="120" w:line="264" w:lineRule="auto"/>
        <w:outlineLvl w:val="3"/>
        <w:rPr>
          <w:rFonts w:cstheme="minorHAnsi"/>
          <w:b/>
        </w:rPr>
      </w:pPr>
      <w:r w:rsidRPr="000E5283">
        <w:rPr>
          <w:rFonts w:cstheme="minorHAnsi"/>
          <w:b/>
        </w:rPr>
        <w:t xml:space="preserve">Dane demograficzne </w:t>
      </w:r>
    </w:p>
    <w:tbl>
      <w:tblPr>
        <w:tblStyle w:val="Tabela-Siatka1"/>
        <w:tblW w:w="0" w:type="auto"/>
        <w:tblLook w:val="04A0" w:firstRow="1" w:lastRow="0" w:firstColumn="1" w:lastColumn="0" w:noHBand="0" w:noVBand="1"/>
      </w:tblPr>
      <w:tblGrid>
        <w:gridCol w:w="4531"/>
        <w:gridCol w:w="4395"/>
      </w:tblGrid>
      <w:tr w:rsidR="00CC1D6A" w:rsidRPr="000E5283" w14:paraId="4833BDAD" w14:textId="77777777" w:rsidTr="006526CE">
        <w:trPr>
          <w:trHeight w:val="312"/>
        </w:trPr>
        <w:tc>
          <w:tcPr>
            <w:tcW w:w="8926" w:type="dxa"/>
            <w:gridSpan w:val="2"/>
            <w:noWrap/>
            <w:hideMark/>
          </w:tcPr>
          <w:p w14:paraId="429423F1" w14:textId="77777777" w:rsidR="00CC1D6A" w:rsidRPr="000E5283" w:rsidRDefault="00CC1D6A" w:rsidP="006526CE">
            <w:pPr>
              <w:spacing w:after="160" w:line="259" w:lineRule="auto"/>
              <w:ind w:left="1080"/>
              <w:contextualSpacing/>
              <w:jc w:val="center"/>
              <w:rPr>
                <w:rFonts w:cstheme="minorHAnsi"/>
                <w:b/>
                <w:bCs/>
              </w:rPr>
            </w:pPr>
            <w:r w:rsidRPr="000E5283">
              <w:rPr>
                <w:rFonts w:cstheme="minorHAnsi"/>
                <w:b/>
                <w:bCs/>
              </w:rPr>
              <w:t>Dane demograficzne (aktualne)</w:t>
            </w:r>
          </w:p>
        </w:tc>
      </w:tr>
      <w:tr w:rsidR="00CC1D6A" w:rsidRPr="000E5283" w14:paraId="2CA9ACEB" w14:textId="77777777" w:rsidTr="006526CE">
        <w:trPr>
          <w:trHeight w:val="312"/>
        </w:trPr>
        <w:tc>
          <w:tcPr>
            <w:tcW w:w="4531" w:type="dxa"/>
            <w:noWrap/>
            <w:hideMark/>
          </w:tcPr>
          <w:p w14:paraId="0400699F" w14:textId="77777777" w:rsidR="00CC1D6A" w:rsidRPr="000E5283" w:rsidRDefault="00133CF4" w:rsidP="005A54B5">
            <w:pPr>
              <w:spacing w:after="160" w:line="259" w:lineRule="auto"/>
              <w:ind w:left="1080" w:hanging="904"/>
              <w:contextualSpacing/>
              <w:rPr>
                <w:rFonts w:cstheme="minorHAnsi"/>
              </w:rPr>
            </w:pPr>
            <w:hyperlink r:id="rId20" w:history="1">
              <w:r w:rsidR="00CC1D6A" w:rsidRPr="000E5283">
                <w:rPr>
                  <w:rStyle w:val="Hipercze"/>
                  <w:rFonts w:cstheme="minorHAnsi"/>
                </w:rPr>
                <w:t>Liczba ludności</w:t>
              </w:r>
            </w:hyperlink>
            <w:r w:rsidR="00CC1D6A" w:rsidRPr="000E5283">
              <w:rPr>
                <w:rFonts w:cstheme="minorHAnsi"/>
              </w:rPr>
              <w:t xml:space="preserve"> (w tys.)</w:t>
            </w:r>
          </w:p>
        </w:tc>
        <w:tc>
          <w:tcPr>
            <w:tcW w:w="4395" w:type="dxa"/>
            <w:noWrap/>
            <w:hideMark/>
          </w:tcPr>
          <w:p w14:paraId="1EE0AF16" w14:textId="77777777" w:rsidR="00CC1D6A" w:rsidRPr="000E5283" w:rsidRDefault="00CC1D6A" w:rsidP="009D616D">
            <w:pPr>
              <w:spacing w:after="160" w:line="259" w:lineRule="auto"/>
              <w:contextualSpacing/>
              <w:rPr>
                <w:rFonts w:cstheme="minorHAnsi"/>
              </w:rPr>
            </w:pPr>
            <w:r w:rsidRPr="000E5283">
              <w:rPr>
                <w:rFonts w:cstheme="minorHAnsi"/>
              </w:rPr>
              <w:t>334</w:t>
            </w:r>
            <w:r w:rsidR="009D616D" w:rsidRPr="000E5283">
              <w:rPr>
                <w:rFonts w:cstheme="minorHAnsi"/>
              </w:rPr>
              <w:t xml:space="preserve"> </w:t>
            </w:r>
            <w:r w:rsidRPr="000E5283">
              <w:rPr>
                <w:rFonts w:cstheme="minorHAnsi"/>
              </w:rPr>
              <w:t>914,9 tys.</w:t>
            </w:r>
            <w:r w:rsidR="009D616D" w:rsidRPr="000E5283">
              <w:rPr>
                <w:rFonts w:cstheme="minorHAnsi"/>
              </w:rPr>
              <w:t xml:space="preserve"> </w:t>
            </w:r>
          </w:p>
        </w:tc>
      </w:tr>
      <w:tr w:rsidR="00CC1D6A" w:rsidRPr="000E5283" w14:paraId="3F7C23EC" w14:textId="77777777" w:rsidTr="006526CE">
        <w:trPr>
          <w:trHeight w:val="312"/>
        </w:trPr>
        <w:tc>
          <w:tcPr>
            <w:tcW w:w="4531" w:type="dxa"/>
            <w:noWrap/>
            <w:hideMark/>
          </w:tcPr>
          <w:p w14:paraId="045B899E" w14:textId="77777777" w:rsidR="00CC1D6A" w:rsidRPr="000E5283" w:rsidRDefault="00CC1D6A" w:rsidP="006526CE">
            <w:pPr>
              <w:spacing w:after="160" w:line="259" w:lineRule="auto"/>
              <w:ind w:left="1080" w:hanging="904"/>
              <w:contextualSpacing/>
              <w:rPr>
                <w:rFonts w:cstheme="minorHAnsi"/>
              </w:rPr>
            </w:pPr>
            <w:r w:rsidRPr="000E5283">
              <w:rPr>
                <w:rFonts w:cstheme="minorHAnsi"/>
              </w:rPr>
              <w:t>Siła robocza (w tys./mln, dane krajowe)</w:t>
            </w:r>
          </w:p>
        </w:tc>
        <w:tc>
          <w:tcPr>
            <w:tcW w:w="4395" w:type="dxa"/>
            <w:noWrap/>
            <w:hideMark/>
          </w:tcPr>
          <w:p w14:paraId="46BB287F" w14:textId="77777777" w:rsidR="00CC1D6A" w:rsidRPr="000E5283" w:rsidRDefault="00CC1D6A" w:rsidP="006526CE">
            <w:pPr>
              <w:spacing w:after="160" w:line="259" w:lineRule="auto"/>
              <w:contextualSpacing/>
              <w:rPr>
                <w:rFonts w:cstheme="minorHAnsi"/>
              </w:rPr>
            </w:pPr>
            <w:r w:rsidRPr="000E5283">
              <w:rPr>
                <w:rFonts w:cstheme="minorHAnsi"/>
              </w:rPr>
              <w:t>161864 tys. osób zatrudnionych +</w:t>
            </w:r>
          </w:p>
          <w:p w14:paraId="150D6F86" w14:textId="77777777" w:rsidR="00CC1D6A" w:rsidRPr="000E5283" w:rsidRDefault="00CC1D6A" w:rsidP="006526CE">
            <w:pPr>
              <w:spacing w:after="160" w:line="259" w:lineRule="auto"/>
              <w:contextualSpacing/>
              <w:rPr>
                <w:rFonts w:cstheme="minorHAnsi"/>
              </w:rPr>
            </w:pPr>
            <w:r w:rsidRPr="000E5283">
              <w:rPr>
                <w:rFonts w:cstheme="minorHAnsi"/>
              </w:rPr>
              <w:t>6834 tys. bezrobotnych = 169698 tys.</w:t>
            </w:r>
          </w:p>
        </w:tc>
      </w:tr>
      <w:tr w:rsidR="00CC1D6A" w:rsidRPr="000E5283" w14:paraId="4CA9AB1B" w14:textId="77777777" w:rsidTr="006526CE">
        <w:trPr>
          <w:trHeight w:val="312"/>
        </w:trPr>
        <w:tc>
          <w:tcPr>
            <w:tcW w:w="4531" w:type="dxa"/>
            <w:noWrap/>
            <w:hideMark/>
          </w:tcPr>
          <w:p w14:paraId="187AF013" w14:textId="77777777" w:rsidR="00CC1D6A" w:rsidRPr="000E5283" w:rsidRDefault="00133CF4" w:rsidP="006526CE">
            <w:pPr>
              <w:spacing w:after="160" w:line="259" w:lineRule="auto"/>
              <w:ind w:left="1080" w:hanging="904"/>
              <w:contextualSpacing/>
              <w:rPr>
                <w:rFonts w:cstheme="minorHAnsi"/>
              </w:rPr>
            </w:pPr>
            <w:hyperlink r:id="rId21" w:history="1">
              <w:r w:rsidR="00CC1D6A" w:rsidRPr="000E5283">
                <w:rPr>
                  <w:rStyle w:val="Hipercze"/>
                  <w:rFonts w:cstheme="minorHAnsi"/>
                </w:rPr>
                <w:t>Rozmiar klasy średniej</w:t>
              </w:r>
            </w:hyperlink>
            <w:r w:rsidR="00CC1D6A" w:rsidRPr="000E5283">
              <w:rPr>
                <w:rFonts w:cstheme="minorHAnsi"/>
              </w:rPr>
              <w:t xml:space="preserve"> (w tys./mln)</w:t>
            </w:r>
          </w:p>
        </w:tc>
        <w:tc>
          <w:tcPr>
            <w:tcW w:w="4395" w:type="dxa"/>
            <w:noWrap/>
            <w:hideMark/>
          </w:tcPr>
          <w:p w14:paraId="3F58CC7D" w14:textId="77777777" w:rsidR="00CC1D6A" w:rsidRPr="000E5283" w:rsidRDefault="00A42BFD" w:rsidP="005418F4">
            <w:pPr>
              <w:spacing w:after="160" w:line="259" w:lineRule="auto"/>
              <w:contextualSpacing/>
              <w:rPr>
                <w:rFonts w:cstheme="minorHAnsi"/>
              </w:rPr>
            </w:pPr>
            <w:r w:rsidRPr="000E5283">
              <w:rPr>
                <w:rFonts w:cstheme="minorHAnsi"/>
              </w:rPr>
              <w:t>170 806,6 tys.</w:t>
            </w:r>
          </w:p>
        </w:tc>
      </w:tr>
      <w:tr w:rsidR="00CC1D6A" w:rsidRPr="000E5283" w14:paraId="71460138" w14:textId="77777777" w:rsidTr="006526CE">
        <w:trPr>
          <w:trHeight w:val="312"/>
        </w:trPr>
        <w:tc>
          <w:tcPr>
            <w:tcW w:w="4531" w:type="dxa"/>
            <w:noWrap/>
            <w:hideMark/>
          </w:tcPr>
          <w:p w14:paraId="24160087" w14:textId="77777777" w:rsidR="00CC1D6A" w:rsidRPr="000E5283" w:rsidRDefault="00133CF4" w:rsidP="006526CE">
            <w:pPr>
              <w:spacing w:after="160" w:line="259" w:lineRule="auto"/>
              <w:ind w:left="176"/>
              <w:contextualSpacing/>
              <w:rPr>
                <w:rFonts w:cstheme="minorHAnsi"/>
              </w:rPr>
            </w:pPr>
            <w:hyperlink r:id="rId22" w:history="1">
              <w:r w:rsidR="00CC1D6A" w:rsidRPr="000E5283">
                <w:rPr>
                  <w:rStyle w:val="Hipercze"/>
                  <w:rFonts w:cstheme="minorHAnsi"/>
                </w:rPr>
                <w:t>Poziom ubóstwa</w:t>
              </w:r>
            </w:hyperlink>
            <w:r w:rsidR="00CC1D6A" w:rsidRPr="000E5283">
              <w:rPr>
                <w:rFonts w:cstheme="minorHAnsi"/>
              </w:rPr>
              <w:t xml:space="preserve"> (% populacji żyjącej poniżej progu ubóstwa)</w:t>
            </w:r>
          </w:p>
        </w:tc>
        <w:tc>
          <w:tcPr>
            <w:tcW w:w="4395" w:type="dxa"/>
            <w:noWrap/>
            <w:hideMark/>
          </w:tcPr>
          <w:p w14:paraId="7B1F0D16" w14:textId="77777777" w:rsidR="00CC1D6A" w:rsidRPr="000E5283" w:rsidRDefault="00563460" w:rsidP="005418F4">
            <w:pPr>
              <w:spacing w:after="160" w:line="259" w:lineRule="auto"/>
              <w:contextualSpacing/>
              <w:rPr>
                <w:rFonts w:cstheme="minorHAnsi"/>
              </w:rPr>
            </w:pPr>
            <w:r w:rsidRPr="000E5283">
              <w:rPr>
                <w:rFonts w:cstheme="minorHAnsi"/>
              </w:rPr>
              <w:t>1</w:t>
            </w:r>
            <w:r w:rsidR="005A54B5" w:rsidRPr="000E5283">
              <w:rPr>
                <w:rFonts w:cstheme="minorHAnsi"/>
              </w:rPr>
              <w:t>1,1</w:t>
            </w:r>
            <w:r w:rsidRPr="000E5283">
              <w:rPr>
                <w:rFonts w:cstheme="minorHAnsi"/>
              </w:rPr>
              <w:t>%</w:t>
            </w:r>
          </w:p>
        </w:tc>
      </w:tr>
      <w:tr w:rsidR="00CC1D6A" w:rsidRPr="000E5283" w14:paraId="0E937E7C" w14:textId="77777777" w:rsidTr="006526CE">
        <w:trPr>
          <w:trHeight w:val="312"/>
        </w:trPr>
        <w:tc>
          <w:tcPr>
            <w:tcW w:w="4531" w:type="dxa"/>
            <w:noWrap/>
            <w:hideMark/>
          </w:tcPr>
          <w:p w14:paraId="25A9C7D8" w14:textId="77777777" w:rsidR="00CC1D6A" w:rsidRPr="000E5283" w:rsidRDefault="00133CF4" w:rsidP="006526CE">
            <w:pPr>
              <w:spacing w:after="160" w:line="259" w:lineRule="auto"/>
              <w:ind w:left="1080" w:hanging="904"/>
              <w:contextualSpacing/>
              <w:rPr>
                <w:rFonts w:cstheme="minorHAnsi"/>
              </w:rPr>
            </w:pPr>
            <w:hyperlink r:id="rId23" w:history="1">
              <w:r w:rsidR="00CC1D6A" w:rsidRPr="000E5283">
                <w:rPr>
                  <w:rStyle w:val="Hipercze"/>
                  <w:rFonts w:cstheme="minorHAnsi"/>
                </w:rPr>
                <w:t>Współczynnik Giniego</w:t>
              </w:r>
            </w:hyperlink>
          </w:p>
        </w:tc>
        <w:tc>
          <w:tcPr>
            <w:tcW w:w="4395" w:type="dxa"/>
            <w:noWrap/>
            <w:hideMark/>
          </w:tcPr>
          <w:p w14:paraId="7D645EBD" w14:textId="77777777" w:rsidR="00CC1D6A" w:rsidRPr="000E5283" w:rsidRDefault="00CC1D6A" w:rsidP="005418F4">
            <w:pPr>
              <w:spacing w:after="160" w:line="259" w:lineRule="auto"/>
              <w:contextualSpacing/>
              <w:rPr>
                <w:rFonts w:cstheme="minorHAnsi"/>
              </w:rPr>
            </w:pPr>
            <w:r w:rsidRPr="000E5283">
              <w:rPr>
                <w:rFonts w:cstheme="minorHAnsi"/>
              </w:rPr>
              <w:t>41.3 (2022)</w:t>
            </w:r>
          </w:p>
        </w:tc>
      </w:tr>
      <w:tr w:rsidR="00CC1D6A" w:rsidRPr="000E5283" w14:paraId="238A92E8" w14:textId="77777777" w:rsidTr="006526CE">
        <w:trPr>
          <w:trHeight w:val="324"/>
        </w:trPr>
        <w:tc>
          <w:tcPr>
            <w:tcW w:w="4531" w:type="dxa"/>
            <w:noWrap/>
            <w:hideMark/>
          </w:tcPr>
          <w:p w14:paraId="4B681E68" w14:textId="77777777" w:rsidR="00CC1D6A" w:rsidRPr="000E5283" w:rsidRDefault="00133CF4" w:rsidP="006526CE">
            <w:pPr>
              <w:spacing w:after="160" w:line="259" w:lineRule="auto"/>
              <w:ind w:left="1080" w:hanging="904"/>
              <w:contextualSpacing/>
              <w:rPr>
                <w:rFonts w:cstheme="minorHAnsi"/>
              </w:rPr>
            </w:pPr>
            <w:hyperlink r:id="rId24" w:anchor="/indicies/HDI" w:history="1">
              <w:r w:rsidR="00CC1D6A" w:rsidRPr="000E5283">
                <w:rPr>
                  <w:rStyle w:val="Hipercze"/>
                  <w:rFonts w:cstheme="minorHAnsi"/>
                </w:rPr>
                <w:t>Współczynnik HDI</w:t>
              </w:r>
            </w:hyperlink>
          </w:p>
        </w:tc>
        <w:tc>
          <w:tcPr>
            <w:tcW w:w="4395" w:type="dxa"/>
            <w:noWrap/>
            <w:hideMark/>
          </w:tcPr>
          <w:p w14:paraId="746360EE" w14:textId="77777777" w:rsidR="00CC1D6A" w:rsidRPr="000E5283" w:rsidRDefault="00CC1D6A" w:rsidP="005418F4">
            <w:pPr>
              <w:spacing w:after="160" w:line="259" w:lineRule="auto"/>
              <w:contextualSpacing/>
              <w:rPr>
                <w:rFonts w:cstheme="minorHAnsi"/>
              </w:rPr>
            </w:pPr>
            <w:r w:rsidRPr="000E5283">
              <w:rPr>
                <w:rFonts w:cstheme="minorHAnsi"/>
              </w:rPr>
              <w:t>0,927 (2022)</w:t>
            </w:r>
          </w:p>
        </w:tc>
      </w:tr>
    </w:tbl>
    <w:p w14:paraId="16329F48" w14:textId="77777777" w:rsidR="00CC1D6A" w:rsidRPr="000E5283" w:rsidRDefault="00CC1D6A" w:rsidP="00EB602A">
      <w:pPr>
        <w:pStyle w:val="Akapitzlist"/>
        <w:numPr>
          <w:ilvl w:val="0"/>
          <w:numId w:val="10"/>
        </w:numPr>
        <w:spacing w:before="240" w:after="120" w:line="264" w:lineRule="auto"/>
        <w:outlineLvl w:val="3"/>
        <w:rPr>
          <w:rFonts w:cstheme="minorHAnsi"/>
          <w:b/>
        </w:rPr>
      </w:pPr>
      <w:r w:rsidRPr="000E5283">
        <w:rPr>
          <w:rFonts w:cstheme="minorHAnsi"/>
          <w:b/>
        </w:rPr>
        <w:t>Handel zagraniczny i inwestycje</w:t>
      </w:r>
    </w:p>
    <w:p w14:paraId="2F154E32" w14:textId="312FB5DA" w:rsidR="00616F3E" w:rsidRPr="000E5283" w:rsidRDefault="00EB602A" w:rsidP="00EB602A">
      <w:pPr>
        <w:spacing w:before="240" w:after="120" w:line="264" w:lineRule="auto"/>
        <w:ind w:left="360"/>
        <w:outlineLvl w:val="3"/>
        <w:rPr>
          <w:rFonts w:cstheme="minorHAnsi"/>
          <w:b/>
        </w:rPr>
      </w:pPr>
      <w:r w:rsidRPr="000E5283">
        <w:rPr>
          <w:rFonts w:cstheme="minorHAnsi"/>
          <w:b/>
        </w:rPr>
        <w:t>4.1.</w:t>
      </w:r>
      <w:r w:rsidR="003D265E" w:rsidRPr="000E5283">
        <w:rPr>
          <w:rFonts w:cstheme="minorHAnsi"/>
          <w:b/>
        </w:rPr>
        <w:t xml:space="preserve"> </w:t>
      </w:r>
      <w:r w:rsidR="00356831" w:rsidRPr="000E5283">
        <w:rPr>
          <w:rFonts w:cstheme="minorHAnsi"/>
          <w:b/>
        </w:rPr>
        <w:t>Najważniejsi partnerzy handlowi</w:t>
      </w:r>
    </w:p>
    <w:p w14:paraId="5F65A11D" w14:textId="77777777" w:rsidR="00FA15E3" w:rsidRPr="000E5283" w:rsidRDefault="003D265E" w:rsidP="00A71497">
      <w:pPr>
        <w:spacing w:before="240" w:after="120" w:line="264" w:lineRule="auto"/>
        <w:jc w:val="both"/>
        <w:outlineLvl w:val="3"/>
        <w:rPr>
          <w:rFonts w:cstheme="minorHAnsi"/>
        </w:rPr>
      </w:pPr>
      <w:r w:rsidRPr="000E5283">
        <w:rPr>
          <w:rFonts w:cstheme="minorHAnsi"/>
        </w:rPr>
        <w:t>Najważniejsi partnerzy USA w handlu towarami w</w:t>
      </w:r>
      <w:r w:rsidR="00A1184D" w:rsidRPr="000E5283">
        <w:rPr>
          <w:rFonts w:cstheme="minorHAnsi"/>
        </w:rPr>
        <w:t xml:space="preserve"> okresie </w:t>
      </w:r>
      <w:r w:rsidR="001F4E9C" w:rsidRPr="000E5283">
        <w:rPr>
          <w:rFonts w:cstheme="minorHAnsi"/>
        </w:rPr>
        <w:t>od stycznia</w:t>
      </w:r>
      <w:r w:rsidR="00FA15E3" w:rsidRPr="000E5283">
        <w:rPr>
          <w:rFonts w:cstheme="minorHAnsi"/>
        </w:rPr>
        <w:t xml:space="preserve"> do września 2024 r.</w:t>
      </w:r>
      <w:r w:rsidRPr="000E5283">
        <w:rPr>
          <w:rFonts w:cstheme="minorHAnsi"/>
        </w:rPr>
        <w:t xml:space="preserve"> (wg wartości obrotów)</w:t>
      </w:r>
      <w:r w:rsidR="001C6429" w:rsidRPr="000E5283">
        <w:rPr>
          <w:rFonts w:cstheme="minorHAnsi"/>
        </w:rPr>
        <w:t>.</w:t>
      </w:r>
    </w:p>
    <w:tbl>
      <w:tblPr>
        <w:tblStyle w:val="Zwykatabela2"/>
        <w:tblW w:w="6946" w:type="dxa"/>
        <w:tblLayout w:type="fixed"/>
        <w:tblLook w:val="04A0" w:firstRow="1" w:lastRow="0" w:firstColumn="1" w:lastColumn="0" w:noHBand="0" w:noVBand="1"/>
      </w:tblPr>
      <w:tblGrid>
        <w:gridCol w:w="986"/>
        <w:gridCol w:w="1281"/>
        <w:gridCol w:w="994"/>
        <w:gridCol w:w="1134"/>
        <w:gridCol w:w="1275"/>
        <w:gridCol w:w="1276"/>
      </w:tblGrid>
      <w:tr w:rsidR="009609C0" w:rsidRPr="000E5283" w14:paraId="43127F86" w14:textId="77777777" w:rsidTr="00E008EE">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986" w:type="dxa"/>
            <w:hideMark/>
          </w:tcPr>
          <w:p w14:paraId="58E2C447" w14:textId="77777777" w:rsidR="00616F3E" w:rsidRPr="000E5283" w:rsidRDefault="00616F3E" w:rsidP="00D229F2">
            <w:pPr>
              <w:shd w:val="clear" w:color="auto" w:fill="FFFFFF"/>
              <w:spacing w:before="120" w:after="120"/>
              <w:jc w:val="both"/>
              <w:rPr>
                <w:rFonts w:cstheme="minorHAnsi"/>
              </w:rPr>
            </w:pPr>
            <w:r w:rsidRPr="000E5283">
              <w:rPr>
                <w:rFonts w:cstheme="minorHAnsi"/>
              </w:rPr>
              <w:t>Lp.</w:t>
            </w:r>
          </w:p>
        </w:tc>
        <w:tc>
          <w:tcPr>
            <w:tcW w:w="1281" w:type="dxa"/>
            <w:hideMark/>
          </w:tcPr>
          <w:p w14:paraId="0E90C378"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Państwo/</w:t>
            </w:r>
          </w:p>
          <w:p w14:paraId="62A786BE"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Organizacja</w:t>
            </w:r>
          </w:p>
        </w:tc>
        <w:tc>
          <w:tcPr>
            <w:tcW w:w="994" w:type="dxa"/>
            <w:hideMark/>
          </w:tcPr>
          <w:p w14:paraId="4FE9110C"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Obroty</w:t>
            </w:r>
          </w:p>
          <w:p w14:paraId="3B3FD406"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mld $</w:t>
            </w:r>
          </w:p>
        </w:tc>
        <w:tc>
          <w:tcPr>
            <w:tcW w:w="1134" w:type="dxa"/>
            <w:hideMark/>
          </w:tcPr>
          <w:p w14:paraId="1AB5BBC7"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Eksport</w:t>
            </w:r>
          </w:p>
          <w:p w14:paraId="48F193B7"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mld $</w:t>
            </w:r>
          </w:p>
        </w:tc>
        <w:tc>
          <w:tcPr>
            <w:tcW w:w="1275" w:type="dxa"/>
            <w:hideMark/>
          </w:tcPr>
          <w:p w14:paraId="76BCA5D3"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Import</w:t>
            </w:r>
          </w:p>
          <w:p w14:paraId="3E328165"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mld $</w:t>
            </w:r>
          </w:p>
        </w:tc>
        <w:tc>
          <w:tcPr>
            <w:tcW w:w="1276" w:type="dxa"/>
            <w:hideMark/>
          </w:tcPr>
          <w:p w14:paraId="329ACF57"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Bilans</w:t>
            </w:r>
          </w:p>
          <w:p w14:paraId="781119AA" w14:textId="77777777" w:rsidR="00616F3E" w:rsidRPr="000E5283" w:rsidRDefault="00616F3E" w:rsidP="00D229F2">
            <w:pPr>
              <w:shd w:val="clear" w:color="auto" w:fill="FFFFFF"/>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rPr>
            </w:pPr>
            <w:r w:rsidRPr="000E5283">
              <w:rPr>
                <w:rFonts w:cstheme="minorHAnsi"/>
              </w:rPr>
              <w:t>mld $</w:t>
            </w:r>
          </w:p>
        </w:tc>
      </w:tr>
      <w:tr w:rsidR="009609C0" w:rsidRPr="000E5283" w14:paraId="0D5D7B9A" w14:textId="77777777" w:rsidTr="00E008EE">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986" w:type="dxa"/>
            <w:hideMark/>
          </w:tcPr>
          <w:p w14:paraId="37B31FC2"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lastRenderedPageBreak/>
              <w:t> </w:t>
            </w:r>
          </w:p>
        </w:tc>
        <w:tc>
          <w:tcPr>
            <w:tcW w:w="1281" w:type="dxa"/>
            <w:hideMark/>
          </w:tcPr>
          <w:p w14:paraId="6DD6146A" w14:textId="77777777" w:rsidR="00616F3E" w:rsidRPr="000E5283" w:rsidRDefault="00FA15E3"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Meksyk</w:t>
            </w:r>
          </w:p>
        </w:tc>
        <w:tc>
          <w:tcPr>
            <w:tcW w:w="994" w:type="dxa"/>
            <w:hideMark/>
          </w:tcPr>
          <w:p w14:paraId="48DA1687" w14:textId="77777777" w:rsidR="00616F3E" w:rsidRPr="000E5283" w:rsidRDefault="00FA15E3"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0E5283">
              <w:rPr>
                <w:rFonts w:eastAsia="Times New Roman" w:cstheme="minorHAnsi"/>
                <w:color w:val="000000"/>
                <w:lang w:eastAsia="pl-PL"/>
              </w:rPr>
              <w:t>632,3</w:t>
            </w:r>
          </w:p>
        </w:tc>
        <w:tc>
          <w:tcPr>
            <w:tcW w:w="1134" w:type="dxa"/>
            <w:hideMark/>
          </w:tcPr>
          <w:p w14:paraId="719F01CC" w14:textId="77777777" w:rsidR="00616F3E" w:rsidRPr="000E5283" w:rsidRDefault="001A0A8B"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0E5283">
              <w:rPr>
                <w:rFonts w:eastAsia="Times New Roman" w:cstheme="minorHAnsi"/>
                <w:color w:val="000000"/>
                <w:lang w:eastAsia="pl-PL"/>
              </w:rPr>
              <w:t>253,</w:t>
            </w:r>
            <w:r w:rsidR="00FA15E3" w:rsidRPr="000E5283">
              <w:rPr>
                <w:rFonts w:eastAsia="Times New Roman" w:cstheme="minorHAnsi"/>
                <w:color w:val="000000"/>
                <w:lang w:eastAsia="pl-PL"/>
              </w:rPr>
              <w:t>4</w:t>
            </w:r>
          </w:p>
        </w:tc>
        <w:tc>
          <w:tcPr>
            <w:tcW w:w="1275" w:type="dxa"/>
            <w:hideMark/>
          </w:tcPr>
          <w:p w14:paraId="7C14D742" w14:textId="77777777" w:rsidR="00616F3E" w:rsidRPr="000E5283" w:rsidRDefault="001A0A8B"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0E5283">
              <w:rPr>
                <w:rFonts w:eastAsia="Times New Roman" w:cstheme="minorHAnsi"/>
                <w:color w:val="000000"/>
                <w:lang w:eastAsia="pl-PL"/>
              </w:rPr>
              <w:t>378,</w:t>
            </w:r>
            <w:r w:rsidR="00FA15E3" w:rsidRPr="000E5283">
              <w:rPr>
                <w:rFonts w:eastAsia="Times New Roman" w:cstheme="minorHAnsi"/>
                <w:color w:val="000000"/>
                <w:lang w:eastAsia="pl-PL"/>
              </w:rPr>
              <w:t>9</w:t>
            </w:r>
          </w:p>
        </w:tc>
        <w:tc>
          <w:tcPr>
            <w:tcW w:w="1276" w:type="dxa"/>
            <w:hideMark/>
          </w:tcPr>
          <w:p w14:paraId="4692EB66" w14:textId="77777777" w:rsidR="00FA15E3" w:rsidRPr="000E5283" w:rsidRDefault="001A0A8B"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lang w:eastAsia="pl-PL"/>
              </w:rPr>
            </w:pPr>
            <w:r w:rsidRPr="000E5283">
              <w:rPr>
                <w:rFonts w:eastAsia="Times New Roman" w:cstheme="minorHAnsi"/>
                <w:b/>
                <w:color w:val="000000"/>
                <w:lang w:eastAsia="pl-PL"/>
              </w:rPr>
              <w:t>-125,5</w:t>
            </w:r>
          </w:p>
        </w:tc>
      </w:tr>
      <w:tr w:rsidR="009609C0" w:rsidRPr="000E5283" w14:paraId="4C0CC2A6" w14:textId="77777777" w:rsidTr="00E008EE">
        <w:trPr>
          <w:trHeight w:val="420"/>
        </w:trPr>
        <w:tc>
          <w:tcPr>
            <w:cnfStyle w:val="001000000000" w:firstRow="0" w:lastRow="0" w:firstColumn="1" w:lastColumn="0" w:oddVBand="0" w:evenVBand="0" w:oddHBand="0" w:evenHBand="0" w:firstRowFirstColumn="0" w:firstRowLastColumn="0" w:lastRowFirstColumn="0" w:lastRowLastColumn="0"/>
            <w:tcW w:w="986" w:type="dxa"/>
            <w:hideMark/>
          </w:tcPr>
          <w:p w14:paraId="565B8ABA"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10E5DBDD" w14:textId="77777777" w:rsidR="00616F3E" w:rsidRPr="000E5283" w:rsidRDefault="00FA15E3"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Kanada</w:t>
            </w:r>
          </w:p>
        </w:tc>
        <w:tc>
          <w:tcPr>
            <w:tcW w:w="994" w:type="dxa"/>
            <w:hideMark/>
          </w:tcPr>
          <w:p w14:paraId="5D305C0A" w14:textId="77777777" w:rsidR="00616F3E" w:rsidRPr="000E5283" w:rsidRDefault="001A0A8B" w:rsidP="001A0A8B">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 xml:space="preserve">572,9 </w:t>
            </w:r>
          </w:p>
        </w:tc>
        <w:tc>
          <w:tcPr>
            <w:tcW w:w="1134" w:type="dxa"/>
            <w:hideMark/>
          </w:tcPr>
          <w:p w14:paraId="2347D2A9" w14:textId="77777777" w:rsidR="00616F3E" w:rsidRPr="000E5283" w:rsidRDefault="001A0A8B"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263,5</w:t>
            </w:r>
          </w:p>
        </w:tc>
        <w:tc>
          <w:tcPr>
            <w:tcW w:w="1275" w:type="dxa"/>
            <w:hideMark/>
          </w:tcPr>
          <w:p w14:paraId="15696DDF" w14:textId="77777777" w:rsidR="00616F3E" w:rsidRPr="000E5283" w:rsidRDefault="001A0A8B" w:rsidP="001A0A8B">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309,3</w:t>
            </w:r>
          </w:p>
        </w:tc>
        <w:tc>
          <w:tcPr>
            <w:tcW w:w="1276" w:type="dxa"/>
            <w:hideMark/>
          </w:tcPr>
          <w:p w14:paraId="08A8BAA3" w14:textId="77777777" w:rsidR="00616F3E" w:rsidRPr="000E5283" w:rsidRDefault="00616F3E" w:rsidP="001A0A8B">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w:t>
            </w:r>
            <w:r w:rsidR="001A0A8B" w:rsidRPr="000E5283">
              <w:rPr>
                <w:rFonts w:cstheme="minorHAnsi"/>
              </w:rPr>
              <w:t>45,8</w:t>
            </w:r>
          </w:p>
        </w:tc>
      </w:tr>
      <w:tr w:rsidR="009609C0" w:rsidRPr="000E5283" w14:paraId="2AF6A5C0" w14:textId="77777777" w:rsidTr="00E008E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86" w:type="dxa"/>
            <w:hideMark/>
          </w:tcPr>
          <w:p w14:paraId="2094466E"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735EA18E" w14:textId="77777777" w:rsidR="00616F3E" w:rsidRPr="000E5283" w:rsidRDefault="00FA15E3"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Chiny</w:t>
            </w:r>
          </w:p>
        </w:tc>
        <w:tc>
          <w:tcPr>
            <w:tcW w:w="994" w:type="dxa"/>
            <w:hideMark/>
          </w:tcPr>
          <w:p w14:paraId="1068BC40" w14:textId="77777777" w:rsidR="00616F3E" w:rsidRPr="000E5283" w:rsidRDefault="001A0A8B"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426,9</w:t>
            </w:r>
          </w:p>
        </w:tc>
        <w:tc>
          <w:tcPr>
            <w:tcW w:w="1134" w:type="dxa"/>
            <w:hideMark/>
          </w:tcPr>
          <w:p w14:paraId="1D0A99E0" w14:textId="77777777" w:rsidR="00616F3E" w:rsidRPr="000E5283" w:rsidRDefault="001A0A8B"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104,7</w:t>
            </w:r>
          </w:p>
        </w:tc>
        <w:tc>
          <w:tcPr>
            <w:tcW w:w="1275" w:type="dxa"/>
            <w:hideMark/>
          </w:tcPr>
          <w:p w14:paraId="3ABDE9D0" w14:textId="77777777" w:rsidR="00616F3E" w:rsidRPr="000E5283" w:rsidRDefault="001A0A8B"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322,2</w:t>
            </w:r>
          </w:p>
        </w:tc>
        <w:tc>
          <w:tcPr>
            <w:tcW w:w="1276" w:type="dxa"/>
            <w:hideMark/>
          </w:tcPr>
          <w:p w14:paraId="22BF9653" w14:textId="77777777" w:rsidR="00616F3E" w:rsidRPr="000E5283" w:rsidRDefault="00616F3E" w:rsidP="001A0A8B">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b/>
              </w:rPr>
            </w:pPr>
            <w:r w:rsidRPr="000E5283">
              <w:rPr>
                <w:rFonts w:cstheme="minorHAnsi"/>
                <w:b/>
              </w:rPr>
              <w:t>-</w:t>
            </w:r>
            <w:r w:rsidR="001A0A8B" w:rsidRPr="000E5283">
              <w:rPr>
                <w:rFonts w:cstheme="minorHAnsi"/>
                <w:b/>
              </w:rPr>
              <w:t>217</w:t>
            </w:r>
            <w:r w:rsidRPr="000E5283">
              <w:rPr>
                <w:rFonts w:cstheme="minorHAnsi"/>
                <w:b/>
              </w:rPr>
              <w:t>,5</w:t>
            </w:r>
          </w:p>
        </w:tc>
      </w:tr>
      <w:tr w:rsidR="009609C0" w:rsidRPr="000E5283" w14:paraId="35ED2541" w14:textId="77777777" w:rsidTr="00E008EE">
        <w:trPr>
          <w:trHeight w:val="420"/>
        </w:trPr>
        <w:tc>
          <w:tcPr>
            <w:cnfStyle w:val="001000000000" w:firstRow="0" w:lastRow="0" w:firstColumn="1" w:lastColumn="0" w:oddVBand="0" w:evenVBand="0" w:oddHBand="0" w:evenHBand="0" w:firstRowFirstColumn="0" w:firstRowLastColumn="0" w:lastRowFirstColumn="0" w:lastRowLastColumn="0"/>
            <w:tcW w:w="986" w:type="dxa"/>
            <w:hideMark/>
          </w:tcPr>
          <w:p w14:paraId="5341880C"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140D1146" w14:textId="77777777" w:rsidR="00616F3E" w:rsidRPr="000E5283" w:rsidRDefault="00FA15E3"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Niemcy</w:t>
            </w:r>
          </w:p>
        </w:tc>
        <w:tc>
          <w:tcPr>
            <w:tcW w:w="994" w:type="dxa"/>
            <w:hideMark/>
          </w:tcPr>
          <w:p w14:paraId="545C66E5" w14:textId="77777777" w:rsidR="00616F3E" w:rsidRPr="000E5283" w:rsidRDefault="001A0A8B"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178,3</w:t>
            </w:r>
          </w:p>
        </w:tc>
        <w:tc>
          <w:tcPr>
            <w:tcW w:w="1134" w:type="dxa"/>
            <w:hideMark/>
          </w:tcPr>
          <w:p w14:paraId="77E44F6E" w14:textId="77777777" w:rsidR="009609C0" w:rsidRPr="000E5283" w:rsidRDefault="001A0A8B"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57,2</w:t>
            </w:r>
          </w:p>
        </w:tc>
        <w:tc>
          <w:tcPr>
            <w:tcW w:w="1275" w:type="dxa"/>
            <w:hideMark/>
          </w:tcPr>
          <w:p w14:paraId="0CC832EA" w14:textId="77777777" w:rsidR="00616F3E" w:rsidRPr="000E5283" w:rsidRDefault="00616F3E" w:rsidP="001A0A8B">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1</w:t>
            </w:r>
            <w:r w:rsidR="001A0A8B" w:rsidRPr="000E5283">
              <w:rPr>
                <w:rFonts w:cstheme="minorHAnsi"/>
              </w:rPr>
              <w:t>21,1</w:t>
            </w:r>
          </w:p>
        </w:tc>
        <w:tc>
          <w:tcPr>
            <w:tcW w:w="1276" w:type="dxa"/>
            <w:hideMark/>
          </w:tcPr>
          <w:p w14:paraId="7755E989" w14:textId="77777777" w:rsidR="00616F3E" w:rsidRPr="000E5283" w:rsidRDefault="00616F3E" w:rsidP="001A0A8B">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-6</w:t>
            </w:r>
            <w:r w:rsidR="001A0A8B" w:rsidRPr="000E5283">
              <w:rPr>
                <w:rFonts w:cstheme="minorHAnsi"/>
              </w:rPr>
              <w:t>3,9</w:t>
            </w:r>
          </w:p>
        </w:tc>
      </w:tr>
      <w:tr w:rsidR="009609C0" w:rsidRPr="000E5283" w14:paraId="217721C1" w14:textId="77777777" w:rsidTr="00E008E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86" w:type="dxa"/>
            <w:hideMark/>
          </w:tcPr>
          <w:p w14:paraId="65BB0B73"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53B316A3" w14:textId="77777777" w:rsidR="00616F3E" w:rsidRPr="000E5283" w:rsidRDefault="00FA15E3"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Japonia</w:t>
            </w:r>
          </w:p>
        </w:tc>
        <w:tc>
          <w:tcPr>
            <w:tcW w:w="994" w:type="dxa"/>
            <w:hideMark/>
          </w:tcPr>
          <w:p w14:paraId="18785F95" w14:textId="77777777" w:rsidR="00616F3E" w:rsidRPr="000E5283" w:rsidRDefault="001A0A8B"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169,5</w:t>
            </w:r>
          </w:p>
        </w:tc>
        <w:tc>
          <w:tcPr>
            <w:tcW w:w="1134" w:type="dxa"/>
            <w:hideMark/>
          </w:tcPr>
          <w:p w14:paraId="5CF78DFA"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59,8</w:t>
            </w:r>
          </w:p>
        </w:tc>
        <w:tc>
          <w:tcPr>
            <w:tcW w:w="1275" w:type="dxa"/>
            <w:hideMark/>
          </w:tcPr>
          <w:p w14:paraId="200E882A"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109,7</w:t>
            </w:r>
          </w:p>
        </w:tc>
        <w:tc>
          <w:tcPr>
            <w:tcW w:w="1276" w:type="dxa"/>
            <w:hideMark/>
          </w:tcPr>
          <w:p w14:paraId="688A6CA7" w14:textId="77777777" w:rsidR="00616F3E" w:rsidRPr="000E5283" w:rsidRDefault="00616F3E" w:rsidP="00245591">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w:t>
            </w:r>
            <w:r w:rsidR="00245591" w:rsidRPr="000E5283">
              <w:rPr>
                <w:rFonts w:cstheme="minorHAnsi"/>
              </w:rPr>
              <w:t>49,9</w:t>
            </w:r>
          </w:p>
        </w:tc>
      </w:tr>
      <w:tr w:rsidR="009609C0" w:rsidRPr="000E5283" w14:paraId="2B144D47" w14:textId="77777777" w:rsidTr="00E008EE">
        <w:trPr>
          <w:trHeight w:val="405"/>
        </w:trPr>
        <w:tc>
          <w:tcPr>
            <w:cnfStyle w:val="001000000000" w:firstRow="0" w:lastRow="0" w:firstColumn="1" w:lastColumn="0" w:oddVBand="0" w:evenVBand="0" w:oddHBand="0" w:evenHBand="0" w:firstRowFirstColumn="0" w:firstRowLastColumn="0" w:lastRowFirstColumn="0" w:lastRowLastColumn="0"/>
            <w:tcW w:w="986" w:type="dxa"/>
            <w:hideMark/>
          </w:tcPr>
          <w:p w14:paraId="7256AFD8"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02A4DD4B" w14:textId="77777777" w:rsidR="00616F3E" w:rsidRPr="000E5283" w:rsidRDefault="00616F3E"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Korea Południowa</w:t>
            </w:r>
          </w:p>
        </w:tc>
        <w:tc>
          <w:tcPr>
            <w:tcW w:w="994" w:type="dxa"/>
            <w:hideMark/>
          </w:tcPr>
          <w:p w14:paraId="09CA4869" w14:textId="77777777" w:rsidR="00616F3E" w:rsidRPr="000E5283" w:rsidRDefault="001A0A8B"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150,1</w:t>
            </w:r>
          </w:p>
        </w:tc>
        <w:tc>
          <w:tcPr>
            <w:tcW w:w="1134" w:type="dxa"/>
            <w:hideMark/>
          </w:tcPr>
          <w:p w14:paraId="3048A689"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49,9</w:t>
            </w:r>
          </w:p>
        </w:tc>
        <w:tc>
          <w:tcPr>
            <w:tcW w:w="1275" w:type="dxa"/>
            <w:hideMark/>
          </w:tcPr>
          <w:p w14:paraId="6E299DB0"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100,2</w:t>
            </w:r>
          </w:p>
        </w:tc>
        <w:tc>
          <w:tcPr>
            <w:tcW w:w="1276" w:type="dxa"/>
            <w:hideMark/>
          </w:tcPr>
          <w:p w14:paraId="4D936847"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w:t>
            </w:r>
            <w:r w:rsidR="001F4E9C" w:rsidRPr="000E5283">
              <w:rPr>
                <w:rFonts w:cstheme="minorHAnsi"/>
              </w:rPr>
              <w:t>50,3</w:t>
            </w:r>
          </w:p>
        </w:tc>
      </w:tr>
      <w:tr w:rsidR="009609C0" w:rsidRPr="000E5283" w14:paraId="4F55C7ED" w14:textId="77777777" w:rsidTr="00E008EE">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86" w:type="dxa"/>
            <w:hideMark/>
          </w:tcPr>
          <w:p w14:paraId="44E55C55"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2E1403EB" w14:textId="77777777" w:rsidR="00616F3E" w:rsidRPr="000E5283" w:rsidRDefault="00FA15E3"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Tajwan</w:t>
            </w:r>
          </w:p>
        </w:tc>
        <w:tc>
          <w:tcPr>
            <w:tcW w:w="994" w:type="dxa"/>
            <w:hideMark/>
          </w:tcPr>
          <w:p w14:paraId="50E71C72"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117,8</w:t>
            </w:r>
          </w:p>
        </w:tc>
        <w:tc>
          <w:tcPr>
            <w:tcW w:w="1134" w:type="dxa"/>
            <w:hideMark/>
          </w:tcPr>
          <w:p w14:paraId="4D3B2598"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31,7</w:t>
            </w:r>
          </w:p>
        </w:tc>
        <w:tc>
          <w:tcPr>
            <w:tcW w:w="1275" w:type="dxa"/>
            <w:hideMark/>
          </w:tcPr>
          <w:p w14:paraId="711E0C6F"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86,2</w:t>
            </w:r>
          </w:p>
        </w:tc>
        <w:tc>
          <w:tcPr>
            <w:tcW w:w="1276" w:type="dxa"/>
            <w:hideMark/>
          </w:tcPr>
          <w:p w14:paraId="28D004D2" w14:textId="77777777" w:rsidR="00616F3E" w:rsidRPr="000E5283" w:rsidRDefault="001F4E9C"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-54,5</w:t>
            </w:r>
          </w:p>
        </w:tc>
      </w:tr>
      <w:tr w:rsidR="009609C0" w:rsidRPr="000E5283" w14:paraId="371B9302" w14:textId="77777777" w:rsidTr="00E008EE">
        <w:trPr>
          <w:trHeight w:val="555"/>
        </w:trPr>
        <w:tc>
          <w:tcPr>
            <w:cnfStyle w:val="001000000000" w:firstRow="0" w:lastRow="0" w:firstColumn="1" w:lastColumn="0" w:oddVBand="0" w:evenVBand="0" w:oddHBand="0" w:evenHBand="0" w:firstRowFirstColumn="0" w:firstRowLastColumn="0" w:lastRowFirstColumn="0" w:lastRowLastColumn="0"/>
            <w:tcW w:w="986" w:type="dxa"/>
            <w:hideMark/>
          </w:tcPr>
          <w:p w14:paraId="28E3AE8F"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41AC6729" w14:textId="77777777" w:rsidR="00616F3E" w:rsidRPr="000E5283" w:rsidRDefault="00FA15E3"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Wietnam</w:t>
            </w:r>
          </w:p>
        </w:tc>
        <w:tc>
          <w:tcPr>
            <w:tcW w:w="994" w:type="dxa"/>
            <w:hideMark/>
          </w:tcPr>
          <w:p w14:paraId="0DFE671D"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109,1</w:t>
            </w:r>
          </w:p>
        </w:tc>
        <w:tc>
          <w:tcPr>
            <w:tcW w:w="1134" w:type="dxa"/>
            <w:hideMark/>
          </w:tcPr>
          <w:p w14:paraId="73C6877E"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9,3</w:t>
            </w:r>
          </w:p>
        </w:tc>
        <w:tc>
          <w:tcPr>
            <w:tcW w:w="1275" w:type="dxa"/>
            <w:hideMark/>
          </w:tcPr>
          <w:p w14:paraId="2248E350"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99,9</w:t>
            </w:r>
          </w:p>
        </w:tc>
        <w:tc>
          <w:tcPr>
            <w:tcW w:w="1276" w:type="dxa"/>
            <w:hideMark/>
          </w:tcPr>
          <w:p w14:paraId="61453553" w14:textId="77777777" w:rsidR="00616F3E" w:rsidRPr="000E5283" w:rsidRDefault="001F4E9C"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0E5283">
              <w:rPr>
                <w:rFonts w:cstheme="minorHAnsi"/>
                <w:b/>
              </w:rPr>
              <w:t>-90,6</w:t>
            </w:r>
          </w:p>
        </w:tc>
      </w:tr>
      <w:tr w:rsidR="009609C0" w:rsidRPr="000E5283" w14:paraId="6BA43D03" w14:textId="77777777" w:rsidTr="00E008E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86" w:type="dxa"/>
            <w:hideMark/>
          </w:tcPr>
          <w:p w14:paraId="37E3961C"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3102769B" w14:textId="77777777" w:rsidR="00616F3E" w:rsidRPr="000E5283" w:rsidRDefault="00FA15E3"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Wielka Brytania</w:t>
            </w:r>
          </w:p>
        </w:tc>
        <w:tc>
          <w:tcPr>
            <w:tcW w:w="994" w:type="dxa"/>
            <w:hideMark/>
          </w:tcPr>
          <w:p w14:paraId="468CE842" w14:textId="77777777" w:rsidR="00616F3E" w:rsidRPr="000E5283" w:rsidRDefault="00245591" w:rsidP="00245591">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108</w:t>
            </w:r>
            <w:r w:rsidR="00616F3E" w:rsidRPr="000E5283">
              <w:rPr>
                <w:rFonts w:cstheme="minorHAnsi"/>
              </w:rPr>
              <w:t>,</w:t>
            </w:r>
            <w:r w:rsidRPr="000E5283">
              <w:rPr>
                <w:rFonts w:cstheme="minorHAnsi"/>
              </w:rPr>
              <w:t>6</w:t>
            </w:r>
          </w:p>
        </w:tc>
        <w:tc>
          <w:tcPr>
            <w:tcW w:w="1134" w:type="dxa"/>
            <w:hideMark/>
          </w:tcPr>
          <w:p w14:paraId="26B6FE8D"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58,4</w:t>
            </w:r>
          </w:p>
        </w:tc>
        <w:tc>
          <w:tcPr>
            <w:tcW w:w="1275" w:type="dxa"/>
            <w:hideMark/>
          </w:tcPr>
          <w:p w14:paraId="55502124"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50,2</w:t>
            </w:r>
          </w:p>
        </w:tc>
        <w:tc>
          <w:tcPr>
            <w:tcW w:w="1276" w:type="dxa"/>
            <w:hideMark/>
          </w:tcPr>
          <w:p w14:paraId="7E144B93" w14:textId="77777777" w:rsidR="00616F3E" w:rsidRPr="000E5283" w:rsidRDefault="001F4E9C"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8,2</w:t>
            </w:r>
          </w:p>
        </w:tc>
      </w:tr>
      <w:tr w:rsidR="009609C0" w:rsidRPr="000E5283" w14:paraId="3C585A06" w14:textId="77777777" w:rsidTr="00E008EE">
        <w:trPr>
          <w:trHeight w:val="405"/>
        </w:trPr>
        <w:tc>
          <w:tcPr>
            <w:cnfStyle w:val="001000000000" w:firstRow="0" w:lastRow="0" w:firstColumn="1" w:lastColumn="0" w:oddVBand="0" w:evenVBand="0" w:oddHBand="0" w:evenHBand="0" w:firstRowFirstColumn="0" w:firstRowLastColumn="0" w:lastRowFirstColumn="0" w:lastRowLastColumn="0"/>
            <w:tcW w:w="986" w:type="dxa"/>
            <w:hideMark/>
          </w:tcPr>
          <w:p w14:paraId="16C58A9D"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33635984" w14:textId="77777777" w:rsidR="00616F3E" w:rsidRPr="000E5283" w:rsidRDefault="00FA15E3" w:rsidP="00FA15E3">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Indie</w:t>
            </w:r>
          </w:p>
        </w:tc>
        <w:tc>
          <w:tcPr>
            <w:tcW w:w="994" w:type="dxa"/>
            <w:hideMark/>
          </w:tcPr>
          <w:p w14:paraId="056DE470"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96,9</w:t>
            </w:r>
          </w:p>
        </w:tc>
        <w:tc>
          <w:tcPr>
            <w:tcW w:w="1134" w:type="dxa"/>
            <w:hideMark/>
          </w:tcPr>
          <w:p w14:paraId="63E15B1A"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31,8</w:t>
            </w:r>
          </w:p>
        </w:tc>
        <w:tc>
          <w:tcPr>
            <w:tcW w:w="1275" w:type="dxa"/>
            <w:hideMark/>
          </w:tcPr>
          <w:p w14:paraId="5770DA0C"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65,1</w:t>
            </w:r>
          </w:p>
        </w:tc>
        <w:tc>
          <w:tcPr>
            <w:tcW w:w="1276" w:type="dxa"/>
            <w:hideMark/>
          </w:tcPr>
          <w:p w14:paraId="1F69E3E4" w14:textId="77777777" w:rsidR="00616F3E" w:rsidRPr="000E5283" w:rsidRDefault="001F4E9C"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-33,3</w:t>
            </w:r>
          </w:p>
        </w:tc>
      </w:tr>
      <w:tr w:rsidR="009609C0" w:rsidRPr="000E5283" w14:paraId="2D5DCCF6" w14:textId="77777777" w:rsidTr="00E008E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86" w:type="dxa"/>
            <w:hideMark/>
          </w:tcPr>
          <w:p w14:paraId="24827ADD"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3CB02C3A" w14:textId="77777777" w:rsidR="00616F3E" w:rsidRPr="000E5283" w:rsidRDefault="00FA15E3"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Niderlandy</w:t>
            </w:r>
          </w:p>
        </w:tc>
        <w:tc>
          <w:tcPr>
            <w:tcW w:w="994" w:type="dxa"/>
            <w:hideMark/>
          </w:tcPr>
          <w:p w14:paraId="4D9D92E6" w14:textId="77777777" w:rsidR="00616F3E" w:rsidRPr="000E5283" w:rsidRDefault="00616F3E" w:rsidP="00245591">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9</w:t>
            </w:r>
            <w:r w:rsidR="00245591" w:rsidRPr="000E5283">
              <w:rPr>
                <w:rFonts w:cstheme="minorHAnsi"/>
              </w:rPr>
              <w:t>2,4</w:t>
            </w:r>
          </w:p>
        </w:tc>
        <w:tc>
          <w:tcPr>
            <w:tcW w:w="1134" w:type="dxa"/>
            <w:hideMark/>
          </w:tcPr>
          <w:p w14:paraId="311955A0"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66,5</w:t>
            </w:r>
          </w:p>
        </w:tc>
        <w:tc>
          <w:tcPr>
            <w:tcW w:w="1275" w:type="dxa"/>
            <w:hideMark/>
          </w:tcPr>
          <w:p w14:paraId="33F6AD53"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25,9</w:t>
            </w:r>
          </w:p>
        </w:tc>
        <w:tc>
          <w:tcPr>
            <w:tcW w:w="1276" w:type="dxa"/>
            <w:hideMark/>
          </w:tcPr>
          <w:p w14:paraId="19640699" w14:textId="77777777" w:rsidR="00616F3E" w:rsidRPr="000E5283" w:rsidRDefault="001F4E9C"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40,6</w:t>
            </w:r>
          </w:p>
        </w:tc>
      </w:tr>
      <w:tr w:rsidR="009609C0" w:rsidRPr="000E5283" w14:paraId="36216D1B" w14:textId="77777777" w:rsidTr="00E008EE">
        <w:trPr>
          <w:trHeight w:val="420"/>
        </w:trPr>
        <w:tc>
          <w:tcPr>
            <w:cnfStyle w:val="001000000000" w:firstRow="0" w:lastRow="0" w:firstColumn="1" w:lastColumn="0" w:oddVBand="0" w:evenVBand="0" w:oddHBand="0" w:evenHBand="0" w:firstRowFirstColumn="0" w:firstRowLastColumn="0" w:lastRowFirstColumn="0" w:lastRowLastColumn="0"/>
            <w:tcW w:w="986" w:type="dxa"/>
            <w:hideMark/>
          </w:tcPr>
          <w:p w14:paraId="028CC7BF"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6DD79DB6" w14:textId="77777777" w:rsidR="00616F3E" w:rsidRPr="000E5283" w:rsidRDefault="00FA15E3"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Irlandia</w:t>
            </w:r>
          </w:p>
        </w:tc>
        <w:tc>
          <w:tcPr>
            <w:tcW w:w="994" w:type="dxa"/>
            <w:hideMark/>
          </w:tcPr>
          <w:p w14:paraId="03CA3939"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87,5</w:t>
            </w:r>
          </w:p>
        </w:tc>
        <w:tc>
          <w:tcPr>
            <w:tcW w:w="1134" w:type="dxa"/>
            <w:hideMark/>
          </w:tcPr>
          <w:p w14:paraId="0001EBB2"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12,7</w:t>
            </w:r>
          </w:p>
        </w:tc>
        <w:tc>
          <w:tcPr>
            <w:tcW w:w="1275" w:type="dxa"/>
            <w:hideMark/>
          </w:tcPr>
          <w:p w14:paraId="64BBB0AD" w14:textId="77777777" w:rsidR="00616F3E" w:rsidRPr="000E5283" w:rsidRDefault="00245591"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74,8</w:t>
            </w:r>
          </w:p>
        </w:tc>
        <w:tc>
          <w:tcPr>
            <w:tcW w:w="1276" w:type="dxa"/>
            <w:hideMark/>
          </w:tcPr>
          <w:p w14:paraId="0F75D2B7" w14:textId="77777777" w:rsidR="00616F3E" w:rsidRPr="000E5283" w:rsidRDefault="001F4E9C"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-62,1</w:t>
            </w:r>
          </w:p>
        </w:tc>
      </w:tr>
      <w:tr w:rsidR="009609C0" w:rsidRPr="000E5283" w14:paraId="290B78AE" w14:textId="77777777" w:rsidTr="00E008E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86" w:type="dxa"/>
            <w:hideMark/>
          </w:tcPr>
          <w:p w14:paraId="3B63683F" w14:textId="77777777" w:rsidR="00616F3E" w:rsidRPr="000E5283" w:rsidRDefault="00616F3E" w:rsidP="00DE0D61">
            <w:pPr>
              <w:pStyle w:val="Akapitzlist"/>
              <w:numPr>
                <w:ilvl w:val="0"/>
                <w:numId w:val="5"/>
              </w:num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6FA2FEA4" w14:textId="77777777" w:rsidR="00616F3E" w:rsidRPr="000E5283" w:rsidRDefault="00FA15E3" w:rsidP="00FA15E3">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Włochy</w:t>
            </w:r>
          </w:p>
        </w:tc>
        <w:tc>
          <w:tcPr>
            <w:tcW w:w="994" w:type="dxa"/>
            <w:hideMark/>
          </w:tcPr>
          <w:p w14:paraId="5B0FDDE6"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81</w:t>
            </w:r>
            <w:r w:rsidR="00616F3E" w:rsidRPr="000E5283">
              <w:rPr>
                <w:rFonts w:cstheme="minorHAnsi"/>
              </w:rPr>
              <w:t>,1</w:t>
            </w:r>
          </w:p>
        </w:tc>
        <w:tc>
          <w:tcPr>
            <w:tcW w:w="1134" w:type="dxa"/>
            <w:hideMark/>
          </w:tcPr>
          <w:p w14:paraId="0AC0B85E"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24,1</w:t>
            </w:r>
          </w:p>
        </w:tc>
        <w:tc>
          <w:tcPr>
            <w:tcW w:w="1275" w:type="dxa"/>
            <w:hideMark/>
          </w:tcPr>
          <w:p w14:paraId="1E6DB2A3" w14:textId="77777777" w:rsidR="00616F3E" w:rsidRPr="000E5283" w:rsidRDefault="00245591"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57,0</w:t>
            </w:r>
          </w:p>
        </w:tc>
        <w:tc>
          <w:tcPr>
            <w:tcW w:w="1276" w:type="dxa"/>
            <w:hideMark/>
          </w:tcPr>
          <w:p w14:paraId="716ACB70" w14:textId="77777777" w:rsidR="00616F3E" w:rsidRPr="000E5283" w:rsidRDefault="001F4E9C"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-32,9</w:t>
            </w:r>
          </w:p>
        </w:tc>
      </w:tr>
      <w:tr w:rsidR="009609C0" w:rsidRPr="000E5283" w14:paraId="082E393A" w14:textId="77777777" w:rsidTr="00E008EE">
        <w:trPr>
          <w:trHeight w:val="555"/>
        </w:trPr>
        <w:tc>
          <w:tcPr>
            <w:cnfStyle w:val="001000000000" w:firstRow="0" w:lastRow="0" w:firstColumn="1" w:lastColumn="0" w:oddVBand="0" w:evenVBand="0" w:oddHBand="0" w:evenHBand="0" w:firstRowFirstColumn="0" w:firstRowLastColumn="0" w:lastRowFirstColumn="0" w:lastRowLastColumn="0"/>
            <w:tcW w:w="986" w:type="dxa"/>
            <w:hideMark/>
          </w:tcPr>
          <w:p w14:paraId="382181C1" w14:textId="77777777" w:rsidR="00616F3E" w:rsidRPr="000E5283" w:rsidRDefault="009609C0" w:rsidP="009609C0">
            <w:pPr>
              <w:shd w:val="clear" w:color="auto" w:fill="FFFFFF"/>
              <w:spacing w:before="120" w:after="120" w:line="252" w:lineRule="auto"/>
              <w:jc w:val="both"/>
              <w:rPr>
                <w:rFonts w:cstheme="minorHAnsi"/>
              </w:rPr>
            </w:pPr>
            <w:r w:rsidRPr="000E5283">
              <w:rPr>
                <w:rFonts w:cstheme="minorHAnsi"/>
              </w:rPr>
              <w:t>…</w:t>
            </w:r>
            <w:r w:rsidR="00616F3E" w:rsidRPr="000E5283">
              <w:rPr>
                <w:rFonts w:cstheme="minorHAnsi"/>
              </w:rPr>
              <w:t> </w:t>
            </w:r>
          </w:p>
        </w:tc>
        <w:tc>
          <w:tcPr>
            <w:tcW w:w="1281" w:type="dxa"/>
            <w:hideMark/>
          </w:tcPr>
          <w:p w14:paraId="787B9B15" w14:textId="77777777" w:rsidR="00616F3E" w:rsidRPr="000E5283" w:rsidRDefault="00616F3E"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Unia Europejska</w:t>
            </w:r>
          </w:p>
        </w:tc>
        <w:tc>
          <w:tcPr>
            <w:tcW w:w="994" w:type="dxa"/>
            <w:hideMark/>
          </w:tcPr>
          <w:p w14:paraId="38F969E4" w14:textId="77777777" w:rsidR="00616F3E" w:rsidRPr="000E5283" w:rsidRDefault="009609C0"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729,3</w:t>
            </w:r>
          </w:p>
        </w:tc>
        <w:tc>
          <w:tcPr>
            <w:tcW w:w="1134" w:type="dxa"/>
            <w:hideMark/>
          </w:tcPr>
          <w:p w14:paraId="53603402" w14:textId="77777777" w:rsidR="00616F3E" w:rsidRPr="000E5283" w:rsidRDefault="009609C0" w:rsidP="009609C0">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0E5283">
              <w:rPr>
                <w:rFonts w:cstheme="minorHAnsi"/>
              </w:rPr>
              <w:t>277,9</w:t>
            </w:r>
          </w:p>
        </w:tc>
        <w:tc>
          <w:tcPr>
            <w:tcW w:w="1275" w:type="dxa"/>
            <w:hideMark/>
          </w:tcPr>
          <w:p w14:paraId="2CB804F3" w14:textId="77777777" w:rsidR="00616F3E" w:rsidRPr="000E5283" w:rsidRDefault="009609C0" w:rsidP="009609C0">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0E5283">
              <w:rPr>
                <w:rFonts w:cstheme="minorHAnsi"/>
              </w:rPr>
              <w:t>451,4</w:t>
            </w:r>
          </w:p>
        </w:tc>
        <w:tc>
          <w:tcPr>
            <w:tcW w:w="1276" w:type="dxa"/>
            <w:hideMark/>
          </w:tcPr>
          <w:p w14:paraId="2AA2980C" w14:textId="77777777" w:rsidR="001F4E9C" w:rsidRPr="000E5283" w:rsidRDefault="001F4E9C"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E5283">
              <w:rPr>
                <w:rFonts w:cstheme="minorHAnsi"/>
              </w:rPr>
              <w:t>-173</w:t>
            </w:r>
            <w:r w:rsidR="009609C0" w:rsidRPr="000E5283">
              <w:rPr>
                <w:rFonts w:cstheme="minorHAnsi"/>
              </w:rPr>
              <w:t>,5</w:t>
            </w:r>
          </w:p>
          <w:p w14:paraId="3AAFDFEC" w14:textId="77777777" w:rsidR="00616F3E" w:rsidRPr="000E5283" w:rsidRDefault="00616F3E" w:rsidP="004B1F92">
            <w:pPr>
              <w:shd w:val="clear" w:color="auto" w:fill="FFFFFF"/>
              <w:spacing w:before="120" w:after="120" w:line="252" w:lineRule="auto"/>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9609C0" w:rsidRPr="000E5283" w14:paraId="5DD50737" w14:textId="77777777" w:rsidTr="00E008E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86" w:type="dxa"/>
            <w:hideMark/>
          </w:tcPr>
          <w:p w14:paraId="70562D66" w14:textId="77777777" w:rsidR="00616F3E" w:rsidRPr="000E5283" w:rsidRDefault="00616F3E" w:rsidP="004B1F92">
            <w:pPr>
              <w:shd w:val="clear" w:color="auto" w:fill="FFFFFF"/>
              <w:spacing w:before="120" w:after="120" w:line="252" w:lineRule="auto"/>
              <w:jc w:val="both"/>
              <w:rPr>
                <w:rFonts w:cstheme="minorHAnsi"/>
              </w:rPr>
            </w:pPr>
            <w:r w:rsidRPr="000E5283">
              <w:rPr>
                <w:rFonts w:cstheme="minorHAnsi"/>
              </w:rPr>
              <w:t> </w:t>
            </w:r>
          </w:p>
        </w:tc>
        <w:tc>
          <w:tcPr>
            <w:tcW w:w="1281" w:type="dxa"/>
            <w:hideMark/>
          </w:tcPr>
          <w:p w14:paraId="35189F43" w14:textId="77777777" w:rsidR="00616F3E" w:rsidRPr="000E5283" w:rsidRDefault="00616F3E"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Polska</w:t>
            </w:r>
          </w:p>
        </w:tc>
        <w:tc>
          <w:tcPr>
            <w:tcW w:w="994" w:type="dxa"/>
            <w:hideMark/>
          </w:tcPr>
          <w:p w14:paraId="0CA294E6" w14:textId="77777777" w:rsidR="00616F3E" w:rsidRPr="000E5283" w:rsidRDefault="009609C0"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18,94</w:t>
            </w:r>
          </w:p>
        </w:tc>
        <w:tc>
          <w:tcPr>
            <w:tcW w:w="1134" w:type="dxa"/>
            <w:hideMark/>
          </w:tcPr>
          <w:p w14:paraId="543700F0" w14:textId="77777777" w:rsidR="00616F3E" w:rsidRPr="000E5283" w:rsidRDefault="009609C0"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8,8</w:t>
            </w:r>
          </w:p>
        </w:tc>
        <w:tc>
          <w:tcPr>
            <w:tcW w:w="1275" w:type="dxa"/>
            <w:hideMark/>
          </w:tcPr>
          <w:p w14:paraId="5D2BD8AB" w14:textId="77777777" w:rsidR="00616F3E" w:rsidRPr="000E5283" w:rsidRDefault="009609C0" w:rsidP="004B1F92">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10,1</w:t>
            </w:r>
          </w:p>
        </w:tc>
        <w:tc>
          <w:tcPr>
            <w:tcW w:w="1276" w:type="dxa"/>
            <w:hideMark/>
          </w:tcPr>
          <w:p w14:paraId="7623FE05" w14:textId="77777777" w:rsidR="00616F3E" w:rsidRPr="000E5283" w:rsidRDefault="00616F3E" w:rsidP="00E008EE">
            <w:pPr>
              <w:shd w:val="clear" w:color="auto" w:fill="FFFFFF"/>
              <w:spacing w:before="120" w:after="120" w:line="252"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0E5283">
              <w:rPr>
                <w:rFonts w:cstheme="minorHAnsi"/>
              </w:rPr>
              <w:t>-</w:t>
            </w:r>
            <w:r w:rsidR="00E008EE" w:rsidRPr="000E5283">
              <w:rPr>
                <w:rFonts w:cstheme="minorHAnsi"/>
              </w:rPr>
              <w:t>1,28</w:t>
            </w:r>
          </w:p>
        </w:tc>
      </w:tr>
    </w:tbl>
    <w:p w14:paraId="5082BD7E" w14:textId="77777777" w:rsidR="004B1F92" w:rsidRPr="000E5283" w:rsidRDefault="00BB7E5B" w:rsidP="003D265E">
      <w:pPr>
        <w:shd w:val="clear" w:color="auto" w:fill="FFFFFF"/>
        <w:spacing w:before="120" w:after="120" w:line="252" w:lineRule="auto"/>
        <w:jc w:val="both"/>
        <w:rPr>
          <w:rFonts w:cstheme="minorHAnsi"/>
        </w:rPr>
      </w:pPr>
      <w:r w:rsidRPr="000E5283">
        <w:rPr>
          <w:rFonts w:cstheme="minorHAnsi"/>
        </w:rPr>
        <w:t>Źródło:</w:t>
      </w:r>
      <w:r w:rsidRPr="000E5283">
        <w:rPr>
          <w:rStyle w:val="Hipercze"/>
          <w:rFonts w:cstheme="minorHAnsi"/>
        </w:rPr>
        <w:t xml:space="preserve"> www.census.gov</w:t>
      </w:r>
    </w:p>
    <w:p w14:paraId="42AC75EC" w14:textId="1E183CB2" w:rsidR="00E74348" w:rsidRPr="000E5283" w:rsidRDefault="003D265E" w:rsidP="00C4030F">
      <w:pPr>
        <w:spacing w:before="240" w:after="120" w:line="264" w:lineRule="auto"/>
        <w:ind w:left="360"/>
        <w:outlineLvl w:val="3"/>
        <w:rPr>
          <w:rFonts w:cstheme="minorHAnsi"/>
          <w:b/>
        </w:rPr>
      </w:pPr>
      <w:r w:rsidRPr="000E5283">
        <w:rPr>
          <w:rFonts w:cstheme="minorHAnsi"/>
          <w:b/>
        </w:rPr>
        <w:t xml:space="preserve">4.2. Podstawowe produkty </w:t>
      </w:r>
      <w:r w:rsidR="00356831" w:rsidRPr="000E5283">
        <w:rPr>
          <w:rFonts w:cstheme="minorHAnsi"/>
          <w:b/>
        </w:rPr>
        <w:t>i usługi importowe i eksportowe</w:t>
      </w:r>
    </w:p>
    <w:p w14:paraId="6D34AED5" w14:textId="77777777" w:rsidR="00E74348" w:rsidRPr="000E5283" w:rsidRDefault="00E74348" w:rsidP="00A71497">
      <w:pPr>
        <w:spacing w:before="240" w:after="120" w:line="264" w:lineRule="auto"/>
        <w:jc w:val="both"/>
        <w:outlineLvl w:val="3"/>
        <w:rPr>
          <w:rFonts w:cstheme="minorHAnsi"/>
        </w:rPr>
      </w:pPr>
      <w:r w:rsidRPr="000E5283">
        <w:rPr>
          <w:rFonts w:cstheme="minorHAnsi"/>
        </w:rPr>
        <w:t>Amerykański eksport w 2023 r. osiągnął wartość ponad 2 bln USD, co oznacza spadek o</w:t>
      </w:r>
      <w:r w:rsidR="00BB7E5B" w:rsidRPr="000E5283">
        <w:rPr>
          <w:rFonts w:cstheme="minorHAnsi"/>
        </w:rPr>
        <w:t xml:space="preserve"> 2</w:t>
      </w:r>
      <w:r w:rsidRPr="000E5283">
        <w:rPr>
          <w:rFonts w:cstheme="minorHAnsi"/>
        </w:rPr>
        <w:t xml:space="preserve">% wobec 2022 r. Wartość importu do USA wyniosła 3,1 bln USD i była niższa o 4,9% wobec 2022 r. Deficyt handlowy obniżył się o ponad 10,26% do 1,06 bln USD. Głównymi partnerami handlowymi USA w 2023 r. były: Meksyk (15,7% udział w wartości obrotów handlowych, przy łącznej wartości 800 mld USD), Kanada (15,2%), Chiny (11,3%), Niemcy (4,6%) i Japonia (4,4%). Głównymi produktami eksportowymi USA były produkty ropopochodne. Natomiast w imporcie dominowały samochody osobowe. </w:t>
      </w:r>
    </w:p>
    <w:p w14:paraId="192401E4" w14:textId="77777777" w:rsidR="00E74348" w:rsidRPr="000E5283" w:rsidRDefault="00E74348" w:rsidP="00A71497">
      <w:pPr>
        <w:spacing w:before="240" w:after="120" w:line="264" w:lineRule="auto"/>
        <w:jc w:val="both"/>
        <w:outlineLvl w:val="3"/>
        <w:rPr>
          <w:rFonts w:cstheme="minorHAnsi"/>
        </w:rPr>
      </w:pPr>
      <w:r w:rsidRPr="000E5283">
        <w:rPr>
          <w:rFonts w:cstheme="minorHAnsi"/>
        </w:rPr>
        <w:t xml:space="preserve">Obroty handlowe USA w 2023 r. osiągnęły 5,1 bln USD wobec 5,3 bln USD w 2022 r. Udział Meksyku, Kanady i </w:t>
      </w:r>
      <w:r w:rsidRPr="000E5283">
        <w:rPr>
          <w:rFonts w:eastAsia="Times New Roman" w:cstheme="minorHAnsi"/>
          <w:color w:val="1B1B1B"/>
          <w:lang w:eastAsia="pl-PL"/>
        </w:rPr>
        <w:t>Chin</w:t>
      </w:r>
      <w:r w:rsidRPr="000E5283">
        <w:rPr>
          <w:rFonts w:cstheme="minorHAnsi"/>
        </w:rPr>
        <w:t xml:space="preserve"> w łącznej wartości obrotów wyniósł 42,1%. Na skutek 20% spadku importu z Chin, USA zmniejszyły deficyt handlowy w relacjach z tym partnerem. Obroty z Chinami, po raz pierwszy od 2020 r. były poniżej 600 mld USD. </w:t>
      </w:r>
    </w:p>
    <w:p w14:paraId="15693982" w14:textId="77777777" w:rsidR="009B7A2D" w:rsidRPr="000E5283" w:rsidRDefault="009B7A2D" w:rsidP="00A71497">
      <w:pPr>
        <w:spacing w:before="240" w:after="120" w:line="264" w:lineRule="auto"/>
        <w:jc w:val="both"/>
        <w:outlineLvl w:val="3"/>
        <w:rPr>
          <w:rFonts w:cstheme="minorHAnsi"/>
        </w:rPr>
      </w:pPr>
      <w:r w:rsidRPr="000E5283">
        <w:rPr>
          <w:rFonts w:cstheme="minorHAnsi"/>
        </w:rPr>
        <w:lastRenderedPageBreak/>
        <w:t>W efekcie</w:t>
      </w:r>
      <w:r w:rsidR="006D7F97" w:rsidRPr="000E5283">
        <w:rPr>
          <w:rFonts w:cstheme="minorHAnsi"/>
        </w:rPr>
        <w:t xml:space="preserve"> objęcia </w:t>
      </w:r>
      <w:r w:rsidR="00E74348" w:rsidRPr="000E5283">
        <w:rPr>
          <w:rFonts w:cstheme="minorHAnsi"/>
        </w:rPr>
        <w:t xml:space="preserve">Rosji amerykańskimi sankcjami </w:t>
      </w:r>
      <w:r w:rsidRPr="000E5283">
        <w:rPr>
          <w:rFonts w:cstheme="minorHAnsi"/>
        </w:rPr>
        <w:t>nastąpi</w:t>
      </w:r>
      <w:r w:rsidR="00E008EE" w:rsidRPr="000E5283">
        <w:rPr>
          <w:rFonts w:cstheme="minorHAnsi"/>
        </w:rPr>
        <w:t>ł</w:t>
      </w:r>
      <w:r w:rsidR="00B9427A" w:rsidRPr="000E5283">
        <w:rPr>
          <w:rFonts w:cstheme="minorHAnsi"/>
        </w:rPr>
        <w:t xml:space="preserve"> znacząc</w:t>
      </w:r>
      <w:r w:rsidR="00E74348" w:rsidRPr="000E5283">
        <w:rPr>
          <w:rFonts w:cstheme="minorHAnsi"/>
        </w:rPr>
        <w:t xml:space="preserve">y spadek wymiany handlowej. </w:t>
      </w:r>
      <w:r w:rsidR="00E008EE" w:rsidRPr="000E5283">
        <w:rPr>
          <w:rFonts w:cstheme="minorHAnsi"/>
        </w:rPr>
        <w:t xml:space="preserve">Amerykański eksport do Rosji w 2023 r. </w:t>
      </w:r>
      <w:r w:rsidR="00823922" w:rsidRPr="000E5283">
        <w:rPr>
          <w:rFonts w:cstheme="minorHAnsi"/>
        </w:rPr>
        <w:t>wobec 2022 r. spadł</w:t>
      </w:r>
      <w:r w:rsidR="00E008EE" w:rsidRPr="000E5283">
        <w:rPr>
          <w:rFonts w:cstheme="minorHAnsi"/>
        </w:rPr>
        <w:t xml:space="preserve"> o </w:t>
      </w:r>
      <w:r w:rsidR="00823922" w:rsidRPr="000E5283">
        <w:rPr>
          <w:rFonts w:cstheme="minorHAnsi"/>
        </w:rPr>
        <w:t>63,8%, podczas gdy import o 68%. Natomiast w okresie od stycznia do września 2024 r. w porównaniu z analogicznym okresem 2023 r. eksport USA do Rosji spadł</w:t>
      </w:r>
      <w:r w:rsidRPr="000E5283">
        <w:rPr>
          <w:rFonts w:cstheme="minorHAnsi"/>
        </w:rPr>
        <w:t xml:space="preserve"> o 11%, a import o 33%. </w:t>
      </w:r>
      <w:r w:rsidR="00E74348" w:rsidRPr="000E5283">
        <w:rPr>
          <w:rFonts w:cstheme="minorHAnsi"/>
        </w:rPr>
        <w:t>Całkowita wymiana handlowa zmniejszyła się</w:t>
      </w:r>
      <w:r w:rsidRPr="000E5283">
        <w:rPr>
          <w:rFonts w:cstheme="minorHAnsi"/>
        </w:rPr>
        <w:t xml:space="preserve"> ok. 31</w:t>
      </w:r>
      <w:r w:rsidR="00F76AF0" w:rsidRPr="000E5283">
        <w:rPr>
          <w:rFonts w:cstheme="minorHAnsi"/>
        </w:rPr>
        <w:t>%.</w:t>
      </w:r>
    </w:p>
    <w:p w14:paraId="00CFF41E" w14:textId="77777777" w:rsidR="005D2745" w:rsidRPr="000E5283" w:rsidRDefault="00FE5A83" w:rsidP="00A71497">
      <w:pPr>
        <w:spacing w:before="240" w:after="120" w:line="264" w:lineRule="auto"/>
        <w:jc w:val="both"/>
        <w:outlineLvl w:val="3"/>
        <w:rPr>
          <w:rFonts w:cstheme="minorHAnsi"/>
          <w:lang w:eastAsia="pl-PL"/>
        </w:rPr>
      </w:pPr>
      <w:r w:rsidRPr="000E5283">
        <w:rPr>
          <w:rFonts w:cstheme="minorHAnsi"/>
          <w:lang w:eastAsia="pl-PL"/>
        </w:rPr>
        <w:t xml:space="preserve">Amerykański eksport od stycznia do września 2024 r. osiągnął wartość ponad 1,6 bln USD (wzrost o 2,1% w stosunku do analogicznego okresu w roku ubiegłym). Wartość importu do USA wyniosła 2,4 bln USD (wzrost o 4,9%). Deficyt handlowy wzrósł </w:t>
      </w:r>
      <w:r w:rsidR="005D2745" w:rsidRPr="000E5283">
        <w:rPr>
          <w:rFonts w:cstheme="minorHAnsi"/>
          <w:lang w:eastAsia="pl-PL"/>
        </w:rPr>
        <w:t xml:space="preserve">niemalże o 11% do ok. 881 mld USD. </w:t>
      </w:r>
      <w:r w:rsidR="005D2745" w:rsidRPr="000E5283">
        <w:rPr>
          <w:rFonts w:cstheme="minorHAnsi"/>
        </w:rPr>
        <w:t xml:space="preserve">Unia Europejska jest drugim </w:t>
      </w:r>
      <w:r w:rsidR="005D2745" w:rsidRPr="000E5283">
        <w:rPr>
          <w:rFonts w:eastAsia="Times New Roman" w:cstheme="minorHAnsi"/>
          <w:color w:val="1B1B1B"/>
          <w:lang w:eastAsia="pl-PL"/>
        </w:rPr>
        <w:t>głównym</w:t>
      </w:r>
      <w:r w:rsidR="005D2745" w:rsidRPr="000E5283">
        <w:rPr>
          <w:rFonts w:cstheme="minorHAnsi"/>
        </w:rPr>
        <w:t xml:space="preserve"> partnerem handlowym USA po gospodarkach stowarzyszonych ze Stanami Zjednoczonymi umową USMCA. Deficyt USA w handlu z oboma blokami państw rok do roku zwiększył się o 13% w przypadku UE i 9% w odniesieniu do USMCA. </w:t>
      </w:r>
    </w:p>
    <w:p w14:paraId="44D4C5BD" w14:textId="77777777" w:rsidR="00B9427A" w:rsidRPr="000E5283" w:rsidRDefault="00FE5A83" w:rsidP="00A71497">
      <w:pPr>
        <w:spacing w:before="240" w:after="120" w:line="264" w:lineRule="auto"/>
        <w:jc w:val="both"/>
        <w:outlineLvl w:val="3"/>
        <w:rPr>
          <w:rFonts w:cstheme="minorHAnsi"/>
          <w:lang w:eastAsia="pl-PL"/>
        </w:rPr>
      </w:pPr>
      <w:r w:rsidRPr="000E5283">
        <w:rPr>
          <w:rFonts w:cstheme="minorHAnsi"/>
          <w:lang w:eastAsia="pl-PL"/>
        </w:rPr>
        <w:t xml:space="preserve">Najważniejszymi partnerami handlowymi USA w okresie od stycznia do września br. były niezmiennie w stosunku do ubiegłego roku: Meksyk (15,9% udział w wartości obrotów handlowych), Kanada (14,4%) oraz Chiny (10,8%). Niemcy z udziałem 4,5% zajęły 4. miejsce a Japonia 5. miejsce (4,3%). Wartość obrotów handlowych USA z Unią Europejską osiągnęła </w:t>
      </w:r>
      <w:r w:rsidR="00B9427A" w:rsidRPr="000E5283">
        <w:rPr>
          <w:rFonts w:cstheme="minorHAnsi"/>
          <w:lang w:eastAsia="pl-PL"/>
        </w:rPr>
        <w:t xml:space="preserve">ok. </w:t>
      </w:r>
      <w:r w:rsidRPr="000E5283">
        <w:rPr>
          <w:rFonts w:cstheme="minorHAnsi"/>
          <w:lang w:eastAsia="pl-PL"/>
        </w:rPr>
        <w:t xml:space="preserve">730 mld USD (dla porównania obroty z Kanadą i Meksykiem łącznie wyniosły 1,2 bln USD). Relacje handlowe USA z oboma blokami państw naznaczone są deficytem w wysokości odpowiednio </w:t>
      </w:r>
      <w:r w:rsidR="00B9427A" w:rsidRPr="000E5283">
        <w:rPr>
          <w:rFonts w:cstheme="minorHAnsi"/>
          <w:lang w:eastAsia="pl-PL"/>
        </w:rPr>
        <w:t xml:space="preserve">ok. </w:t>
      </w:r>
      <w:r w:rsidR="005D2745" w:rsidRPr="000E5283">
        <w:rPr>
          <w:rFonts w:cstheme="minorHAnsi"/>
          <w:lang w:eastAsia="pl-PL"/>
        </w:rPr>
        <w:t>173 mld USD i 171 mld USD.</w:t>
      </w:r>
    </w:p>
    <w:p w14:paraId="31B2CF42" w14:textId="77777777" w:rsidR="00C4030F" w:rsidRPr="000E5283" w:rsidRDefault="00C4030F" w:rsidP="00A71497">
      <w:pPr>
        <w:spacing w:before="240" w:after="120" w:line="264" w:lineRule="auto"/>
        <w:jc w:val="both"/>
        <w:outlineLvl w:val="3"/>
        <w:rPr>
          <w:rFonts w:cstheme="minorHAnsi"/>
          <w:lang w:eastAsia="pl-PL"/>
        </w:rPr>
      </w:pPr>
      <w:r w:rsidRPr="000E5283">
        <w:rPr>
          <w:rFonts w:cstheme="minorHAnsi"/>
          <w:lang w:eastAsia="pl-PL"/>
        </w:rPr>
        <w:t xml:space="preserve">Deficyt handlowy USA z Chinami w pierwszych dziewięciu miesiącach 2024 r. osiągnął 216,5 mld USD (wzrost o 2,9%. w porównaniu z tym samym okresem 2023 r.). </w:t>
      </w:r>
    </w:p>
    <w:p w14:paraId="33C5F5FD" w14:textId="77777777" w:rsidR="00FE5A83" w:rsidRPr="000E5283" w:rsidRDefault="00FE5A83" w:rsidP="00A71497">
      <w:pPr>
        <w:spacing w:before="240" w:after="120" w:line="264" w:lineRule="auto"/>
        <w:jc w:val="both"/>
        <w:outlineLvl w:val="3"/>
        <w:rPr>
          <w:rFonts w:cstheme="minorHAnsi"/>
          <w:lang w:eastAsia="pl-PL"/>
        </w:rPr>
      </w:pPr>
      <w:r w:rsidRPr="000E5283">
        <w:rPr>
          <w:rFonts w:cstheme="minorHAnsi"/>
          <w:lang w:eastAsia="pl-PL"/>
        </w:rPr>
        <w:t xml:space="preserve">Amerykańska </w:t>
      </w:r>
      <w:r w:rsidRPr="000E5283">
        <w:rPr>
          <w:rFonts w:eastAsia="Times New Roman" w:cstheme="minorHAnsi"/>
          <w:color w:val="1B1B1B"/>
          <w:lang w:eastAsia="pl-PL"/>
        </w:rPr>
        <w:t>gospodarka</w:t>
      </w:r>
      <w:r w:rsidRPr="000E5283">
        <w:rPr>
          <w:rFonts w:cstheme="minorHAnsi"/>
          <w:lang w:eastAsia="pl-PL"/>
        </w:rPr>
        <w:t xml:space="preserve"> eksportuje mniej, w porównaniu z rokiem ubiegłym, towarów z kategorii pojazdy samochodowe, części i silniki. Wzrósł eksport z kategorii żywność, pasze i napoje oraz dobra konsumpcyjne i kapitałowe, jak też zaopatrzenie i materiały przemysłowe, w tym ropa naftowa i produkty ropopochodne. Dane dotyczące importu wskazują na wzrost we wszystkich kategoriach z wyjątkiem pozycji zaopatrzenie i materiały przemysłowe.</w:t>
      </w:r>
    </w:p>
    <w:p w14:paraId="2902D5AD" w14:textId="22DD301D" w:rsidR="009C3F2D" w:rsidRPr="000E5283" w:rsidRDefault="009C3F2D" w:rsidP="00A71497">
      <w:pPr>
        <w:spacing w:before="240" w:after="120" w:line="264" w:lineRule="auto"/>
        <w:jc w:val="both"/>
        <w:outlineLvl w:val="3"/>
        <w:rPr>
          <w:rFonts w:cstheme="minorHAnsi"/>
        </w:rPr>
      </w:pPr>
      <w:r w:rsidRPr="000E5283">
        <w:rPr>
          <w:rFonts w:cstheme="minorHAnsi"/>
          <w:b/>
        </w:rPr>
        <w:t>USA to jeden z największym światowych eksporterów węglowodorów</w:t>
      </w:r>
      <w:r w:rsidRPr="000E5283">
        <w:rPr>
          <w:rFonts w:cstheme="minorHAnsi"/>
        </w:rPr>
        <w:t xml:space="preserve">. Od 2017 r. </w:t>
      </w:r>
      <w:r w:rsidRPr="000E5283">
        <w:rPr>
          <w:rFonts w:cstheme="minorHAnsi"/>
          <w:b/>
        </w:rPr>
        <w:t>USA są eksporterem netto gazu ziemnego.</w:t>
      </w:r>
      <w:r w:rsidRPr="000E5283">
        <w:rPr>
          <w:rFonts w:cstheme="minorHAnsi"/>
        </w:rPr>
        <w:t xml:space="preserve"> W 2023 r. całkowity roczny eksport surowca był największy w historii USA i wyniósł 7,61 Tcf  - z czego 3,27 Tcf z wykorzystaniem rurociągów oraz 4,34 Tcf w formie LNG, co czyni z USA największego </w:t>
      </w:r>
      <w:r w:rsidRPr="000E5283">
        <w:rPr>
          <w:rFonts w:eastAsia="Times New Roman" w:cstheme="minorHAnsi"/>
          <w:color w:val="1B1B1B"/>
          <w:lang w:eastAsia="pl-PL"/>
        </w:rPr>
        <w:t>eksportera</w:t>
      </w:r>
      <w:r w:rsidRPr="000E5283">
        <w:rPr>
          <w:rFonts w:cstheme="minorHAnsi"/>
        </w:rPr>
        <w:t xml:space="preserve"> gazu skroplonego na świecie. USA pozostają także ważnym importerem gazu ziemnego  - w 2023 r. import surowca (w zdecydowanej większości dostawy z Kanady) wyniósł 2,93 Tcf.</w:t>
      </w:r>
      <w:r w:rsidRPr="000E5283">
        <w:rPr>
          <w:rFonts w:cstheme="minorHAnsi"/>
          <w:highlight w:val="yellow"/>
        </w:rPr>
        <w:t xml:space="preserve"> </w:t>
      </w:r>
    </w:p>
    <w:p w14:paraId="6CCC0CC9" w14:textId="77777777" w:rsidR="009C3F2D" w:rsidRPr="000E5283" w:rsidRDefault="009C3F2D" w:rsidP="00A71497">
      <w:pPr>
        <w:spacing w:before="240" w:after="120" w:line="264" w:lineRule="auto"/>
        <w:jc w:val="both"/>
        <w:outlineLvl w:val="3"/>
        <w:rPr>
          <w:rFonts w:cstheme="minorHAnsi"/>
        </w:rPr>
      </w:pPr>
      <w:r w:rsidRPr="000E5283">
        <w:rPr>
          <w:rFonts w:cstheme="minorHAnsi"/>
        </w:rPr>
        <w:t xml:space="preserve">W 2023 r. </w:t>
      </w:r>
      <w:r w:rsidR="00A71497" w:rsidRPr="000E5283">
        <w:rPr>
          <w:rFonts w:cstheme="minorHAnsi"/>
        </w:rPr>
        <w:t>USA</w:t>
      </w:r>
      <w:r w:rsidRPr="000E5283">
        <w:rPr>
          <w:rFonts w:cstheme="minorHAnsi"/>
        </w:rPr>
        <w:t xml:space="preserve"> były </w:t>
      </w:r>
      <w:r w:rsidRPr="000E5283">
        <w:rPr>
          <w:rFonts w:cstheme="minorHAnsi"/>
          <w:b/>
        </w:rPr>
        <w:t>eksporterem netto ropy naftowej</w:t>
      </w:r>
      <w:r w:rsidRPr="000E5283">
        <w:rPr>
          <w:rFonts w:cstheme="minorHAnsi"/>
        </w:rPr>
        <w:t>, wysyłając za granicę (dane EIA) 1,49 mld baryłek surowca (4,08 mln b/d). Jednocześnie USA pozostają istotnym importerem ropy naftowej. W 2023 r. jej import wyniósł 2,38 mld baryłek (6,49 mln b/d).</w:t>
      </w:r>
    </w:p>
    <w:p w14:paraId="6B136B09" w14:textId="77777777" w:rsidR="009C3F2D" w:rsidRPr="000E5283" w:rsidRDefault="009C3F2D" w:rsidP="00A71497">
      <w:pPr>
        <w:spacing w:before="240" w:after="120" w:line="264" w:lineRule="auto"/>
        <w:jc w:val="both"/>
        <w:outlineLvl w:val="3"/>
        <w:rPr>
          <w:rFonts w:cstheme="minorHAnsi"/>
        </w:rPr>
      </w:pPr>
      <w:r w:rsidRPr="000E5283">
        <w:rPr>
          <w:rFonts w:cstheme="minorHAnsi"/>
        </w:rPr>
        <w:t xml:space="preserve">USA pozostają </w:t>
      </w:r>
      <w:r w:rsidRPr="000E5283">
        <w:rPr>
          <w:rFonts w:cstheme="minorHAnsi"/>
          <w:b/>
        </w:rPr>
        <w:t>czołowym eksporterem węgla kamiennego</w:t>
      </w:r>
      <w:r w:rsidRPr="000E5283">
        <w:rPr>
          <w:rFonts w:cstheme="minorHAnsi"/>
        </w:rPr>
        <w:t xml:space="preserve">. W 2023 r. sprzedaż surowca wyniosła 100,21 mln ton (w tym: 49,13 mln ton węgla energetycznego oraz 51,08 mln ton węgla koksowego). Chociaż </w:t>
      </w:r>
      <w:r w:rsidR="00A71497" w:rsidRPr="000E5283">
        <w:rPr>
          <w:rFonts w:cstheme="minorHAnsi"/>
        </w:rPr>
        <w:t>USA</w:t>
      </w:r>
      <w:r w:rsidRPr="000E5283">
        <w:rPr>
          <w:rFonts w:cstheme="minorHAnsi"/>
        </w:rPr>
        <w:t xml:space="preserve"> produkują większość zużywanego przez siebie węgla, importują go, aby zaspokoić pewne zapotrzebowanie </w:t>
      </w:r>
      <w:r w:rsidRPr="000E5283">
        <w:rPr>
          <w:rFonts w:eastAsia="Times New Roman" w:cstheme="minorHAnsi"/>
          <w:color w:val="1B1B1B"/>
          <w:lang w:eastAsia="pl-PL"/>
        </w:rPr>
        <w:t>krajowe</w:t>
      </w:r>
      <w:r w:rsidRPr="000E5283">
        <w:rPr>
          <w:rFonts w:cstheme="minorHAnsi"/>
        </w:rPr>
        <w:t xml:space="preserve"> (np. import węgla dla elektrowni położonych nad Zatoką Meksykańską i Oceanem Atlantyckim jest tańszy niż pozyskiwanie go z regionów produkujących węgiel w USA). W 2023 r. Stany Zjednoczone importowały ok. 4,01 mln ton surowca - w zdecydowanej większości węgla energetycznego.</w:t>
      </w:r>
    </w:p>
    <w:p w14:paraId="62FE2763" w14:textId="77777777" w:rsidR="003D265E" w:rsidRPr="000E5283" w:rsidRDefault="003D265E" w:rsidP="00EB602A">
      <w:pPr>
        <w:spacing w:before="240" w:after="120" w:line="264" w:lineRule="auto"/>
        <w:ind w:left="360"/>
        <w:outlineLvl w:val="3"/>
        <w:rPr>
          <w:rFonts w:cstheme="minorHAnsi"/>
          <w:b/>
        </w:rPr>
      </w:pPr>
      <w:r w:rsidRPr="000E5283">
        <w:rPr>
          <w:rFonts w:cstheme="minorHAnsi"/>
          <w:b/>
        </w:rPr>
        <w:lastRenderedPageBreak/>
        <w:t xml:space="preserve">4.3. </w:t>
      </w:r>
      <w:r w:rsidR="00E74348" w:rsidRPr="000E5283">
        <w:rPr>
          <w:rFonts w:cstheme="minorHAnsi"/>
          <w:b/>
        </w:rPr>
        <w:t>Główni inwestorzy</w:t>
      </w:r>
    </w:p>
    <w:p w14:paraId="4B39E931" w14:textId="77777777" w:rsidR="00E74348" w:rsidRPr="000E5283" w:rsidRDefault="002C6C2B" w:rsidP="00A71497">
      <w:pPr>
        <w:spacing w:before="240" w:after="120" w:line="264" w:lineRule="auto"/>
        <w:jc w:val="both"/>
        <w:outlineLvl w:val="3"/>
        <w:rPr>
          <w:rFonts w:cstheme="minorHAnsi"/>
        </w:rPr>
      </w:pPr>
      <w:r w:rsidRPr="000E5283">
        <w:rPr>
          <w:rFonts w:cstheme="minorHAnsi"/>
        </w:rPr>
        <w:t>Według danych BEA s</w:t>
      </w:r>
      <w:r w:rsidR="004B1F92" w:rsidRPr="000E5283">
        <w:rPr>
          <w:rFonts w:cstheme="minorHAnsi"/>
        </w:rPr>
        <w:t xml:space="preserve">kumulowana wartość bezpośrednich inwestycji zagranicznych w USA wzrosła o 227 mld USD do 5,39 bln USD (tj. o 4,2%) na koniec 2023 r. z 5,17 bln USD na koniec 2022 r. Wzrost wynikał ze zwyżki inwestycji z Kanady o 96 mld USD oraz państw europejskich o 86,1 mld USD, głównie z Niemiec. Do największych zagranicznych inwestorów w USA należą: Holandia (717,5 mld USD), Japonia (688,1 mld USD), Kanada (671,6 mld USD) i Wielka Brytania (630,1 mld USD). Jednak według kategorii państwa </w:t>
      </w:r>
      <w:r w:rsidR="004B1F92" w:rsidRPr="000E5283">
        <w:rPr>
          <w:rFonts w:eastAsia="Times New Roman" w:cstheme="minorHAnsi"/>
          <w:color w:val="1B1B1B"/>
          <w:lang w:eastAsia="pl-PL"/>
        </w:rPr>
        <w:t>siedziby</w:t>
      </w:r>
      <w:r w:rsidR="004B1F92" w:rsidRPr="000E5283">
        <w:rPr>
          <w:rFonts w:cstheme="minorHAnsi"/>
        </w:rPr>
        <w:t xml:space="preserve"> beneficjenta rzeczywistego (</w:t>
      </w:r>
      <w:r w:rsidR="004B1F92" w:rsidRPr="000E5283">
        <w:rPr>
          <w:rFonts w:cstheme="minorHAnsi"/>
          <w:i/>
        </w:rPr>
        <w:t>ultimate beneficial owner, UBO</w:t>
      </w:r>
      <w:r w:rsidR="004B1F92" w:rsidRPr="000E5283">
        <w:rPr>
          <w:rFonts w:cstheme="minorHAnsi"/>
        </w:rPr>
        <w:t>) największym realnym inwestorem w USA jest Japonia (783,3 mld USD), Kanada (749,6 mld USD), Niemcy (657,8 mld USD) i Wielka Brytania (635,6 mld USD). W ujęciu UBO inwestycje z Holandii i Luksemburga były znacznie niższe niż według kategorii kraju siedziby zagranicznej spółki dominującej, co wskazuje, że znaczna część inwestycji zagranicznych spółek dominujących w tych krajach była ostatecznie własnością inwestorów w innych krajach. Najwięcej inwestycji dotyczy sektora wytwórczego, finansów i ubezpieczeń oraz handlu hurtowego.</w:t>
      </w:r>
    </w:p>
    <w:p w14:paraId="07B3C9AE" w14:textId="77777777" w:rsidR="003D265E" w:rsidRPr="000E5283" w:rsidRDefault="003D265E" w:rsidP="00EB602A">
      <w:pPr>
        <w:spacing w:before="240" w:after="120" w:line="264" w:lineRule="auto"/>
        <w:ind w:left="360"/>
        <w:outlineLvl w:val="3"/>
        <w:rPr>
          <w:rFonts w:cstheme="minorHAnsi"/>
          <w:b/>
        </w:rPr>
      </w:pPr>
      <w:r w:rsidRPr="000E5283">
        <w:rPr>
          <w:rFonts w:cstheme="minorHAnsi"/>
          <w:b/>
        </w:rPr>
        <w:t>4.4. Główne ki</w:t>
      </w:r>
      <w:r w:rsidR="00E74348" w:rsidRPr="000E5283">
        <w:rPr>
          <w:rFonts w:cstheme="minorHAnsi"/>
          <w:b/>
        </w:rPr>
        <w:t>erunki inwestycji zagranicznych</w:t>
      </w:r>
    </w:p>
    <w:p w14:paraId="174CD9A0" w14:textId="77777777" w:rsidR="004B1F92" w:rsidRPr="000E5283" w:rsidRDefault="00FC452C" w:rsidP="00A71497">
      <w:pPr>
        <w:spacing w:before="240" w:after="120" w:line="264" w:lineRule="auto"/>
        <w:jc w:val="both"/>
        <w:outlineLvl w:val="3"/>
        <w:rPr>
          <w:rFonts w:cstheme="minorHAnsi"/>
        </w:rPr>
      </w:pPr>
      <w:r w:rsidRPr="000E5283">
        <w:rPr>
          <w:rFonts w:cstheme="minorHAnsi"/>
        </w:rPr>
        <w:t xml:space="preserve">Według danych BEA skumulowana wartość amerykańskich bezpośrednich inwestycji zagranicznych na koniec 2023 r. wzrosła o 364 mld USD (tj. o 5,9%) do 6,68 bln USD z 6,31 bln USD na koniec 2022 r. Wynik ten odzwierciedla </w:t>
      </w:r>
      <w:r w:rsidRPr="000E5283">
        <w:rPr>
          <w:rFonts w:eastAsia="Times New Roman" w:cstheme="minorHAnsi"/>
          <w:color w:val="1B1B1B"/>
          <w:lang w:eastAsia="pl-PL"/>
        </w:rPr>
        <w:t>wzrost</w:t>
      </w:r>
      <w:r w:rsidRPr="000E5283">
        <w:rPr>
          <w:rFonts w:cstheme="minorHAnsi"/>
        </w:rPr>
        <w:t xml:space="preserve"> inwestycji w państwach europejskich o 147,1 mld USD. Na koniec 2023 r. USA najwięcej zainwestowały w Wielkiej Brytanii (1,06 bln USD), Holandii (0,98 bln USD), Luksemburgu (0,53 bln USD), Irlandii (0,5 bln USD). W podziale na branże największy wzrost odnotowały spółki </w:t>
      </w:r>
      <w:r w:rsidRPr="000E5283">
        <w:rPr>
          <w:rFonts w:eastAsia="Times New Roman" w:cstheme="minorHAnsi"/>
          <w:color w:val="1B1B1B"/>
          <w:lang w:eastAsia="pl-PL"/>
        </w:rPr>
        <w:t>holdingowe</w:t>
      </w:r>
      <w:r w:rsidRPr="000E5283">
        <w:rPr>
          <w:rFonts w:cstheme="minorHAnsi"/>
        </w:rPr>
        <w:t xml:space="preserve"> i przemysł wytwórczy. </w:t>
      </w:r>
    </w:p>
    <w:p w14:paraId="7A45988D" w14:textId="77777777" w:rsidR="007F64CA" w:rsidRPr="000E5283" w:rsidRDefault="007F64CA" w:rsidP="0002265B">
      <w:pPr>
        <w:pStyle w:val="Akapitzlist"/>
        <w:numPr>
          <w:ilvl w:val="0"/>
          <w:numId w:val="10"/>
        </w:numPr>
        <w:spacing w:before="240" w:after="120" w:line="264" w:lineRule="auto"/>
        <w:outlineLvl w:val="3"/>
        <w:rPr>
          <w:rFonts w:cstheme="minorHAnsi"/>
          <w:b/>
        </w:rPr>
      </w:pPr>
      <w:r w:rsidRPr="000E5283">
        <w:rPr>
          <w:rFonts w:cstheme="minorHAnsi"/>
          <w:b/>
        </w:rPr>
        <w:t xml:space="preserve">Udział w inicjatywach i organizacjach wielostronnych o charakterze gospodarczym </w:t>
      </w:r>
    </w:p>
    <w:p w14:paraId="5AFA59B9" w14:textId="77777777" w:rsidR="00FC452C" w:rsidRPr="000E5283" w:rsidRDefault="00FC452C" w:rsidP="0002265B">
      <w:pPr>
        <w:spacing w:before="240" w:after="120" w:line="264" w:lineRule="auto"/>
        <w:ind w:left="360"/>
        <w:outlineLvl w:val="3"/>
        <w:rPr>
          <w:rFonts w:cstheme="minorHAnsi"/>
          <w:b/>
        </w:rPr>
      </w:pPr>
      <w:r w:rsidRPr="000E5283">
        <w:rPr>
          <w:rFonts w:cstheme="minorHAnsi"/>
          <w:b/>
        </w:rPr>
        <w:t>5.1. Uczestnictwo w wielostronnych organizacjach porozumieniach o charakterze gospodarczym</w:t>
      </w:r>
    </w:p>
    <w:p w14:paraId="5150FBD4" w14:textId="77777777" w:rsidR="00FC452C" w:rsidRPr="000E5283" w:rsidRDefault="00FC452C" w:rsidP="00A71497">
      <w:pPr>
        <w:spacing w:before="240" w:after="120" w:line="264" w:lineRule="auto"/>
        <w:jc w:val="both"/>
        <w:outlineLvl w:val="3"/>
        <w:rPr>
          <w:rFonts w:cstheme="minorHAnsi"/>
        </w:rPr>
      </w:pPr>
      <w:r w:rsidRPr="000E5283">
        <w:rPr>
          <w:rFonts w:cstheme="minorHAnsi"/>
        </w:rPr>
        <w:t xml:space="preserve">Stany Zjednoczone są </w:t>
      </w:r>
      <w:r w:rsidRPr="000E5283">
        <w:rPr>
          <w:rFonts w:eastAsia="Times New Roman" w:cstheme="minorHAnsi"/>
          <w:color w:val="1B1B1B"/>
          <w:lang w:eastAsia="pl-PL"/>
        </w:rPr>
        <w:t>członkiem</w:t>
      </w:r>
      <w:r w:rsidRPr="000E5283">
        <w:rPr>
          <w:rFonts w:cstheme="minorHAnsi"/>
        </w:rPr>
        <w:t xml:space="preserve"> wielu międzynarodowych organizacji o charakterze gospodarczym, takich jak: Organizacja Współpracy Gospodarczej i Rozwoju (OECD), Światowa Organizacja Handlu (WTO), Umowa Stany Zjednoczone – Meksyk – Kanada (USMCA) zastępująca Północnoamerykański Układ Wolnego Handlu (NAFTA), Organizacja Państw Amerykańskich (OAS) czy Organizacja Współpracy Gospodarczej Azji i Pacyfiku (APEC). </w:t>
      </w:r>
      <w:r w:rsidR="00F66F5F" w:rsidRPr="000E5283">
        <w:rPr>
          <w:rFonts w:cstheme="minorHAnsi"/>
        </w:rPr>
        <w:t>Po krytyce umów wielost</w:t>
      </w:r>
      <w:r w:rsidR="00DE77B2" w:rsidRPr="000E5283">
        <w:rPr>
          <w:rFonts w:cstheme="minorHAnsi"/>
        </w:rPr>
        <w:t>ronnych przez prezydenta</w:t>
      </w:r>
      <w:r w:rsidR="00F66F5F" w:rsidRPr="000E5283">
        <w:rPr>
          <w:rFonts w:cstheme="minorHAnsi"/>
        </w:rPr>
        <w:t xml:space="preserve"> Trumpa, prezydent Joe Biden </w:t>
      </w:r>
      <w:r w:rsidR="00F66F5F" w:rsidRPr="000E5283">
        <w:rPr>
          <w:rFonts w:eastAsia="Times New Roman" w:cstheme="minorHAnsi"/>
          <w:color w:val="1B1B1B"/>
          <w:lang w:eastAsia="pl-PL"/>
        </w:rPr>
        <w:t>starał</w:t>
      </w:r>
      <w:r w:rsidR="00F66F5F" w:rsidRPr="000E5283">
        <w:rPr>
          <w:rFonts w:cstheme="minorHAnsi"/>
        </w:rPr>
        <w:t xml:space="preserve"> się zwiększyć zaangażowanie w wielostronne umowy gospodarcze i odbudować pozycję Stanów Zjednoczonych na arenie międzynarodowej.</w:t>
      </w:r>
    </w:p>
    <w:p w14:paraId="2AD9C3E4" w14:textId="77777777" w:rsidR="00FC452C" w:rsidRPr="000E5283" w:rsidRDefault="00F66F5F" w:rsidP="0002265B">
      <w:pPr>
        <w:spacing w:before="240" w:after="120" w:line="264" w:lineRule="auto"/>
        <w:ind w:left="360"/>
        <w:outlineLvl w:val="3"/>
        <w:rPr>
          <w:rFonts w:cstheme="minorHAnsi"/>
          <w:b/>
        </w:rPr>
      </w:pPr>
      <w:r w:rsidRPr="000E5283">
        <w:rPr>
          <w:rFonts w:cstheme="minorHAnsi"/>
          <w:b/>
        </w:rPr>
        <w:t>5.2.</w:t>
      </w:r>
      <w:r w:rsidR="00FC452C" w:rsidRPr="000E5283">
        <w:rPr>
          <w:rFonts w:cstheme="minorHAnsi"/>
          <w:b/>
        </w:rPr>
        <w:t xml:space="preserve"> Organizacja Współpracy Gospodarczej i Rozwoju (OECD)</w:t>
      </w:r>
    </w:p>
    <w:p w14:paraId="7F3CCD6D" w14:textId="77777777" w:rsidR="00F66F5F" w:rsidRPr="000E5283" w:rsidRDefault="00F76AF0" w:rsidP="00A71497">
      <w:pPr>
        <w:spacing w:before="240" w:after="120" w:line="264" w:lineRule="auto"/>
        <w:jc w:val="both"/>
        <w:outlineLvl w:val="3"/>
        <w:rPr>
          <w:rFonts w:cstheme="minorHAnsi"/>
        </w:rPr>
      </w:pPr>
      <w:r w:rsidRPr="000E5283">
        <w:rPr>
          <w:rFonts w:cstheme="minorHAnsi"/>
        </w:rPr>
        <w:t>USA</w:t>
      </w:r>
      <w:r w:rsidR="0035037C" w:rsidRPr="000E5283">
        <w:rPr>
          <w:rFonts w:cstheme="minorHAnsi"/>
        </w:rPr>
        <w:t xml:space="preserve"> </w:t>
      </w:r>
      <w:r w:rsidR="00005DFF" w:rsidRPr="000E5283">
        <w:rPr>
          <w:rFonts w:cstheme="minorHAnsi"/>
        </w:rPr>
        <w:t>jako</w:t>
      </w:r>
      <w:r w:rsidR="00FC452C" w:rsidRPr="000E5283">
        <w:rPr>
          <w:rFonts w:cstheme="minorHAnsi"/>
        </w:rPr>
        <w:t xml:space="preserve"> aktywn</w:t>
      </w:r>
      <w:r w:rsidR="00005DFF" w:rsidRPr="000E5283">
        <w:rPr>
          <w:rFonts w:cstheme="minorHAnsi"/>
        </w:rPr>
        <w:t>y</w:t>
      </w:r>
      <w:r w:rsidRPr="000E5283">
        <w:rPr>
          <w:rFonts w:cstheme="minorHAnsi"/>
        </w:rPr>
        <w:t xml:space="preserve"> </w:t>
      </w:r>
      <w:r w:rsidRPr="000E5283">
        <w:rPr>
          <w:rFonts w:eastAsia="Times New Roman" w:cstheme="minorHAnsi"/>
          <w:color w:val="1B1B1B"/>
          <w:lang w:eastAsia="pl-PL"/>
        </w:rPr>
        <w:t>człon</w:t>
      </w:r>
      <w:r w:rsidR="00005DFF" w:rsidRPr="000E5283">
        <w:rPr>
          <w:rFonts w:eastAsia="Times New Roman" w:cstheme="minorHAnsi"/>
          <w:color w:val="1B1B1B"/>
          <w:lang w:eastAsia="pl-PL"/>
        </w:rPr>
        <w:t xml:space="preserve">ek </w:t>
      </w:r>
      <w:r w:rsidR="0035037C" w:rsidRPr="000E5283">
        <w:rPr>
          <w:rFonts w:cstheme="minorHAnsi"/>
        </w:rPr>
        <w:t>OECD odgrywa</w:t>
      </w:r>
      <w:r w:rsidR="00FC452C" w:rsidRPr="000E5283">
        <w:rPr>
          <w:rFonts w:cstheme="minorHAnsi"/>
        </w:rPr>
        <w:t xml:space="preserve"> zasadniczą rolę w kształtowaniu jej struktury i programu. USA opowiadają się za kontynuowaniem współpracy na forum OECD z krajami nieczłonkowskimi (</w:t>
      </w:r>
      <w:r w:rsidR="00FC452C" w:rsidRPr="000E5283">
        <w:rPr>
          <w:rFonts w:cstheme="minorHAnsi"/>
          <w:i/>
        </w:rPr>
        <w:t>outreach</w:t>
      </w:r>
      <w:r w:rsidR="00FC452C" w:rsidRPr="000E5283">
        <w:rPr>
          <w:rFonts w:cstheme="minorHAnsi"/>
        </w:rPr>
        <w:t xml:space="preserve">). Szczególnie istotna jest współpraca z czołowymi krajami rozwijającymi się: Brazylią, Chinami, Indiami, Indonezją i Republiką Południowej Afryki. </w:t>
      </w:r>
      <w:r w:rsidR="00F66F5F" w:rsidRPr="000E5283">
        <w:rPr>
          <w:rFonts w:cstheme="minorHAnsi"/>
        </w:rPr>
        <w:t>Taka współpraca prowadzi te kraje do przyjęcia wysokich st</w:t>
      </w:r>
      <w:r w:rsidRPr="000E5283">
        <w:rPr>
          <w:rFonts w:cstheme="minorHAnsi"/>
        </w:rPr>
        <w:t xml:space="preserve">andardów OECD. USA przywiązują </w:t>
      </w:r>
      <w:r w:rsidR="00F66F5F" w:rsidRPr="000E5283">
        <w:rPr>
          <w:rFonts w:cstheme="minorHAnsi"/>
        </w:rPr>
        <w:t xml:space="preserve">wagę do rozszerzenia stosowania zasad </w:t>
      </w:r>
      <w:r w:rsidR="00005DFF" w:rsidRPr="000E5283">
        <w:rPr>
          <w:rFonts w:cstheme="minorHAnsi"/>
        </w:rPr>
        <w:t xml:space="preserve">OECD w zakresie </w:t>
      </w:r>
      <w:r w:rsidR="00F66F5F" w:rsidRPr="000E5283">
        <w:rPr>
          <w:rFonts w:cstheme="minorHAnsi"/>
        </w:rPr>
        <w:t xml:space="preserve">przeciwdziałania korupcji i praniu pieniędzy na kraje niebędące członkami </w:t>
      </w:r>
      <w:r w:rsidR="00005DFF" w:rsidRPr="000E5283">
        <w:rPr>
          <w:rFonts w:cstheme="minorHAnsi"/>
        </w:rPr>
        <w:t>tej organizacji</w:t>
      </w:r>
      <w:r w:rsidR="00F66F5F" w:rsidRPr="000E5283">
        <w:rPr>
          <w:rFonts w:cstheme="minorHAnsi"/>
        </w:rPr>
        <w:t>.</w:t>
      </w:r>
    </w:p>
    <w:p w14:paraId="5AA1D95D" w14:textId="77777777" w:rsidR="00005DFF" w:rsidRPr="000E5283" w:rsidRDefault="00005DFF" w:rsidP="00005DFF">
      <w:pPr>
        <w:tabs>
          <w:tab w:val="num" w:pos="720"/>
        </w:tabs>
        <w:spacing w:before="120" w:after="120" w:line="264" w:lineRule="auto"/>
        <w:jc w:val="both"/>
        <w:rPr>
          <w:rFonts w:cstheme="minorHAnsi"/>
        </w:rPr>
      </w:pPr>
      <w:r w:rsidRPr="000E5283">
        <w:rPr>
          <w:rFonts w:cstheme="minorHAnsi"/>
        </w:rPr>
        <w:t xml:space="preserve">W lipcu 2021 r. 138 państw, w tym USA, uzgodniło nowy plan międzynarodowej polityki podatkowej dot. opodatkowania międzynarodowych korporacji. </w:t>
      </w:r>
      <w:r w:rsidR="00AD2A6E" w:rsidRPr="000E5283">
        <w:rPr>
          <w:rFonts w:cstheme="minorHAnsi"/>
        </w:rPr>
        <w:t>Negocjacje</w:t>
      </w:r>
      <w:r w:rsidRPr="000E5283">
        <w:rPr>
          <w:rFonts w:cstheme="minorHAnsi"/>
        </w:rPr>
        <w:t xml:space="preserve"> </w:t>
      </w:r>
      <w:r w:rsidR="00AD2A6E" w:rsidRPr="000E5283">
        <w:rPr>
          <w:rFonts w:cstheme="minorHAnsi"/>
        </w:rPr>
        <w:t xml:space="preserve">w tym obszarze rozpoczęto w marcu 2018 r. na forum OECD. </w:t>
      </w:r>
      <w:r w:rsidRPr="000E5283">
        <w:rPr>
          <w:rFonts w:cstheme="minorHAnsi"/>
        </w:rPr>
        <w:t xml:space="preserve">Wiodące światowe gospodarki zgodziły się na uchwalenie przepisów </w:t>
      </w:r>
      <w:r w:rsidRPr="000E5283">
        <w:rPr>
          <w:rFonts w:cstheme="minorHAnsi"/>
        </w:rPr>
        <w:lastRenderedPageBreak/>
        <w:t xml:space="preserve">krajowych, które </w:t>
      </w:r>
      <w:r w:rsidR="00AD2A6E" w:rsidRPr="000E5283">
        <w:rPr>
          <w:rFonts w:cstheme="minorHAnsi"/>
        </w:rPr>
        <w:t>zobowiązywałyby</w:t>
      </w:r>
      <w:r w:rsidRPr="000E5283">
        <w:rPr>
          <w:rFonts w:cstheme="minorHAnsi"/>
        </w:rPr>
        <w:t xml:space="preserve"> duż</w:t>
      </w:r>
      <w:r w:rsidR="00AD2A6E" w:rsidRPr="000E5283">
        <w:rPr>
          <w:rFonts w:cstheme="minorHAnsi"/>
        </w:rPr>
        <w:t>e</w:t>
      </w:r>
      <w:r w:rsidRPr="000E5283">
        <w:rPr>
          <w:rFonts w:cstheme="minorHAnsi"/>
        </w:rPr>
        <w:t xml:space="preserve"> korporacj</w:t>
      </w:r>
      <w:r w:rsidR="00AD2A6E" w:rsidRPr="000E5283">
        <w:rPr>
          <w:rFonts w:cstheme="minorHAnsi"/>
        </w:rPr>
        <w:t>e</w:t>
      </w:r>
      <w:r w:rsidRPr="000E5283">
        <w:rPr>
          <w:rFonts w:cstheme="minorHAnsi"/>
        </w:rPr>
        <w:t xml:space="preserve"> odnosząc</w:t>
      </w:r>
      <w:r w:rsidR="00AD2A6E" w:rsidRPr="000E5283">
        <w:rPr>
          <w:rFonts w:cstheme="minorHAnsi"/>
        </w:rPr>
        <w:t>e</w:t>
      </w:r>
      <w:r w:rsidRPr="000E5283">
        <w:rPr>
          <w:rFonts w:cstheme="minorHAnsi"/>
        </w:rPr>
        <w:t xml:space="preserve"> zyski z globalizacji i postępującej cyfryzacji (skonsolidowane przychody powyżej 750 mln EUR. rocznie) </w:t>
      </w:r>
      <w:r w:rsidR="00AD2A6E" w:rsidRPr="000E5283">
        <w:rPr>
          <w:rFonts w:cstheme="minorHAnsi"/>
        </w:rPr>
        <w:t xml:space="preserve">do </w:t>
      </w:r>
      <w:r w:rsidRPr="000E5283">
        <w:rPr>
          <w:rFonts w:cstheme="minorHAnsi"/>
        </w:rPr>
        <w:t>płacenia co najmniej 15% podatku dochodowego, w krajach dokonywania sprzedaży, a nie w miejscu siedziby firmy. Nowa polityka podatkowa, która ma położyć kres praktyce lokalizacji siedzib koncernów w miejscach o niskich stawkach podatkowych, została podzielona na dwa filary.</w:t>
      </w:r>
    </w:p>
    <w:p w14:paraId="0E1CADEA" w14:textId="77777777" w:rsidR="00005DFF" w:rsidRPr="000E5283" w:rsidRDefault="00005DFF" w:rsidP="00005DFF">
      <w:pPr>
        <w:spacing w:after="0" w:line="276" w:lineRule="auto"/>
        <w:jc w:val="both"/>
        <w:rPr>
          <w:rFonts w:cstheme="minorHAnsi"/>
        </w:rPr>
      </w:pPr>
      <w:r w:rsidRPr="000E5283">
        <w:rPr>
          <w:rFonts w:cstheme="minorHAnsi"/>
          <w:b/>
          <w:bCs/>
        </w:rPr>
        <w:t>Filar I</w:t>
      </w:r>
      <w:r w:rsidR="00AD2A6E" w:rsidRPr="000E5283">
        <w:rPr>
          <w:rFonts w:cstheme="minorHAnsi"/>
        </w:rPr>
        <w:t xml:space="preserve"> OECD zakłada </w:t>
      </w:r>
      <w:r w:rsidRPr="000E5283">
        <w:rPr>
          <w:rFonts w:cstheme="minorHAnsi"/>
        </w:rPr>
        <w:t>częściowe przeniesienie praw do opodatkowania do jurysdykcji, w których następuje konsumpcja dóbr i usług.</w:t>
      </w:r>
      <w:r w:rsidR="00AD2A6E" w:rsidRPr="000E5283">
        <w:rPr>
          <w:rFonts w:cstheme="minorHAnsi"/>
        </w:rPr>
        <w:t xml:space="preserve"> </w:t>
      </w:r>
      <w:r w:rsidRPr="000E5283">
        <w:rPr>
          <w:rFonts w:cstheme="minorHAnsi"/>
        </w:rPr>
        <w:t>Filar I odnosi się jedynie do największych i najbardziej dochodowych grup międzynarodowych, w tym spółek cyfrowych. Projektowane przepisy międzynarodowe mają odzwierciedlać nowe modele biznesowe, w tym zdolność przedsiębiorstw do prowadzenia działalności gospodarczej bez konieczności fizycznej obecności na danym rynku.</w:t>
      </w:r>
    </w:p>
    <w:p w14:paraId="7D489769" w14:textId="77777777" w:rsidR="00005DFF" w:rsidRPr="000E5283" w:rsidRDefault="00005DFF" w:rsidP="00005DFF">
      <w:pPr>
        <w:spacing w:after="0" w:line="276" w:lineRule="auto"/>
        <w:jc w:val="both"/>
        <w:rPr>
          <w:rFonts w:cstheme="minorHAnsi"/>
        </w:rPr>
      </w:pPr>
    </w:p>
    <w:p w14:paraId="64E59A31" w14:textId="77777777" w:rsidR="00005DFF" w:rsidRPr="000E5283" w:rsidRDefault="00005DFF" w:rsidP="00005DFF">
      <w:pPr>
        <w:spacing w:after="0" w:line="276" w:lineRule="auto"/>
        <w:jc w:val="both"/>
        <w:rPr>
          <w:rFonts w:cstheme="minorHAnsi"/>
        </w:rPr>
      </w:pPr>
      <w:r w:rsidRPr="000E5283">
        <w:rPr>
          <w:rFonts w:cstheme="minorHAnsi"/>
          <w:b/>
        </w:rPr>
        <w:t>Filar II</w:t>
      </w:r>
      <w:r w:rsidRPr="000E5283">
        <w:rPr>
          <w:rFonts w:cstheme="minorHAnsi"/>
        </w:rPr>
        <w:t xml:space="preserve"> OECD składa się z:</w:t>
      </w:r>
    </w:p>
    <w:p w14:paraId="57593E2A" w14:textId="77777777" w:rsidR="00005DFF" w:rsidRPr="000E5283" w:rsidRDefault="00005DFF" w:rsidP="00005DFF">
      <w:pPr>
        <w:numPr>
          <w:ilvl w:val="0"/>
          <w:numId w:val="35"/>
        </w:numPr>
        <w:spacing w:after="0" w:line="276" w:lineRule="auto"/>
        <w:contextualSpacing/>
        <w:jc w:val="both"/>
        <w:rPr>
          <w:rFonts w:cstheme="minorHAnsi"/>
        </w:rPr>
      </w:pPr>
      <w:r w:rsidRPr="000E5283">
        <w:rPr>
          <w:rFonts w:cstheme="minorHAnsi"/>
          <w:b/>
        </w:rPr>
        <w:t>zasad GloBE</w:t>
      </w:r>
      <w:r w:rsidRPr="000E5283">
        <w:rPr>
          <w:rFonts w:cstheme="minorHAnsi"/>
        </w:rPr>
        <w:t xml:space="preserve">, które wprowadzają minimalny globalny poziom efektywnego opodatkowania dużych przedsiębiorstw międzynarodowych (tzw. </w:t>
      </w:r>
      <w:r w:rsidRPr="000E5283">
        <w:rPr>
          <w:rFonts w:cstheme="minorHAnsi"/>
          <w:b/>
        </w:rPr>
        <w:t>globalny minimalny podatek</w:t>
      </w:r>
      <w:r w:rsidRPr="000E5283">
        <w:rPr>
          <w:rFonts w:cstheme="minorHAnsi"/>
        </w:rPr>
        <w:t>) oraz</w:t>
      </w:r>
    </w:p>
    <w:p w14:paraId="15B2AE79" w14:textId="77777777" w:rsidR="00005DFF" w:rsidRPr="000E5283" w:rsidRDefault="00005DFF" w:rsidP="00005DFF">
      <w:pPr>
        <w:numPr>
          <w:ilvl w:val="0"/>
          <w:numId w:val="35"/>
        </w:numPr>
        <w:spacing w:after="0" w:line="276" w:lineRule="auto"/>
        <w:contextualSpacing/>
        <w:jc w:val="both"/>
        <w:rPr>
          <w:rFonts w:cstheme="minorHAnsi"/>
        </w:rPr>
      </w:pPr>
      <w:r w:rsidRPr="000E5283">
        <w:rPr>
          <w:rFonts w:cstheme="minorHAnsi"/>
        </w:rPr>
        <w:t xml:space="preserve">traktatowej zasady dodatkowego prawa do opodatkowania (STTR), </w:t>
      </w:r>
      <w:r w:rsidRPr="000E5283">
        <w:rPr>
          <w:rFonts w:cstheme="minorHAnsi"/>
          <w:noProof/>
        </w:rPr>
        <w:t>pozwalającej państwom źródła na nałożenie dodatkowego opodatkowania na niektóre kategorie płatności wychodzące z danej jurysdykcji do podmiotów powiązanych w innej jurysdykcji.</w:t>
      </w:r>
    </w:p>
    <w:p w14:paraId="02DC09F0" w14:textId="77777777" w:rsidR="00005DFF" w:rsidRPr="000E5283" w:rsidRDefault="00005DFF" w:rsidP="00005DFF">
      <w:pPr>
        <w:tabs>
          <w:tab w:val="num" w:pos="720"/>
        </w:tabs>
        <w:spacing w:before="120" w:after="120" w:line="264" w:lineRule="auto"/>
        <w:jc w:val="both"/>
        <w:rPr>
          <w:rFonts w:cstheme="minorHAnsi"/>
        </w:rPr>
      </w:pPr>
      <w:r w:rsidRPr="000E5283">
        <w:rPr>
          <w:rFonts w:cstheme="minorHAnsi"/>
        </w:rPr>
        <w:t>Wypracowanie nowej polityki podatkowej było mocno promowane przez administrację Bidena</w:t>
      </w:r>
      <w:r w:rsidR="00AD2A6E" w:rsidRPr="000E5283">
        <w:rPr>
          <w:rFonts w:cstheme="minorHAnsi"/>
        </w:rPr>
        <w:t>. J</w:t>
      </w:r>
      <w:r w:rsidRPr="000E5283">
        <w:rPr>
          <w:rFonts w:cstheme="minorHAnsi"/>
        </w:rPr>
        <w:t>ednak na późn</w:t>
      </w:r>
      <w:r w:rsidR="005418F4" w:rsidRPr="000E5283">
        <w:rPr>
          <w:rFonts w:cstheme="minorHAnsi"/>
        </w:rPr>
        <w:t>iejszym etapie prac trudno było</w:t>
      </w:r>
      <w:r w:rsidRPr="000E5283">
        <w:rPr>
          <w:rFonts w:cstheme="minorHAnsi"/>
        </w:rPr>
        <w:t xml:space="preserve"> wypracować porozumienie </w:t>
      </w:r>
      <w:r w:rsidR="00AD2A6E" w:rsidRPr="000E5283">
        <w:rPr>
          <w:rFonts w:cstheme="minorHAnsi"/>
        </w:rPr>
        <w:t>w zakresie</w:t>
      </w:r>
      <w:r w:rsidRPr="000E5283">
        <w:rPr>
          <w:rFonts w:cstheme="minorHAnsi"/>
        </w:rPr>
        <w:t xml:space="preserve"> konkretnych zapisów definiujących zarówno płatników jak i podstawę opodatkowania, szczególnie w zakresie Filaru I.</w:t>
      </w:r>
    </w:p>
    <w:p w14:paraId="4E75F595" w14:textId="77777777" w:rsidR="00005DFF" w:rsidRPr="000E5283" w:rsidRDefault="00005DFF" w:rsidP="00EB6CA2">
      <w:pPr>
        <w:tabs>
          <w:tab w:val="num" w:pos="720"/>
        </w:tabs>
        <w:spacing w:before="120" w:after="120" w:line="264" w:lineRule="auto"/>
        <w:jc w:val="both"/>
        <w:rPr>
          <w:rFonts w:cstheme="minorHAnsi"/>
        </w:rPr>
      </w:pPr>
      <w:r w:rsidRPr="000E5283">
        <w:rPr>
          <w:rFonts w:cstheme="minorHAnsi"/>
        </w:rPr>
        <w:t xml:space="preserve">Na obecnym etapie wprowadzania w życie </w:t>
      </w:r>
      <w:r w:rsidR="00AD2A6E" w:rsidRPr="000E5283">
        <w:rPr>
          <w:rFonts w:cstheme="minorHAnsi"/>
        </w:rPr>
        <w:t>planu</w:t>
      </w:r>
      <w:r w:rsidRPr="000E5283">
        <w:rPr>
          <w:rFonts w:cstheme="minorHAnsi"/>
        </w:rPr>
        <w:t xml:space="preserve"> z 2021 r. Stany Zjednoczone nie implementowały przepisów pozwalających na realizację założeń porozumienia.</w:t>
      </w:r>
    </w:p>
    <w:p w14:paraId="1E5B3438" w14:textId="77777777" w:rsidR="00FC452C" w:rsidRPr="000E5283" w:rsidRDefault="00F66F5F" w:rsidP="0002265B">
      <w:pPr>
        <w:spacing w:before="240" w:after="120" w:line="264" w:lineRule="auto"/>
        <w:ind w:left="360"/>
        <w:outlineLvl w:val="3"/>
        <w:rPr>
          <w:rFonts w:cstheme="minorHAnsi"/>
          <w:b/>
        </w:rPr>
      </w:pPr>
      <w:r w:rsidRPr="000E5283">
        <w:rPr>
          <w:rFonts w:cstheme="minorHAnsi"/>
          <w:b/>
        </w:rPr>
        <w:t>5.3</w:t>
      </w:r>
      <w:r w:rsidR="00FC452C" w:rsidRPr="000E5283">
        <w:rPr>
          <w:rFonts w:cstheme="minorHAnsi"/>
          <w:b/>
        </w:rPr>
        <w:t>. Światowa Organizacja Handlu (WTO)</w:t>
      </w:r>
    </w:p>
    <w:p w14:paraId="2BEEFFB8" w14:textId="77777777" w:rsidR="00FC452C" w:rsidRPr="000E5283" w:rsidRDefault="00FC452C" w:rsidP="00A71497">
      <w:pPr>
        <w:spacing w:before="240" w:after="120" w:line="264" w:lineRule="auto"/>
        <w:jc w:val="both"/>
        <w:outlineLvl w:val="3"/>
        <w:rPr>
          <w:rFonts w:cstheme="minorHAnsi"/>
        </w:rPr>
      </w:pPr>
      <w:r w:rsidRPr="000E5283">
        <w:rPr>
          <w:rFonts w:cstheme="minorHAnsi"/>
        </w:rPr>
        <w:t xml:space="preserve">Stany Zjednoczone do tej pory </w:t>
      </w:r>
      <w:r w:rsidR="002C6C2B" w:rsidRPr="000E5283">
        <w:rPr>
          <w:rFonts w:cstheme="minorHAnsi"/>
        </w:rPr>
        <w:t>były zwolennikiem</w:t>
      </w:r>
      <w:r w:rsidRPr="000E5283">
        <w:rPr>
          <w:rFonts w:cstheme="minorHAnsi"/>
        </w:rPr>
        <w:t xml:space="preserve"> pomyśln</w:t>
      </w:r>
      <w:r w:rsidR="002C6C2B" w:rsidRPr="000E5283">
        <w:rPr>
          <w:rFonts w:cstheme="minorHAnsi"/>
        </w:rPr>
        <w:t>ego</w:t>
      </w:r>
      <w:r w:rsidRPr="000E5283">
        <w:rPr>
          <w:rFonts w:cstheme="minorHAnsi"/>
        </w:rPr>
        <w:t xml:space="preserve"> zakończeni</w:t>
      </w:r>
      <w:r w:rsidR="002C6C2B" w:rsidRPr="000E5283">
        <w:rPr>
          <w:rFonts w:cstheme="minorHAnsi"/>
        </w:rPr>
        <w:t>a</w:t>
      </w:r>
      <w:r w:rsidRPr="000E5283">
        <w:rPr>
          <w:rFonts w:cstheme="minorHAnsi"/>
        </w:rPr>
        <w:t xml:space="preserve"> rozpoczętych w 2001 r. negocjacji w ramach </w:t>
      </w:r>
      <w:r w:rsidRPr="000E5283">
        <w:rPr>
          <w:rFonts w:eastAsia="Times New Roman" w:cstheme="minorHAnsi"/>
          <w:color w:val="1B1B1B"/>
          <w:lang w:eastAsia="pl-PL"/>
        </w:rPr>
        <w:t>Rundy</w:t>
      </w:r>
      <w:r w:rsidRPr="000E5283">
        <w:rPr>
          <w:rFonts w:cstheme="minorHAnsi"/>
        </w:rPr>
        <w:t xml:space="preserve"> Doha WTO (DDA), wskazując, iż spowoduje to wzrost strumienia handlu światowego, stworzy nowe możliwości rozwoju gospodarczego i przyczyni się do ograniczenia sfery ubóstwa w najbiedniejszych rejonach świata, a przez to doprowadzi do poprawy globalnego bezpieczeństwa. Dla USA podstawową kwestią w rokowaniach było uzyskanie większego dostępu do rynku towarów przemysłowych (NAMA) w tych krajach, które stosują wysoką ochronę celną (Indie, Brazylia, Chiny). </w:t>
      </w:r>
      <w:r w:rsidR="00F66F5F" w:rsidRPr="000E5283">
        <w:rPr>
          <w:rFonts w:cstheme="minorHAnsi"/>
        </w:rPr>
        <w:t xml:space="preserve">Administracja </w:t>
      </w:r>
      <w:r w:rsidR="00DE77B2" w:rsidRPr="000E5283">
        <w:rPr>
          <w:rFonts w:cstheme="minorHAnsi"/>
        </w:rPr>
        <w:t>Trumpa była</w:t>
      </w:r>
      <w:r w:rsidRPr="000E5283">
        <w:rPr>
          <w:rFonts w:cstheme="minorHAnsi"/>
        </w:rPr>
        <w:t xml:space="preserve"> </w:t>
      </w:r>
      <w:r w:rsidR="00DE77B2" w:rsidRPr="000E5283">
        <w:rPr>
          <w:rFonts w:cstheme="minorHAnsi"/>
        </w:rPr>
        <w:t>sceptyczna wobec</w:t>
      </w:r>
      <w:r w:rsidRPr="000E5283">
        <w:rPr>
          <w:rFonts w:cstheme="minorHAnsi"/>
        </w:rPr>
        <w:t xml:space="preserve"> wielostronnych porozumień handlowych i preferowała rozwijanie relacji bilateralnych. Krytycznie odnosiła się również do wybranych decyzji WTO, narzucających </w:t>
      </w:r>
      <w:r w:rsidR="00846FCC" w:rsidRPr="000E5283">
        <w:rPr>
          <w:rFonts w:cstheme="minorHAnsi"/>
        </w:rPr>
        <w:t>USA</w:t>
      </w:r>
      <w:r w:rsidRPr="000E5283">
        <w:rPr>
          <w:rFonts w:cstheme="minorHAnsi"/>
        </w:rPr>
        <w:t xml:space="preserve"> określone działania w polityce handlowej. W wyniku zablokowania wyboru nowych sędziów, krytykowany przez Stany Zjednoczone Organ Apelacyjny utracił możliwość orzekania 10 grudnia 2019 r., co w praktyce oznacza brak możliwości odwołania się od orzeczeń przyjętych na niższym szczeblu. </w:t>
      </w:r>
      <w:r w:rsidR="00F66F5F" w:rsidRPr="000E5283">
        <w:rPr>
          <w:rFonts w:cstheme="minorHAnsi"/>
        </w:rPr>
        <w:t>A</w:t>
      </w:r>
      <w:r w:rsidRPr="000E5283">
        <w:rPr>
          <w:rFonts w:cstheme="minorHAnsi"/>
        </w:rPr>
        <w:t xml:space="preserve">dministracja Bidena nie cofnęła amerykańskiego sprzeciwu, a nawet ponowiła krytykę Organu Apelacyjnego twierdząc, że stał się on </w:t>
      </w:r>
      <w:r w:rsidR="00DE77B2" w:rsidRPr="000E5283">
        <w:rPr>
          <w:rFonts w:cstheme="minorHAnsi"/>
        </w:rPr>
        <w:t>synonimem</w:t>
      </w:r>
      <w:r w:rsidRPr="000E5283">
        <w:rPr>
          <w:rFonts w:cstheme="minorHAnsi"/>
        </w:rPr>
        <w:t xml:space="preserve"> </w:t>
      </w:r>
      <w:r w:rsidR="00DE77B2" w:rsidRPr="000E5283">
        <w:rPr>
          <w:rFonts w:cstheme="minorHAnsi"/>
        </w:rPr>
        <w:t>długotrwałego</w:t>
      </w:r>
      <w:r w:rsidRPr="000E5283">
        <w:rPr>
          <w:rFonts w:cstheme="minorHAnsi"/>
        </w:rPr>
        <w:t>, kosztownego i kontrowersyjnego</w:t>
      </w:r>
      <w:r w:rsidR="00DE77B2" w:rsidRPr="000E5283">
        <w:rPr>
          <w:rFonts w:cstheme="minorHAnsi"/>
        </w:rPr>
        <w:t xml:space="preserve"> sporu</w:t>
      </w:r>
      <w:r w:rsidRPr="000E5283">
        <w:rPr>
          <w:rFonts w:cstheme="minorHAnsi"/>
        </w:rPr>
        <w:t xml:space="preserve">. Jednakże Waszyngton pozostaje nadal otwarty na poglądy innych członków organizacji w kwestii organu rozstrzygającego spory, a co więcej deklaruje chęć reformy całej organizacji, aby stała się bardziej elastyczna, przejrzysta i dostosowana do współczesnego handlu. </w:t>
      </w:r>
      <w:r w:rsidR="00E430CF" w:rsidRPr="000E5283">
        <w:rPr>
          <w:rFonts w:cstheme="minorHAnsi"/>
        </w:rPr>
        <w:t>USA dążą do reformy WTO zwracając uwagę na konieczność wypracowania nowych reguł w zakresie zachowania konkurencyjności, otwartości, przejrzystości i praworządności. Akcentuje się też wyzwania zagrażające systemowi WTO w postaci nierynkowych praktyk i polityk gospodarczych realizowanych przez niektóre państwa (chodzi głównie o Chiny), co ma implikacje dla bezpieczeństwa narodowego USA.</w:t>
      </w:r>
    </w:p>
    <w:p w14:paraId="0AD4F23D" w14:textId="77777777" w:rsidR="00FC452C" w:rsidRPr="000E5283" w:rsidRDefault="00E430CF" w:rsidP="0002265B">
      <w:pPr>
        <w:spacing w:before="240" w:after="120" w:line="264" w:lineRule="auto"/>
        <w:ind w:left="360"/>
        <w:outlineLvl w:val="3"/>
        <w:rPr>
          <w:rFonts w:cstheme="minorHAnsi"/>
          <w:b/>
        </w:rPr>
      </w:pPr>
      <w:r w:rsidRPr="000E5283">
        <w:rPr>
          <w:rFonts w:cstheme="minorHAnsi"/>
          <w:b/>
        </w:rPr>
        <w:lastRenderedPageBreak/>
        <w:t>5.4</w:t>
      </w:r>
      <w:r w:rsidR="00FC452C" w:rsidRPr="000E5283">
        <w:rPr>
          <w:rFonts w:cstheme="minorHAnsi"/>
          <w:b/>
        </w:rPr>
        <w:t>. Umowa Stany Zjednoczone-Meksyk-Kanada (USMCA)</w:t>
      </w:r>
    </w:p>
    <w:p w14:paraId="265DD113" w14:textId="77777777" w:rsidR="00FC452C" w:rsidRPr="000E5283" w:rsidRDefault="00FC452C" w:rsidP="00A71497">
      <w:pPr>
        <w:spacing w:before="240" w:after="120" w:line="264" w:lineRule="auto"/>
        <w:jc w:val="both"/>
        <w:outlineLvl w:val="3"/>
        <w:rPr>
          <w:rFonts w:cstheme="minorHAnsi"/>
        </w:rPr>
      </w:pPr>
      <w:r w:rsidRPr="000E5283">
        <w:rPr>
          <w:rFonts w:cstheme="minorHAnsi"/>
        </w:rPr>
        <w:t xml:space="preserve">Umowa o wolnym handlu zawarta między Stanami Zjednoczonymi, Meksykiem i Kanadą (USMCA) weszła w życie 1 lipca 2020 r., zastępując zawartą w 1994 r. Północnoamerykańską umowę o wolnym handlu-NAFTA, która była najważniejszą umową, jaką </w:t>
      </w:r>
      <w:r w:rsidR="00846FCC" w:rsidRPr="000E5283">
        <w:rPr>
          <w:rFonts w:cstheme="minorHAnsi"/>
        </w:rPr>
        <w:t>USA</w:t>
      </w:r>
      <w:r w:rsidRPr="000E5283">
        <w:rPr>
          <w:rFonts w:cstheme="minorHAnsi"/>
        </w:rPr>
        <w:t xml:space="preserve"> zawarły z jakimkolwiek krajem czy grupą krajów.</w:t>
      </w:r>
    </w:p>
    <w:p w14:paraId="782A813E" w14:textId="77777777" w:rsidR="00FC452C" w:rsidRPr="000E5283" w:rsidRDefault="00E430CF" w:rsidP="00A71497">
      <w:pPr>
        <w:spacing w:before="240" w:after="120" w:line="264" w:lineRule="auto"/>
        <w:jc w:val="both"/>
        <w:outlineLvl w:val="3"/>
        <w:rPr>
          <w:rFonts w:cstheme="minorHAnsi"/>
        </w:rPr>
      </w:pPr>
      <w:r w:rsidRPr="000E5283">
        <w:rPr>
          <w:rFonts w:cstheme="minorHAnsi"/>
        </w:rPr>
        <w:t xml:space="preserve">Były prezydent </w:t>
      </w:r>
      <w:r w:rsidR="00FC452C" w:rsidRPr="000E5283">
        <w:rPr>
          <w:rFonts w:cstheme="minorHAnsi"/>
        </w:rPr>
        <w:t xml:space="preserve">Trump krytycznie </w:t>
      </w:r>
      <w:r w:rsidR="00E30AA0" w:rsidRPr="000E5283">
        <w:rPr>
          <w:rFonts w:cstheme="minorHAnsi"/>
        </w:rPr>
        <w:t>traktował</w:t>
      </w:r>
      <w:r w:rsidR="00FC452C" w:rsidRPr="000E5283">
        <w:rPr>
          <w:rFonts w:cstheme="minorHAnsi"/>
        </w:rPr>
        <w:t xml:space="preserve"> porozumieni</w:t>
      </w:r>
      <w:r w:rsidR="00E30AA0" w:rsidRPr="000E5283">
        <w:rPr>
          <w:rFonts w:cstheme="minorHAnsi"/>
        </w:rPr>
        <w:t>e</w:t>
      </w:r>
      <w:r w:rsidR="00FC452C" w:rsidRPr="000E5283">
        <w:rPr>
          <w:rFonts w:cstheme="minorHAnsi"/>
        </w:rPr>
        <w:t xml:space="preserve"> NAFTA, twierdząc, że spowodowało ono m.in. likwidację miejsc pracy w amerykańskim przemyśle i ich przenoszenie do Meksyku, a także </w:t>
      </w:r>
      <w:r w:rsidR="00E30AA0" w:rsidRPr="000E5283">
        <w:rPr>
          <w:rFonts w:cstheme="minorHAnsi"/>
        </w:rPr>
        <w:t>wzrost</w:t>
      </w:r>
      <w:r w:rsidR="00FC452C" w:rsidRPr="000E5283">
        <w:rPr>
          <w:rFonts w:cstheme="minorHAnsi"/>
        </w:rPr>
        <w:t xml:space="preserve"> deficytu </w:t>
      </w:r>
      <w:r w:rsidR="00FC452C" w:rsidRPr="000E5283">
        <w:rPr>
          <w:rFonts w:eastAsia="Times New Roman" w:cstheme="minorHAnsi"/>
          <w:color w:val="1B1B1B"/>
          <w:lang w:eastAsia="pl-PL"/>
        </w:rPr>
        <w:t>handlowego</w:t>
      </w:r>
      <w:r w:rsidR="00FC452C" w:rsidRPr="000E5283">
        <w:rPr>
          <w:rFonts w:cstheme="minorHAnsi"/>
        </w:rPr>
        <w:t xml:space="preserve"> USA. W konsekwencji doprowadził do rozpoczęcia w sierpniu 2017 r. rozmów </w:t>
      </w:r>
      <w:r w:rsidRPr="000E5283">
        <w:rPr>
          <w:rFonts w:cstheme="minorHAnsi"/>
        </w:rPr>
        <w:t>ws.</w:t>
      </w:r>
      <w:r w:rsidR="00FC452C" w:rsidRPr="000E5283">
        <w:rPr>
          <w:rFonts w:cstheme="minorHAnsi"/>
        </w:rPr>
        <w:t xml:space="preserve"> modyfikacji tej umowy. W efekcie negocjacji, najpierw pod koniec sierpnia 2018 r. nowe porozumienie o zasadach handlu osiągnęły USA i Meksyk, a miesiąc później do porozumienia dołączyła Kanada. Nowe porozumienie USMCA zostało podpisane 30 listopada 2018 r. na szczycie G20 w Buenos Aires. W wyniku nacisków ze strony przedstawicieli Partii Demokratycznej (mającej wtedy większość w Izbie Reprezentantów) doszło do modyfikacji USMCA i ponownego jej podpisania w grudniu 2019 r. W tym samym miesiącu nastąpiła ratyfikacja USMCA przez Izbę Reprezentantów, a jej akceptacja przez Senat USA została dokonana na początku 2020 r. Nowa umowa wprowadziła dodatkowe obostrzenia w dostępie do rynku USA (m.in. w przemyśle motoryzacyjnym), a jednocześnie rozszerzyła dostęp towarów amerykańskich (głównie produktów mlecznych i drobiu) do rynku kanadyjskiego. W umowie znalazło się wiele kwestii ustalonych w Transpacyficznym Partnerstwie Ekonomicznym TPP</w:t>
      </w:r>
      <w:r w:rsidRPr="000E5283">
        <w:rPr>
          <w:rFonts w:cstheme="minorHAnsi"/>
        </w:rPr>
        <w:t>, w tym</w:t>
      </w:r>
      <w:r w:rsidR="00FC452C" w:rsidRPr="000E5283">
        <w:rPr>
          <w:rFonts w:cstheme="minorHAnsi"/>
        </w:rPr>
        <w:t xml:space="preserve"> e-handel, przepływ danych, ochrona własności intelektualnej, usprawnienie reguł pochodzenia. </w:t>
      </w:r>
      <w:r w:rsidR="00E30AA0" w:rsidRPr="000E5283">
        <w:rPr>
          <w:rFonts w:cstheme="minorHAnsi"/>
        </w:rPr>
        <w:t xml:space="preserve">W ostatnich latach w umowie dokonano zmian, które </w:t>
      </w:r>
      <w:r w:rsidR="00FC452C" w:rsidRPr="000E5283">
        <w:rPr>
          <w:rFonts w:cstheme="minorHAnsi"/>
        </w:rPr>
        <w:t xml:space="preserve">wzmocniły zapisy dotyczące ochrony środowiska i rynku pracy, a także egzekwowania umowy i procedury rozstrzygania sporów. USMCA jest pierwszą umową handlową wspieraną przez amerykański związek zawodowy AFL-CIO, co </w:t>
      </w:r>
      <w:r w:rsidR="00E30AA0" w:rsidRPr="000E5283">
        <w:rPr>
          <w:rFonts w:cstheme="minorHAnsi"/>
        </w:rPr>
        <w:t>wskazuje na</w:t>
      </w:r>
      <w:r w:rsidR="00FC452C" w:rsidRPr="000E5283">
        <w:rPr>
          <w:rFonts w:cstheme="minorHAnsi"/>
        </w:rPr>
        <w:t xml:space="preserve"> jej potencjał w zakresie wysokich standardó</w:t>
      </w:r>
      <w:r w:rsidR="00E30AA0" w:rsidRPr="000E5283">
        <w:rPr>
          <w:rFonts w:cstheme="minorHAnsi"/>
        </w:rPr>
        <w:t>w pracy i sprawiedliwych płac. Według p</w:t>
      </w:r>
      <w:r w:rsidR="00FC452C" w:rsidRPr="000E5283">
        <w:rPr>
          <w:rFonts w:cstheme="minorHAnsi"/>
        </w:rPr>
        <w:t>rezydent</w:t>
      </w:r>
      <w:r w:rsidR="00D80ACA" w:rsidRPr="000E5283">
        <w:rPr>
          <w:rFonts w:cstheme="minorHAnsi"/>
        </w:rPr>
        <w:t>a</w:t>
      </w:r>
      <w:r w:rsidR="00FC452C" w:rsidRPr="000E5283">
        <w:rPr>
          <w:rFonts w:cstheme="minorHAnsi"/>
        </w:rPr>
        <w:t xml:space="preserve"> Biden</w:t>
      </w:r>
      <w:r w:rsidR="00E30AA0" w:rsidRPr="000E5283">
        <w:rPr>
          <w:rFonts w:cstheme="minorHAnsi"/>
        </w:rPr>
        <w:t>a</w:t>
      </w:r>
      <w:r w:rsidR="00FC452C" w:rsidRPr="000E5283">
        <w:rPr>
          <w:rFonts w:cstheme="minorHAnsi"/>
        </w:rPr>
        <w:t xml:space="preserve"> nowa umowa jest lepsza od NAFTA i najwyższym priorytetem jego administracji </w:t>
      </w:r>
      <w:r w:rsidR="00E30AA0" w:rsidRPr="000E5283">
        <w:rPr>
          <w:rFonts w:cstheme="minorHAnsi"/>
        </w:rPr>
        <w:t>było</w:t>
      </w:r>
      <w:r w:rsidR="00FC452C" w:rsidRPr="000E5283">
        <w:rPr>
          <w:rFonts w:cstheme="minorHAnsi"/>
        </w:rPr>
        <w:t xml:space="preserve"> pełne egzekwowanie postanowień USMCA oraz zapewnienie, że przynosi ona korzyści amerykańskim pracownikom.  </w:t>
      </w:r>
    </w:p>
    <w:p w14:paraId="11AD2256" w14:textId="77777777" w:rsidR="00FC452C" w:rsidRPr="000E5283" w:rsidRDefault="00141EC8" w:rsidP="0002265B">
      <w:pPr>
        <w:spacing w:before="240" w:after="120" w:line="264" w:lineRule="auto"/>
        <w:ind w:left="360"/>
        <w:outlineLvl w:val="3"/>
        <w:rPr>
          <w:rFonts w:cstheme="minorHAnsi"/>
          <w:b/>
        </w:rPr>
      </w:pPr>
      <w:r w:rsidRPr="000E5283">
        <w:rPr>
          <w:rFonts w:cstheme="minorHAnsi"/>
          <w:b/>
        </w:rPr>
        <w:t>5.5</w:t>
      </w:r>
      <w:r w:rsidR="00FC452C" w:rsidRPr="000E5283">
        <w:rPr>
          <w:rFonts w:cstheme="minorHAnsi"/>
          <w:b/>
        </w:rPr>
        <w:t>. Organizacja Państw Amerykańskich (OAS)</w:t>
      </w:r>
    </w:p>
    <w:p w14:paraId="3A0AE5A1" w14:textId="77777777" w:rsidR="00FC452C" w:rsidRPr="000E5283" w:rsidRDefault="00FC452C" w:rsidP="00A71497">
      <w:pPr>
        <w:spacing w:before="240" w:after="120" w:line="264" w:lineRule="auto"/>
        <w:jc w:val="both"/>
        <w:outlineLvl w:val="3"/>
        <w:rPr>
          <w:rFonts w:cstheme="minorHAnsi"/>
        </w:rPr>
      </w:pPr>
      <w:r w:rsidRPr="000E5283">
        <w:rPr>
          <w:rFonts w:cstheme="minorHAnsi"/>
        </w:rPr>
        <w:t xml:space="preserve">Stany Zjednoczone od dziesięcioleci </w:t>
      </w:r>
      <w:r w:rsidR="00E430CF" w:rsidRPr="000E5283">
        <w:rPr>
          <w:rFonts w:cstheme="minorHAnsi"/>
        </w:rPr>
        <w:t>dążą</w:t>
      </w:r>
      <w:r w:rsidRPr="000E5283">
        <w:rPr>
          <w:rFonts w:cstheme="minorHAnsi"/>
        </w:rPr>
        <w:t xml:space="preserve"> do zacieśnienia współpracy gospodarczej z krajami Ameryki Łacińskiej, wykorzystując do tego celu m.in. forum Organizacji Państw Amerykańskich, zrzeszające wszystkie kraje obu Ameryk (z wyjątkiem Kuby). W listopadzie 2021 r. rząd Nikaragui ogłosił zamiar wycofania się z organizacji, </w:t>
      </w:r>
      <w:r w:rsidR="00E30AA0" w:rsidRPr="000E5283">
        <w:rPr>
          <w:rFonts w:cstheme="minorHAnsi"/>
        </w:rPr>
        <w:t>gdy</w:t>
      </w:r>
      <w:r w:rsidRPr="000E5283">
        <w:rPr>
          <w:rFonts w:cstheme="minorHAnsi"/>
        </w:rPr>
        <w:t xml:space="preserve"> został oskarżony o akty represji i sfałszowanie wyborów. Zgromadzenie Ogólne organizacji zagłosowało za potępieniem wyborów. Wycofanie się Nikaragui z </w:t>
      </w:r>
      <w:r w:rsidR="00E430CF" w:rsidRPr="000E5283">
        <w:rPr>
          <w:rFonts w:cstheme="minorHAnsi"/>
        </w:rPr>
        <w:t>OAS</w:t>
      </w:r>
      <w:r w:rsidRPr="000E5283">
        <w:rPr>
          <w:rFonts w:cstheme="minorHAnsi"/>
        </w:rPr>
        <w:t xml:space="preserve"> nie </w:t>
      </w:r>
      <w:r w:rsidR="00E30AA0" w:rsidRPr="000E5283">
        <w:rPr>
          <w:rFonts w:cstheme="minorHAnsi"/>
        </w:rPr>
        <w:t>spowodowało</w:t>
      </w:r>
      <w:r w:rsidRPr="000E5283">
        <w:rPr>
          <w:rFonts w:cstheme="minorHAnsi"/>
        </w:rPr>
        <w:t xml:space="preserve"> spadku znaczenia tej organizacji. USA zdecydowanie wspierają </w:t>
      </w:r>
      <w:r w:rsidR="009B72AD" w:rsidRPr="000E5283">
        <w:rPr>
          <w:rFonts w:cstheme="minorHAnsi"/>
        </w:rPr>
        <w:t>OAS</w:t>
      </w:r>
      <w:r w:rsidRPr="000E5283">
        <w:rPr>
          <w:rFonts w:cstheme="minorHAnsi"/>
        </w:rPr>
        <w:t xml:space="preserve"> jako najważniejszą organizacją regionalną (</w:t>
      </w:r>
      <w:r w:rsidRPr="000E5283">
        <w:rPr>
          <w:rFonts w:cstheme="minorHAnsi"/>
          <w:i/>
        </w:rPr>
        <w:t>primary regional body</w:t>
      </w:r>
      <w:r w:rsidRPr="000E5283">
        <w:rPr>
          <w:rFonts w:cstheme="minorHAnsi"/>
        </w:rPr>
        <w:t xml:space="preserve">). </w:t>
      </w:r>
      <w:r w:rsidR="009B72AD" w:rsidRPr="000E5283">
        <w:rPr>
          <w:rFonts w:cstheme="minorHAnsi"/>
        </w:rPr>
        <w:t>Z uwagi na</w:t>
      </w:r>
      <w:r w:rsidRPr="000E5283">
        <w:rPr>
          <w:rFonts w:cstheme="minorHAnsi"/>
        </w:rPr>
        <w:t xml:space="preserve"> fakt, iż szybkie powstanie Amerykańskiego Obszaru Wolnego Handlu (</w:t>
      </w:r>
      <w:r w:rsidRPr="000E5283">
        <w:rPr>
          <w:rFonts w:cstheme="minorHAnsi"/>
          <w:i/>
        </w:rPr>
        <w:t>Free Trade Area of the Americas, FTAA</w:t>
      </w:r>
      <w:r w:rsidRPr="000E5283">
        <w:rPr>
          <w:rFonts w:cstheme="minorHAnsi"/>
        </w:rPr>
        <w:t xml:space="preserve">) nie jest możliwe, </w:t>
      </w:r>
      <w:r w:rsidR="00E30AA0" w:rsidRPr="000E5283">
        <w:rPr>
          <w:rFonts w:cstheme="minorHAnsi"/>
        </w:rPr>
        <w:t>USA</w:t>
      </w:r>
      <w:r w:rsidRPr="000E5283">
        <w:rPr>
          <w:rFonts w:cstheme="minorHAnsi"/>
        </w:rPr>
        <w:t xml:space="preserve"> </w:t>
      </w:r>
      <w:r w:rsidR="009B72AD" w:rsidRPr="000E5283">
        <w:rPr>
          <w:rFonts w:cstheme="minorHAnsi"/>
        </w:rPr>
        <w:t>praktykują</w:t>
      </w:r>
      <w:r w:rsidRPr="000E5283">
        <w:rPr>
          <w:rFonts w:cstheme="minorHAnsi"/>
        </w:rPr>
        <w:t xml:space="preserve"> zawieranie dwustronnych umów o wolnym handlu z poszczególnymi krajami regionu. Umowy takie podpisano z </w:t>
      </w:r>
      <w:r w:rsidRPr="000E5283">
        <w:rPr>
          <w:rFonts w:eastAsia="Times New Roman" w:cstheme="minorHAnsi"/>
          <w:color w:val="1B1B1B"/>
          <w:lang w:eastAsia="pl-PL"/>
        </w:rPr>
        <w:t>K</w:t>
      </w:r>
      <w:r w:rsidR="009B72AD" w:rsidRPr="000E5283">
        <w:rPr>
          <w:rFonts w:eastAsia="Times New Roman" w:cstheme="minorHAnsi"/>
          <w:color w:val="1B1B1B"/>
          <w:lang w:eastAsia="pl-PL"/>
        </w:rPr>
        <w:t>olumbią</w:t>
      </w:r>
      <w:r w:rsidR="009B72AD" w:rsidRPr="000E5283">
        <w:rPr>
          <w:rFonts w:cstheme="minorHAnsi"/>
        </w:rPr>
        <w:t xml:space="preserve">, Panamą, Chile i Peru. </w:t>
      </w:r>
      <w:r w:rsidRPr="000E5283">
        <w:rPr>
          <w:rFonts w:cstheme="minorHAnsi"/>
        </w:rPr>
        <w:t xml:space="preserve">Obecnie nie </w:t>
      </w:r>
      <w:r w:rsidR="00E30AA0" w:rsidRPr="000E5283">
        <w:rPr>
          <w:rFonts w:cstheme="minorHAnsi"/>
        </w:rPr>
        <w:t>są prowadzone</w:t>
      </w:r>
      <w:r w:rsidRPr="000E5283">
        <w:rPr>
          <w:rFonts w:cstheme="minorHAnsi"/>
        </w:rPr>
        <w:t xml:space="preserve"> żadne zaawansowane rozmowy w sprawie kolejnych umów o wolnym handlu w tym regionie, jednakże administracja </w:t>
      </w:r>
      <w:r w:rsidR="009B72AD" w:rsidRPr="000E5283">
        <w:rPr>
          <w:rFonts w:cstheme="minorHAnsi"/>
        </w:rPr>
        <w:t xml:space="preserve">USA </w:t>
      </w:r>
      <w:r w:rsidRPr="000E5283">
        <w:rPr>
          <w:rFonts w:cstheme="minorHAnsi"/>
        </w:rPr>
        <w:t>mając na uwadze rozszerzające się wpływy Chin w Ameryce Łacińskiej, traktuje relacje z tym regionem priorytetowo.</w:t>
      </w:r>
    </w:p>
    <w:p w14:paraId="4F1827A8" w14:textId="77777777" w:rsidR="00FC452C" w:rsidRPr="000E5283" w:rsidRDefault="00141EC8" w:rsidP="0002265B">
      <w:pPr>
        <w:spacing w:before="240" w:after="120" w:line="264" w:lineRule="auto"/>
        <w:ind w:left="360"/>
        <w:outlineLvl w:val="3"/>
        <w:rPr>
          <w:rFonts w:cstheme="minorHAnsi"/>
          <w:b/>
        </w:rPr>
      </w:pPr>
      <w:r w:rsidRPr="000E5283">
        <w:rPr>
          <w:rFonts w:cstheme="minorHAnsi"/>
          <w:b/>
        </w:rPr>
        <w:t>5.6</w:t>
      </w:r>
      <w:r w:rsidR="00FC452C" w:rsidRPr="000E5283">
        <w:rPr>
          <w:rFonts w:cstheme="minorHAnsi"/>
          <w:b/>
        </w:rPr>
        <w:t xml:space="preserve">. Organizacja Współpracy Gospodarczej Azji i </w:t>
      </w:r>
      <w:r w:rsidR="00B97691" w:rsidRPr="000E5283">
        <w:rPr>
          <w:rFonts w:cstheme="minorHAnsi"/>
          <w:b/>
        </w:rPr>
        <w:t xml:space="preserve">Pacyfiku (APEC), </w:t>
      </w:r>
      <w:r w:rsidR="00FC452C" w:rsidRPr="000E5283">
        <w:rPr>
          <w:rFonts w:cstheme="minorHAnsi"/>
          <w:b/>
        </w:rPr>
        <w:t>Transpacyficzne Partnerstwo (TPP)</w:t>
      </w:r>
      <w:r w:rsidR="00EB6CA2" w:rsidRPr="000E5283">
        <w:rPr>
          <w:rFonts w:cstheme="minorHAnsi"/>
          <w:b/>
        </w:rPr>
        <w:t xml:space="preserve"> oraz</w:t>
      </w:r>
      <w:r w:rsidR="00EB6CA2" w:rsidRPr="000E5283">
        <w:rPr>
          <w:rFonts w:cstheme="minorHAnsi"/>
        </w:rPr>
        <w:t xml:space="preserve"> </w:t>
      </w:r>
      <w:r w:rsidR="00EB6CA2" w:rsidRPr="000E5283">
        <w:rPr>
          <w:rFonts w:cstheme="minorHAnsi"/>
          <w:b/>
        </w:rPr>
        <w:t>Inicjatywa Indo-Pacyficznych Ram Gospodarczych na rzecz Dobrobytu (IPEF)</w:t>
      </w:r>
    </w:p>
    <w:p w14:paraId="6CB62D86" w14:textId="77777777" w:rsidR="00A011BF" w:rsidRPr="000E5283" w:rsidRDefault="00FC452C" w:rsidP="00A71497">
      <w:pPr>
        <w:spacing w:before="240" w:after="120" w:line="264" w:lineRule="auto"/>
        <w:jc w:val="both"/>
        <w:outlineLvl w:val="3"/>
        <w:rPr>
          <w:rFonts w:cstheme="minorHAnsi"/>
        </w:rPr>
      </w:pPr>
      <w:r w:rsidRPr="000E5283">
        <w:rPr>
          <w:rFonts w:cstheme="minorHAnsi"/>
        </w:rPr>
        <w:lastRenderedPageBreak/>
        <w:t xml:space="preserve">Dla Stanów Zjednoczonych kraje APEC są znaczącym partnerem handlowym. Państwa członkowskie APEC są ważnym kierunkiem amerykańskiego eksportu. </w:t>
      </w:r>
      <w:r w:rsidR="00DE59A6" w:rsidRPr="000E5283">
        <w:rPr>
          <w:rFonts w:cstheme="minorHAnsi"/>
        </w:rPr>
        <w:t xml:space="preserve">Eksport towarów z USA do APEC w 2023 r. wyniósł 1,2 bln </w:t>
      </w:r>
      <w:r w:rsidR="00DE59A6" w:rsidRPr="000E5283">
        <w:rPr>
          <w:rFonts w:eastAsia="Times New Roman" w:cstheme="minorHAnsi"/>
          <w:color w:val="1B1B1B"/>
          <w:lang w:eastAsia="pl-PL"/>
        </w:rPr>
        <w:t>USD</w:t>
      </w:r>
      <w:r w:rsidR="00DE59A6" w:rsidRPr="000E5283">
        <w:rPr>
          <w:rFonts w:cstheme="minorHAnsi"/>
        </w:rPr>
        <w:t>, co oznacza spadek o 2,5% (31,3 mld USD) w porównaniu z 2022 r., ale wzrost o 25% w porównaniu z 2013 r. Eksport z USA do APEC stanowi 59% całkowitego eksportu USA w 2023 r. Import</w:t>
      </w:r>
      <w:r w:rsidR="00A011BF" w:rsidRPr="000E5283">
        <w:rPr>
          <w:rFonts w:cstheme="minorHAnsi"/>
        </w:rPr>
        <w:t xml:space="preserve"> towarów z państw APEC do USA wyniósł 2,0 bln USD w 2023 r., co oznacza spadek o 6,6% (143,0 mld USD) w porównaniu z 2022 r., ale wzrost o 37% w porównaniu z 2013 r. Import </w:t>
      </w:r>
      <w:r w:rsidR="00C95251" w:rsidRPr="000E5283">
        <w:rPr>
          <w:rFonts w:cstheme="minorHAnsi"/>
        </w:rPr>
        <w:t xml:space="preserve">z APEC </w:t>
      </w:r>
      <w:r w:rsidR="00A011BF" w:rsidRPr="000E5283">
        <w:rPr>
          <w:rFonts w:cstheme="minorHAnsi"/>
        </w:rPr>
        <w:t>do USA stanowi</w:t>
      </w:r>
      <w:r w:rsidR="00DE59A6" w:rsidRPr="000E5283">
        <w:rPr>
          <w:rFonts w:cstheme="minorHAnsi"/>
        </w:rPr>
        <w:t>ł</w:t>
      </w:r>
      <w:r w:rsidR="00A011BF" w:rsidRPr="000E5283">
        <w:rPr>
          <w:rFonts w:cstheme="minorHAnsi"/>
        </w:rPr>
        <w:t xml:space="preserve"> 65,1% całkowitego importu USA w 2023 r.</w:t>
      </w:r>
      <w:r w:rsidR="00DE59A6" w:rsidRPr="000E5283">
        <w:rPr>
          <w:rFonts w:cstheme="minorHAnsi"/>
        </w:rPr>
        <w:t xml:space="preserve"> </w:t>
      </w:r>
      <w:r w:rsidR="00A011BF" w:rsidRPr="000E5283">
        <w:rPr>
          <w:rFonts w:cstheme="minorHAnsi"/>
        </w:rPr>
        <w:t xml:space="preserve">Deficyt w handlu towarami USA z APEC wyniósł 818,5 mld USD w 2023 r., co oznacza spadek o 12% (111,7 mld USD) w stosunku do 2022 r. </w:t>
      </w:r>
    </w:p>
    <w:p w14:paraId="23FD5130" w14:textId="77777777" w:rsidR="00811AC0" w:rsidRPr="000E5283" w:rsidRDefault="00FC452C" w:rsidP="00A71497">
      <w:pPr>
        <w:spacing w:before="240" w:after="120" w:line="264" w:lineRule="auto"/>
        <w:jc w:val="both"/>
        <w:outlineLvl w:val="3"/>
        <w:rPr>
          <w:rFonts w:cstheme="minorHAnsi"/>
        </w:rPr>
      </w:pPr>
      <w:r w:rsidRPr="000E5283">
        <w:rPr>
          <w:rFonts w:cstheme="minorHAnsi"/>
        </w:rPr>
        <w:t xml:space="preserve">W ramach zacieśniania kontaktów gospodarczych z krajami APEC Stany Zjednoczone podpisały umowy o wolnym handlu z następującymi państwami tego ugrupowania: Australia, Chile, Kanada, Meksyk, Peru i Singapur. </w:t>
      </w:r>
      <w:r w:rsidRPr="000E5283">
        <w:rPr>
          <w:rFonts w:cstheme="minorHAnsi"/>
          <w:b/>
        </w:rPr>
        <w:t xml:space="preserve">W 2010 r. USA rozpoczęły rozmowy </w:t>
      </w:r>
      <w:r w:rsidR="00141EC8" w:rsidRPr="000E5283">
        <w:rPr>
          <w:rFonts w:cstheme="minorHAnsi"/>
          <w:b/>
        </w:rPr>
        <w:t>nt.</w:t>
      </w:r>
      <w:r w:rsidRPr="000E5283">
        <w:rPr>
          <w:rFonts w:cstheme="minorHAnsi"/>
          <w:b/>
        </w:rPr>
        <w:t xml:space="preserve"> utworzenia Transpacyficznego Partnerstwa Ekonomicznego (</w:t>
      </w:r>
      <w:r w:rsidRPr="000E5283">
        <w:rPr>
          <w:rFonts w:cstheme="minorHAnsi"/>
          <w:b/>
          <w:i/>
        </w:rPr>
        <w:t>Trans-Pacific Strategic Economic Partnership, TPP</w:t>
      </w:r>
      <w:r w:rsidRPr="000E5283">
        <w:rPr>
          <w:rFonts w:cstheme="minorHAnsi"/>
          <w:b/>
        </w:rPr>
        <w:t>)</w:t>
      </w:r>
      <w:r w:rsidRPr="000E5283">
        <w:rPr>
          <w:rFonts w:cstheme="minorHAnsi"/>
        </w:rPr>
        <w:t xml:space="preserve">, obejmującego 11 państw regionu. W negocjacjach oprócz USA uczestniczyły także Australia, Brunei, Chile, Japonia, Kanada, Malezja, Meksyk, Nowa Zelandia, Peru, Singapur i Wietnam. Umowę podpisano 5 października 2015 r. Stany </w:t>
      </w:r>
      <w:r w:rsidRPr="000E5283">
        <w:rPr>
          <w:rFonts w:eastAsia="Times New Roman" w:cstheme="minorHAnsi"/>
          <w:color w:val="1B1B1B"/>
          <w:lang w:eastAsia="pl-PL"/>
        </w:rPr>
        <w:t>Zjednoczone</w:t>
      </w:r>
      <w:r w:rsidRPr="000E5283">
        <w:rPr>
          <w:rFonts w:cstheme="minorHAnsi"/>
        </w:rPr>
        <w:t xml:space="preserve"> nie ratyfikowały jednak tego porozumienia, a </w:t>
      </w:r>
      <w:r w:rsidR="00141EC8" w:rsidRPr="000E5283">
        <w:rPr>
          <w:rFonts w:cstheme="minorHAnsi"/>
          <w:b/>
        </w:rPr>
        <w:t xml:space="preserve">23 styczna 2017 r. Prezydent Trump podpisał memorandum ws. </w:t>
      </w:r>
      <w:r w:rsidRPr="000E5283">
        <w:rPr>
          <w:rFonts w:cstheme="minorHAnsi"/>
          <w:b/>
        </w:rPr>
        <w:t>wycofania się USA z TPP</w:t>
      </w:r>
      <w:r w:rsidRPr="000E5283">
        <w:rPr>
          <w:rFonts w:cstheme="minorHAnsi"/>
        </w:rPr>
        <w:t xml:space="preserve">. Pozostałe państwa członkowskie kontynuowały działania integracyjne i podpisały umowę nazwaną Wszechstronne i Postępowe Partnerstwo Transpacyficzne (CPTPP), która weszła w życie 30 grudnia 2018 r. </w:t>
      </w:r>
    </w:p>
    <w:p w14:paraId="48205A4E" w14:textId="77777777" w:rsidR="00811AC0" w:rsidRPr="000E5283" w:rsidRDefault="00FC452C" w:rsidP="00A71497">
      <w:pPr>
        <w:spacing w:before="240" w:after="120" w:line="264" w:lineRule="auto"/>
        <w:jc w:val="both"/>
        <w:outlineLvl w:val="3"/>
        <w:rPr>
          <w:rFonts w:cstheme="minorHAnsi"/>
        </w:rPr>
      </w:pPr>
      <w:r w:rsidRPr="000E5283">
        <w:rPr>
          <w:rFonts w:cstheme="minorHAnsi"/>
        </w:rPr>
        <w:t>Po wycofaniu się z TPP</w:t>
      </w:r>
      <w:r w:rsidR="00811AC0" w:rsidRPr="000E5283">
        <w:rPr>
          <w:rFonts w:cstheme="minorHAnsi"/>
        </w:rPr>
        <w:t>,</w:t>
      </w:r>
      <w:r w:rsidRPr="000E5283">
        <w:rPr>
          <w:rFonts w:cstheme="minorHAnsi"/>
        </w:rPr>
        <w:t xml:space="preserve"> USA dążyły do zawarcia dwustronnej umowy handlowej z największą gospodarką tego ugrupowania, czyli z Japonią. We wrześniu 2019 r. </w:t>
      </w:r>
      <w:r w:rsidR="006721D8" w:rsidRPr="000E5283">
        <w:rPr>
          <w:rFonts w:cstheme="minorHAnsi"/>
        </w:rPr>
        <w:t>zawarto dwa</w:t>
      </w:r>
      <w:r w:rsidRPr="000E5283">
        <w:rPr>
          <w:rFonts w:cstheme="minorHAnsi"/>
        </w:rPr>
        <w:t xml:space="preserve"> porozumie</w:t>
      </w:r>
      <w:r w:rsidR="006721D8" w:rsidRPr="000E5283">
        <w:rPr>
          <w:rFonts w:cstheme="minorHAnsi"/>
        </w:rPr>
        <w:t>nia pomiędzy USA i Japonią</w:t>
      </w:r>
      <w:r w:rsidRPr="000E5283">
        <w:rPr>
          <w:rFonts w:cstheme="minorHAnsi"/>
        </w:rPr>
        <w:t xml:space="preserve"> </w:t>
      </w:r>
      <w:r w:rsidR="00811AC0" w:rsidRPr="000E5283">
        <w:rPr>
          <w:rFonts w:cstheme="minorHAnsi"/>
        </w:rPr>
        <w:t>ws.</w:t>
      </w:r>
      <w:r w:rsidRPr="000E5283">
        <w:rPr>
          <w:rFonts w:cstheme="minorHAnsi"/>
        </w:rPr>
        <w:t xml:space="preserve"> liberalizacji handlu artykułami rolno-spożywczymi oraz </w:t>
      </w:r>
      <w:r w:rsidR="00811AC0" w:rsidRPr="000E5283">
        <w:rPr>
          <w:rFonts w:cstheme="minorHAnsi"/>
        </w:rPr>
        <w:t>ws.</w:t>
      </w:r>
      <w:r w:rsidRPr="000E5283">
        <w:rPr>
          <w:rFonts w:cstheme="minorHAnsi"/>
        </w:rPr>
        <w:t xml:space="preserve"> handlu elektroniczn</w:t>
      </w:r>
      <w:r w:rsidR="00811AC0" w:rsidRPr="000E5283">
        <w:rPr>
          <w:rFonts w:cstheme="minorHAnsi"/>
        </w:rPr>
        <w:t>ego</w:t>
      </w:r>
      <w:r w:rsidRPr="000E5283">
        <w:rPr>
          <w:rFonts w:cstheme="minorHAnsi"/>
        </w:rPr>
        <w:t xml:space="preserve"> (cyfrow</w:t>
      </w:r>
      <w:r w:rsidR="00811AC0" w:rsidRPr="000E5283">
        <w:rPr>
          <w:rFonts w:cstheme="minorHAnsi"/>
        </w:rPr>
        <w:t>ego</w:t>
      </w:r>
      <w:r w:rsidRPr="000E5283">
        <w:rPr>
          <w:rFonts w:cstheme="minorHAnsi"/>
        </w:rPr>
        <w:t xml:space="preserve">). </w:t>
      </w:r>
      <w:r w:rsidR="00811AC0" w:rsidRPr="000E5283">
        <w:rPr>
          <w:rFonts w:cstheme="minorHAnsi"/>
        </w:rPr>
        <w:t xml:space="preserve">W 2023 r. USA i Japonia podpisały umowę ws. minerałów krytycznych (CMA). Partnerzy kontynuują również zaangażowanie w kwestie handlowe poprzez inicjatywy takie jak amerykańsko-japońskie partnerstwo w obszarze handlu. </w:t>
      </w:r>
    </w:p>
    <w:p w14:paraId="1C354133" w14:textId="39FFDEAD" w:rsidR="00FC452C" w:rsidRPr="000E5283" w:rsidRDefault="00811AC0" w:rsidP="00A71497">
      <w:pPr>
        <w:spacing w:before="240" w:after="120" w:line="264" w:lineRule="auto"/>
        <w:jc w:val="both"/>
        <w:outlineLvl w:val="3"/>
        <w:rPr>
          <w:rFonts w:cstheme="minorHAnsi"/>
        </w:rPr>
      </w:pPr>
      <w:r w:rsidRPr="000E5283">
        <w:rPr>
          <w:rFonts w:cstheme="minorHAnsi"/>
          <w:b/>
        </w:rPr>
        <w:t xml:space="preserve">Administracja </w:t>
      </w:r>
      <w:r w:rsidR="00FC452C" w:rsidRPr="000E5283">
        <w:rPr>
          <w:rFonts w:cstheme="minorHAnsi"/>
          <w:b/>
        </w:rPr>
        <w:t>Biden</w:t>
      </w:r>
      <w:r w:rsidRPr="000E5283">
        <w:rPr>
          <w:rFonts w:cstheme="minorHAnsi"/>
          <w:b/>
        </w:rPr>
        <w:t>a</w:t>
      </w:r>
      <w:r w:rsidR="00FC452C" w:rsidRPr="000E5283">
        <w:rPr>
          <w:rFonts w:cstheme="minorHAnsi"/>
          <w:b/>
        </w:rPr>
        <w:t xml:space="preserve"> nie </w:t>
      </w:r>
      <w:r w:rsidRPr="000E5283">
        <w:rPr>
          <w:rFonts w:cstheme="minorHAnsi"/>
          <w:b/>
        </w:rPr>
        <w:t>podjęła</w:t>
      </w:r>
      <w:r w:rsidR="00FC452C" w:rsidRPr="000E5283">
        <w:rPr>
          <w:rFonts w:cstheme="minorHAnsi"/>
          <w:b/>
        </w:rPr>
        <w:t xml:space="preserve"> negocjacji zmierzających do przyłączenia USA do CPTPP</w:t>
      </w:r>
      <w:r w:rsidR="00FC452C" w:rsidRPr="000E5283">
        <w:rPr>
          <w:rFonts w:cstheme="minorHAnsi"/>
        </w:rPr>
        <w:t xml:space="preserve">, co spotkało się z </w:t>
      </w:r>
      <w:r w:rsidR="00FC452C" w:rsidRPr="000E5283">
        <w:rPr>
          <w:rFonts w:eastAsia="Times New Roman" w:cstheme="minorHAnsi"/>
          <w:color w:val="1B1B1B"/>
          <w:lang w:eastAsia="pl-PL"/>
        </w:rPr>
        <w:t>niezadowoleniem</w:t>
      </w:r>
      <w:r w:rsidR="00FC452C" w:rsidRPr="000E5283">
        <w:rPr>
          <w:rFonts w:cstheme="minorHAnsi"/>
        </w:rPr>
        <w:t xml:space="preserve"> oponentów politycznych, ponieważ zdaniem analityków udział USA w transpacyficznym partnerstwie pozwoliłby ograniczyć dominację gospodarczą Chin w tym regionie.</w:t>
      </w:r>
    </w:p>
    <w:p w14:paraId="4212F35B" w14:textId="77777777" w:rsidR="00ED0D2C" w:rsidRPr="000E5283" w:rsidRDefault="0058105C" w:rsidP="00A71497">
      <w:pPr>
        <w:spacing w:before="240" w:after="120" w:line="264" w:lineRule="auto"/>
        <w:jc w:val="both"/>
        <w:outlineLvl w:val="3"/>
        <w:rPr>
          <w:rFonts w:cstheme="minorHAnsi"/>
        </w:rPr>
      </w:pPr>
      <w:r w:rsidRPr="000E5283">
        <w:rPr>
          <w:rFonts w:cstheme="minorHAnsi"/>
          <w:b/>
        </w:rPr>
        <w:t>Inicjatywa Indo-Pacyficznych Ram Gospodarczych na rzecz Dobrobytu (IPEF)</w:t>
      </w:r>
      <w:r w:rsidRPr="000E5283">
        <w:rPr>
          <w:rFonts w:cstheme="minorHAnsi"/>
        </w:rPr>
        <w:t xml:space="preserve"> została zainicjowana w maju 2022 r. przez </w:t>
      </w:r>
      <w:r w:rsidRPr="000E5283">
        <w:rPr>
          <w:rFonts w:eastAsia="Times New Roman" w:cstheme="minorHAnsi"/>
          <w:color w:val="1B1B1B"/>
          <w:lang w:eastAsia="pl-PL"/>
        </w:rPr>
        <w:t>administrację</w:t>
      </w:r>
      <w:r w:rsidRPr="000E5283">
        <w:rPr>
          <w:rFonts w:cstheme="minorHAnsi"/>
        </w:rPr>
        <w:t xml:space="preserve"> Bidena w celu stworzenia ram dla zaangażowania gospodarczego USA w regionie Indo-Pacyfiku dla wzmocnienia więzi z regionem i wsparcia wzrostu gospodarczego. </w:t>
      </w:r>
      <w:r w:rsidR="00D229F2" w:rsidRPr="000E5283">
        <w:rPr>
          <w:rFonts w:cstheme="minorHAnsi"/>
        </w:rPr>
        <w:t>S</w:t>
      </w:r>
      <w:r w:rsidRPr="000E5283">
        <w:rPr>
          <w:rFonts w:cstheme="minorHAnsi"/>
        </w:rPr>
        <w:t xml:space="preserve">tan negocjacji w </w:t>
      </w:r>
      <w:r w:rsidRPr="000E5283">
        <w:rPr>
          <w:rFonts w:eastAsia="Times New Roman" w:cstheme="minorHAnsi"/>
          <w:color w:val="1B1B1B"/>
          <w:lang w:eastAsia="pl-PL"/>
        </w:rPr>
        <w:t>odniesieniu</w:t>
      </w:r>
      <w:r w:rsidRPr="000E5283">
        <w:rPr>
          <w:rFonts w:cstheme="minorHAnsi"/>
        </w:rPr>
        <w:t xml:space="preserve"> do porozumień wchodzących w skład IPEF: </w:t>
      </w:r>
      <w:r w:rsidRPr="000E5283">
        <w:rPr>
          <w:rFonts w:cstheme="minorHAnsi"/>
          <w:b/>
        </w:rPr>
        <w:t>porozumienie ws. handlu</w:t>
      </w:r>
      <w:r w:rsidRPr="000E5283">
        <w:rPr>
          <w:rFonts w:cstheme="minorHAnsi"/>
        </w:rPr>
        <w:t xml:space="preserve"> </w:t>
      </w:r>
      <w:r w:rsidR="00B97691" w:rsidRPr="000E5283">
        <w:rPr>
          <w:rFonts w:cstheme="minorHAnsi"/>
        </w:rPr>
        <w:t xml:space="preserve">(I filar) – </w:t>
      </w:r>
      <w:r w:rsidRPr="000E5283">
        <w:rPr>
          <w:rFonts w:cstheme="minorHAnsi"/>
        </w:rPr>
        <w:t xml:space="preserve">fiasko negocjacji; </w:t>
      </w:r>
      <w:r w:rsidRPr="000E5283">
        <w:rPr>
          <w:rFonts w:cstheme="minorHAnsi"/>
          <w:b/>
        </w:rPr>
        <w:t>porozumienia</w:t>
      </w:r>
      <w:r w:rsidR="00B97691" w:rsidRPr="000E5283">
        <w:rPr>
          <w:rFonts w:cstheme="minorHAnsi"/>
          <w:b/>
        </w:rPr>
        <w:t xml:space="preserve"> ws. łańcuchów dostaw</w:t>
      </w:r>
      <w:r w:rsidR="00B97691" w:rsidRPr="000E5283">
        <w:rPr>
          <w:rFonts w:cstheme="minorHAnsi"/>
        </w:rPr>
        <w:t xml:space="preserve"> (</w:t>
      </w:r>
      <w:r w:rsidRPr="000E5283">
        <w:rPr>
          <w:rFonts w:cstheme="minorHAnsi"/>
        </w:rPr>
        <w:t>II filar</w:t>
      </w:r>
      <w:r w:rsidR="00B97691" w:rsidRPr="000E5283">
        <w:rPr>
          <w:rFonts w:cstheme="minorHAnsi"/>
        </w:rPr>
        <w:t>)</w:t>
      </w:r>
      <w:r w:rsidRPr="000E5283">
        <w:rPr>
          <w:rFonts w:cstheme="minorHAnsi"/>
        </w:rPr>
        <w:t xml:space="preserve">  – podpisane w listopadzie 2023 r. i </w:t>
      </w:r>
      <w:r w:rsidR="002C2582" w:rsidRPr="000E5283">
        <w:rPr>
          <w:rFonts w:cstheme="minorHAnsi"/>
        </w:rPr>
        <w:t>weszło w życie w lutym</w:t>
      </w:r>
      <w:r w:rsidRPr="000E5283">
        <w:rPr>
          <w:rFonts w:cstheme="minorHAnsi"/>
        </w:rPr>
        <w:t xml:space="preserve"> 2024 r.;</w:t>
      </w:r>
      <w:r w:rsidR="00C0099D" w:rsidRPr="000E5283">
        <w:rPr>
          <w:rFonts w:cstheme="minorHAnsi"/>
        </w:rPr>
        <w:t xml:space="preserve"> </w:t>
      </w:r>
      <w:r w:rsidRPr="000E5283">
        <w:rPr>
          <w:rFonts w:cstheme="minorHAnsi"/>
          <w:b/>
        </w:rPr>
        <w:t>porozumienie ws. czystej gospodark</w:t>
      </w:r>
      <w:r w:rsidR="00B97691" w:rsidRPr="000E5283">
        <w:rPr>
          <w:rFonts w:cstheme="minorHAnsi"/>
          <w:b/>
        </w:rPr>
        <w:t>i</w:t>
      </w:r>
      <w:r w:rsidR="00B97691" w:rsidRPr="000E5283">
        <w:rPr>
          <w:rFonts w:cstheme="minorHAnsi"/>
        </w:rPr>
        <w:t xml:space="preserve"> (</w:t>
      </w:r>
      <w:r w:rsidRPr="000E5283">
        <w:rPr>
          <w:rFonts w:cstheme="minorHAnsi"/>
        </w:rPr>
        <w:t>III filar</w:t>
      </w:r>
      <w:r w:rsidR="00B97691" w:rsidRPr="000E5283">
        <w:rPr>
          <w:rFonts w:cstheme="minorHAnsi"/>
        </w:rPr>
        <w:t>)</w:t>
      </w:r>
      <w:r w:rsidRPr="000E5283">
        <w:rPr>
          <w:rFonts w:cstheme="minorHAnsi"/>
        </w:rPr>
        <w:t xml:space="preserve"> – podpisane w czerwcu </w:t>
      </w:r>
      <w:r w:rsidR="00B97691" w:rsidRPr="000E5283">
        <w:rPr>
          <w:rFonts w:cstheme="minorHAnsi"/>
        </w:rPr>
        <w:t>2024 r</w:t>
      </w:r>
      <w:r w:rsidRPr="000E5283">
        <w:rPr>
          <w:rFonts w:cstheme="minorHAnsi"/>
        </w:rPr>
        <w:t>.;</w:t>
      </w:r>
      <w:r w:rsidR="00C0099D" w:rsidRPr="000E5283">
        <w:rPr>
          <w:rFonts w:cstheme="minorHAnsi"/>
        </w:rPr>
        <w:t xml:space="preserve"> </w:t>
      </w:r>
      <w:r w:rsidRPr="000E5283">
        <w:rPr>
          <w:rFonts w:cstheme="minorHAnsi"/>
          <w:b/>
        </w:rPr>
        <w:t>porozumienie w</w:t>
      </w:r>
      <w:r w:rsidR="00B97691" w:rsidRPr="000E5283">
        <w:rPr>
          <w:rFonts w:cstheme="minorHAnsi"/>
          <w:b/>
        </w:rPr>
        <w:t>s. sprawiedliwej gospodarki</w:t>
      </w:r>
      <w:r w:rsidR="00B97691" w:rsidRPr="000E5283">
        <w:rPr>
          <w:rFonts w:cstheme="minorHAnsi"/>
        </w:rPr>
        <w:t xml:space="preserve">  (</w:t>
      </w:r>
      <w:r w:rsidRPr="000E5283">
        <w:rPr>
          <w:rFonts w:cstheme="minorHAnsi"/>
        </w:rPr>
        <w:t>IV filar</w:t>
      </w:r>
      <w:r w:rsidR="00B97691" w:rsidRPr="000E5283">
        <w:rPr>
          <w:rFonts w:cstheme="minorHAnsi"/>
        </w:rPr>
        <w:t>)</w:t>
      </w:r>
      <w:r w:rsidRPr="000E5283">
        <w:rPr>
          <w:rFonts w:cstheme="minorHAnsi"/>
        </w:rPr>
        <w:t xml:space="preserve"> – podpisane w czerwcu </w:t>
      </w:r>
      <w:r w:rsidR="00B97691" w:rsidRPr="000E5283">
        <w:rPr>
          <w:rFonts w:cstheme="minorHAnsi"/>
        </w:rPr>
        <w:t>2024 r</w:t>
      </w:r>
      <w:r w:rsidRPr="000E5283">
        <w:rPr>
          <w:rFonts w:cstheme="minorHAnsi"/>
        </w:rPr>
        <w:t>.;  </w:t>
      </w:r>
      <w:r w:rsidR="00C0099D" w:rsidRPr="000E5283">
        <w:rPr>
          <w:rFonts w:cstheme="minorHAnsi"/>
        </w:rPr>
        <w:t xml:space="preserve">oraz </w:t>
      </w:r>
      <w:r w:rsidRPr="000E5283">
        <w:rPr>
          <w:rFonts w:cstheme="minorHAnsi"/>
          <w:b/>
        </w:rPr>
        <w:t>porozumienie ws. IPEF</w:t>
      </w:r>
      <w:r w:rsidRPr="000E5283">
        <w:rPr>
          <w:rFonts w:cstheme="minorHAnsi"/>
        </w:rPr>
        <w:t xml:space="preserve"> – podpisane w czerwcu </w:t>
      </w:r>
      <w:r w:rsidR="00B97691" w:rsidRPr="000E5283">
        <w:rPr>
          <w:rFonts w:cstheme="minorHAnsi"/>
        </w:rPr>
        <w:t>2024 r</w:t>
      </w:r>
      <w:r w:rsidRPr="000E5283">
        <w:rPr>
          <w:rFonts w:cstheme="minorHAnsi"/>
        </w:rPr>
        <w:t>.</w:t>
      </w:r>
    </w:p>
    <w:p w14:paraId="6C0EBBE1" w14:textId="77777777" w:rsidR="00ED0D2C" w:rsidRPr="000E5283" w:rsidRDefault="00ED0D2C" w:rsidP="0002265B">
      <w:pPr>
        <w:pStyle w:val="Akapitzlist"/>
        <w:numPr>
          <w:ilvl w:val="0"/>
          <w:numId w:val="10"/>
        </w:numPr>
        <w:spacing w:before="240" w:after="120" w:line="264" w:lineRule="auto"/>
        <w:outlineLvl w:val="3"/>
        <w:rPr>
          <w:rFonts w:cstheme="minorHAnsi"/>
          <w:b/>
        </w:rPr>
      </w:pPr>
      <w:r w:rsidRPr="000E5283">
        <w:rPr>
          <w:rFonts w:cstheme="minorHAnsi"/>
          <w:b/>
        </w:rPr>
        <w:t xml:space="preserve">Pozycja kraju w rankingach </w:t>
      </w:r>
    </w:p>
    <w:tbl>
      <w:tblPr>
        <w:tblW w:w="9639" w:type="dxa"/>
        <w:tblCellMar>
          <w:left w:w="70" w:type="dxa"/>
          <w:right w:w="70" w:type="dxa"/>
        </w:tblCellMar>
        <w:tblLook w:val="04A0" w:firstRow="1" w:lastRow="0" w:firstColumn="1" w:lastColumn="0" w:noHBand="0" w:noVBand="1"/>
      </w:tblPr>
      <w:tblGrid>
        <w:gridCol w:w="7371"/>
        <w:gridCol w:w="1134"/>
        <w:gridCol w:w="1134"/>
      </w:tblGrid>
      <w:tr w:rsidR="00ED0D2C" w:rsidRPr="000E5283" w14:paraId="59321944" w14:textId="77777777" w:rsidTr="00A7491B">
        <w:trPr>
          <w:trHeight w:val="312"/>
        </w:trPr>
        <w:tc>
          <w:tcPr>
            <w:tcW w:w="8505" w:type="dxa"/>
            <w:gridSpan w:val="2"/>
            <w:tcBorders>
              <w:top w:val="single" w:sz="4" w:space="0" w:color="auto"/>
              <w:left w:val="single" w:sz="4" w:space="0" w:color="auto"/>
              <w:bottom w:val="single" w:sz="4" w:space="0" w:color="auto"/>
            </w:tcBorders>
            <w:shd w:val="clear" w:color="auto" w:fill="auto"/>
            <w:noWrap/>
            <w:vAlign w:val="bottom"/>
            <w:hideMark/>
          </w:tcPr>
          <w:p w14:paraId="0C4A8E11" w14:textId="77777777" w:rsidR="00ED0D2C" w:rsidRPr="000E5283" w:rsidRDefault="00ED0D2C" w:rsidP="00A7491B">
            <w:pPr>
              <w:spacing w:after="0" w:line="240" w:lineRule="auto"/>
              <w:jc w:val="center"/>
              <w:rPr>
                <w:rFonts w:eastAsia="Times New Roman" w:cstheme="minorHAnsi"/>
                <w:b/>
                <w:bCs/>
                <w:color w:val="000000"/>
                <w:lang w:eastAsia="pl-PL"/>
              </w:rPr>
            </w:pPr>
            <w:r w:rsidRPr="000E5283">
              <w:rPr>
                <w:rFonts w:eastAsia="Times New Roman" w:cstheme="minorHAnsi"/>
                <w:b/>
                <w:bCs/>
                <w:color w:val="000000"/>
                <w:lang w:eastAsia="pl-PL"/>
              </w:rPr>
              <w:t>Pozycja kraju w rankingach</w:t>
            </w:r>
          </w:p>
        </w:tc>
        <w:tc>
          <w:tcPr>
            <w:tcW w:w="1134" w:type="dxa"/>
            <w:tcBorders>
              <w:top w:val="single" w:sz="4" w:space="0" w:color="auto"/>
              <w:bottom w:val="single" w:sz="4" w:space="0" w:color="auto"/>
              <w:right w:val="single" w:sz="4" w:space="0" w:color="auto"/>
            </w:tcBorders>
            <w:shd w:val="clear" w:color="auto" w:fill="auto"/>
            <w:noWrap/>
            <w:vAlign w:val="bottom"/>
            <w:hideMark/>
          </w:tcPr>
          <w:p w14:paraId="2338E83C" w14:textId="77777777" w:rsidR="00ED0D2C" w:rsidRPr="000E5283" w:rsidRDefault="00ED0D2C" w:rsidP="00A7491B">
            <w:pPr>
              <w:spacing w:after="0" w:line="240" w:lineRule="auto"/>
              <w:jc w:val="center"/>
              <w:rPr>
                <w:rFonts w:eastAsia="Times New Roman" w:cstheme="minorHAnsi"/>
                <w:b/>
                <w:bCs/>
                <w:color w:val="000000"/>
                <w:lang w:eastAsia="pl-PL"/>
              </w:rPr>
            </w:pPr>
          </w:p>
        </w:tc>
      </w:tr>
      <w:tr w:rsidR="00ED0D2C" w:rsidRPr="000E5283" w14:paraId="77733568" w14:textId="77777777" w:rsidTr="00A7491B">
        <w:trPr>
          <w:trHeight w:val="312"/>
        </w:trPr>
        <w:tc>
          <w:tcPr>
            <w:tcW w:w="7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02CE0" w14:textId="77777777" w:rsidR="00ED0D2C" w:rsidRPr="000E5283" w:rsidRDefault="00ED0D2C" w:rsidP="00A7491B">
            <w:pPr>
              <w:spacing w:after="0" w:line="240" w:lineRule="auto"/>
              <w:jc w:val="center"/>
              <w:rPr>
                <w:rFonts w:eastAsia="Times New Roman" w:cstheme="minorHAnsi"/>
                <w:bCs/>
                <w:color w:val="000000"/>
                <w:lang w:eastAsia="pl-PL"/>
              </w:rPr>
            </w:pPr>
            <w:r w:rsidRPr="000E5283">
              <w:rPr>
                <w:rFonts w:eastAsia="Times New Roman" w:cstheme="minorHAnsi"/>
                <w:bCs/>
                <w:color w:val="000000"/>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C69227" w14:textId="77777777" w:rsidR="00ED0D2C" w:rsidRPr="000E5283" w:rsidRDefault="00ED0D2C" w:rsidP="00A7491B">
            <w:pPr>
              <w:spacing w:after="0" w:line="240" w:lineRule="auto"/>
              <w:jc w:val="center"/>
              <w:rPr>
                <w:rFonts w:eastAsia="Times New Roman" w:cstheme="minorHAnsi"/>
                <w:bCs/>
                <w:color w:val="000000"/>
                <w:lang w:eastAsia="pl-PL"/>
              </w:rPr>
            </w:pPr>
            <w:r w:rsidRPr="000E5283">
              <w:rPr>
                <w:rFonts w:eastAsia="Times New Roman" w:cstheme="minorHAnsi"/>
                <w:bCs/>
                <w:color w:val="000000"/>
                <w:lang w:eastAsia="pl-PL"/>
              </w:rPr>
              <w:t> pkt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E1908C" w14:textId="77777777" w:rsidR="00ED0D2C" w:rsidRPr="000E5283" w:rsidRDefault="00ED0D2C" w:rsidP="00A7491B">
            <w:pPr>
              <w:spacing w:after="0" w:line="240" w:lineRule="auto"/>
              <w:rPr>
                <w:rFonts w:eastAsia="Times New Roman" w:cstheme="minorHAnsi"/>
                <w:color w:val="000000"/>
                <w:lang w:eastAsia="pl-PL"/>
              </w:rPr>
            </w:pPr>
            <w:r w:rsidRPr="000E5283">
              <w:rPr>
                <w:rFonts w:eastAsia="Times New Roman" w:cstheme="minorHAnsi"/>
                <w:color w:val="000000"/>
                <w:lang w:eastAsia="pl-PL"/>
              </w:rPr>
              <w:t> pozycja</w:t>
            </w:r>
          </w:p>
        </w:tc>
      </w:tr>
      <w:tr w:rsidR="00ED0D2C" w:rsidRPr="000E5283" w14:paraId="655B4F02" w14:textId="77777777" w:rsidTr="00A7491B">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19D4BBDD" w14:textId="77777777" w:rsidR="00ED0D2C" w:rsidRPr="000E5283" w:rsidRDefault="00133CF4" w:rsidP="00A7491B">
            <w:pPr>
              <w:spacing w:after="0" w:line="240" w:lineRule="auto"/>
              <w:rPr>
                <w:rFonts w:eastAsia="Times New Roman" w:cstheme="minorHAnsi"/>
                <w:color w:val="000000"/>
                <w:lang w:val="en-US" w:eastAsia="pl-PL"/>
              </w:rPr>
            </w:pPr>
            <w:hyperlink r:id="rId25" w:history="1">
              <w:r w:rsidR="00ED0D2C" w:rsidRPr="000E5283">
                <w:rPr>
                  <w:rStyle w:val="Hipercze"/>
                  <w:rFonts w:eastAsia="Times New Roman" w:cstheme="minorHAnsi"/>
                  <w:lang w:val="en-US" w:eastAsia="pl-PL"/>
                </w:rPr>
                <w:t>Corruption Perception Index</w:t>
              </w:r>
            </w:hyperlink>
            <w:r w:rsidR="00ED0D2C" w:rsidRPr="000E5283">
              <w:rPr>
                <w:rFonts w:eastAsia="Times New Roman" w:cstheme="minorHAnsi"/>
                <w:color w:val="000000"/>
                <w:lang w:val="en-US" w:eastAsia="pl-PL"/>
              </w:rPr>
              <w:t xml:space="preserve"> (Transparency International)</w:t>
            </w:r>
          </w:p>
        </w:tc>
        <w:tc>
          <w:tcPr>
            <w:tcW w:w="1134" w:type="dxa"/>
            <w:tcBorders>
              <w:top w:val="nil"/>
              <w:left w:val="nil"/>
              <w:bottom w:val="single" w:sz="4" w:space="0" w:color="auto"/>
              <w:right w:val="single" w:sz="4" w:space="0" w:color="auto"/>
            </w:tcBorders>
            <w:shd w:val="clear" w:color="auto" w:fill="auto"/>
            <w:noWrap/>
            <w:vAlign w:val="bottom"/>
            <w:hideMark/>
          </w:tcPr>
          <w:p w14:paraId="1137C21D" w14:textId="77777777" w:rsidR="00ED0D2C" w:rsidRPr="000E5283" w:rsidRDefault="00ED0D2C" w:rsidP="00A7491B">
            <w:pPr>
              <w:spacing w:after="0" w:line="240" w:lineRule="auto"/>
              <w:rPr>
                <w:rFonts w:eastAsia="Times New Roman" w:cstheme="minorHAnsi"/>
                <w:color w:val="000000"/>
                <w:lang w:val="en-US" w:eastAsia="pl-PL"/>
              </w:rPr>
            </w:pPr>
            <w:r w:rsidRPr="000E5283">
              <w:rPr>
                <w:rFonts w:eastAsia="Times New Roman" w:cstheme="minorHAnsi"/>
                <w:color w:val="000000"/>
                <w:lang w:val="en-US" w:eastAsia="pl-PL"/>
              </w:rPr>
              <w:t> </w:t>
            </w:r>
            <w:r w:rsidR="00CA1089" w:rsidRPr="000E5283">
              <w:rPr>
                <w:rFonts w:eastAsia="Times New Roman" w:cstheme="minorHAnsi"/>
                <w:color w:val="000000"/>
                <w:lang w:val="en-US" w:eastAsia="pl-PL"/>
              </w:rPr>
              <w:t>69</w:t>
            </w:r>
          </w:p>
        </w:tc>
        <w:tc>
          <w:tcPr>
            <w:tcW w:w="1134" w:type="dxa"/>
            <w:tcBorders>
              <w:top w:val="nil"/>
              <w:left w:val="nil"/>
              <w:bottom w:val="single" w:sz="4" w:space="0" w:color="auto"/>
              <w:right w:val="single" w:sz="4" w:space="0" w:color="auto"/>
            </w:tcBorders>
            <w:shd w:val="clear" w:color="auto" w:fill="auto"/>
            <w:noWrap/>
            <w:vAlign w:val="bottom"/>
            <w:hideMark/>
          </w:tcPr>
          <w:p w14:paraId="231E8830" w14:textId="77777777" w:rsidR="00ED0D2C" w:rsidRPr="000E5283" w:rsidRDefault="00ED0D2C" w:rsidP="00A7491B">
            <w:pPr>
              <w:spacing w:after="0" w:line="240" w:lineRule="auto"/>
              <w:rPr>
                <w:rFonts w:eastAsia="Times New Roman" w:cstheme="minorHAnsi"/>
                <w:color w:val="000000"/>
                <w:lang w:val="en-US" w:eastAsia="pl-PL"/>
              </w:rPr>
            </w:pPr>
            <w:r w:rsidRPr="000E5283">
              <w:rPr>
                <w:rFonts w:eastAsia="Times New Roman" w:cstheme="minorHAnsi"/>
                <w:color w:val="000000"/>
                <w:lang w:val="en-US" w:eastAsia="pl-PL"/>
              </w:rPr>
              <w:t> </w:t>
            </w:r>
            <w:r w:rsidR="00CA1089" w:rsidRPr="000E5283">
              <w:rPr>
                <w:rFonts w:eastAsia="Times New Roman" w:cstheme="minorHAnsi"/>
                <w:color w:val="000000"/>
                <w:lang w:val="en-US" w:eastAsia="pl-PL"/>
              </w:rPr>
              <w:t>24</w:t>
            </w:r>
          </w:p>
        </w:tc>
      </w:tr>
      <w:tr w:rsidR="00ED0D2C" w:rsidRPr="000E5283" w14:paraId="57AAADF0" w14:textId="77777777" w:rsidTr="00A7491B">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7AF2FB0E" w14:textId="77777777" w:rsidR="00ED0D2C" w:rsidRPr="000E5283" w:rsidRDefault="00133CF4" w:rsidP="00A7491B">
            <w:pPr>
              <w:spacing w:after="0" w:line="240" w:lineRule="auto"/>
              <w:rPr>
                <w:rFonts w:eastAsia="Times New Roman" w:cstheme="minorHAnsi"/>
                <w:color w:val="000000"/>
                <w:lang w:val="en-US" w:eastAsia="pl-PL"/>
              </w:rPr>
            </w:pPr>
            <w:hyperlink r:id="rId26" w:history="1">
              <w:r w:rsidR="00ED0D2C" w:rsidRPr="000E5283">
                <w:rPr>
                  <w:rStyle w:val="Hipercze"/>
                  <w:rFonts w:eastAsia="Times New Roman" w:cstheme="minorHAnsi"/>
                  <w:lang w:val="en-US" w:eastAsia="pl-PL"/>
                </w:rPr>
                <w:t>Global Innovation Index</w:t>
              </w:r>
            </w:hyperlink>
            <w:r w:rsidR="00ED0D2C" w:rsidRPr="000E5283">
              <w:rPr>
                <w:rFonts w:eastAsia="Times New Roman" w:cstheme="minorHAnsi"/>
                <w:color w:val="000000"/>
                <w:lang w:val="en-US" w:eastAsia="pl-PL"/>
              </w:rPr>
              <w:t xml:space="preserve"> (World Intellectual Property Organization)</w:t>
            </w:r>
          </w:p>
        </w:tc>
        <w:tc>
          <w:tcPr>
            <w:tcW w:w="1134" w:type="dxa"/>
            <w:tcBorders>
              <w:top w:val="nil"/>
              <w:left w:val="nil"/>
              <w:bottom w:val="single" w:sz="4" w:space="0" w:color="auto"/>
              <w:right w:val="single" w:sz="4" w:space="0" w:color="auto"/>
            </w:tcBorders>
            <w:shd w:val="clear" w:color="auto" w:fill="auto"/>
            <w:noWrap/>
            <w:vAlign w:val="bottom"/>
            <w:hideMark/>
          </w:tcPr>
          <w:p w14:paraId="5696478A" w14:textId="77777777" w:rsidR="00ED0D2C" w:rsidRPr="000E5283" w:rsidRDefault="00ED0D2C" w:rsidP="00A7491B">
            <w:pPr>
              <w:spacing w:after="0" w:line="240" w:lineRule="auto"/>
              <w:rPr>
                <w:rFonts w:eastAsia="Times New Roman" w:cstheme="minorHAnsi"/>
                <w:color w:val="000000"/>
                <w:lang w:val="en-US" w:eastAsia="pl-PL"/>
              </w:rPr>
            </w:pPr>
            <w:r w:rsidRPr="000E5283">
              <w:rPr>
                <w:rFonts w:eastAsia="Times New Roman" w:cstheme="minorHAnsi"/>
                <w:color w:val="000000"/>
                <w:lang w:val="en-US" w:eastAsia="pl-PL"/>
              </w:rPr>
              <w:t> </w:t>
            </w:r>
            <w:r w:rsidR="00CA1089" w:rsidRPr="000E5283">
              <w:rPr>
                <w:rFonts w:eastAsia="Times New Roman" w:cstheme="minorHAnsi"/>
                <w:color w:val="000000"/>
                <w:lang w:val="en-US" w:eastAsia="pl-PL"/>
              </w:rPr>
              <w:t>62.4</w:t>
            </w:r>
          </w:p>
        </w:tc>
        <w:tc>
          <w:tcPr>
            <w:tcW w:w="1134" w:type="dxa"/>
            <w:tcBorders>
              <w:top w:val="nil"/>
              <w:left w:val="nil"/>
              <w:bottom w:val="single" w:sz="4" w:space="0" w:color="auto"/>
              <w:right w:val="single" w:sz="4" w:space="0" w:color="auto"/>
            </w:tcBorders>
            <w:shd w:val="clear" w:color="auto" w:fill="auto"/>
            <w:noWrap/>
            <w:vAlign w:val="bottom"/>
            <w:hideMark/>
          </w:tcPr>
          <w:p w14:paraId="5E4351EC" w14:textId="77777777" w:rsidR="00ED0D2C" w:rsidRPr="000E5283" w:rsidRDefault="00ED0D2C" w:rsidP="00CA1089">
            <w:pPr>
              <w:spacing w:after="0" w:line="240" w:lineRule="auto"/>
              <w:rPr>
                <w:rFonts w:eastAsia="Times New Roman" w:cstheme="minorHAnsi"/>
                <w:color w:val="000000"/>
                <w:lang w:val="en-US" w:eastAsia="pl-PL"/>
              </w:rPr>
            </w:pPr>
            <w:r w:rsidRPr="000E5283">
              <w:rPr>
                <w:rFonts w:eastAsia="Times New Roman" w:cstheme="minorHAnsi"/>
                <w:color w:val="000000"/>
                <w:lang w:val="en-US" w:eastAsia="pl-PL"/>
              </w:rPr>
              <w:t> </w:t>
            </w:r>
            <w:r w:rsidR="00CA1089" w:rsidRPr="000E5283">
              <w:rPr>
                <w:rFonts w:eastAsia="Times New Roman" w:cstheme="minorHAnsi"/>
                <w:color w:val="000000"/>
                <w:lang w:val="en-US" w:eastAsia="pl-PL"/>
              </w:rPr>
              <w:t>3</w:t>
            </w:r>
          </w:p>
        </w:tc>
      </w:tr>
      <w:tr w:rsidR="00ED0D2C" w:rsidRPr="000E5283" w14:paraId="3B44F8D6" w14:textId="77777777" w:rsidTr="00A7491B">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49DFBCE8" w14:textId="77777777" w:rsidR="00ED0D2C" w:rsidRPr="000E5283" w:rsidRDefault="00133CF4" w:rsidP="00A7491B">
            <w:pPr>
              <w:spacing w:after="0" w:line="240" w:lineRule="auto"/>
              <w:rPr>
                <w:rFonts w:eastAsia="Times New Roman" w:cstheme="minorHAnsi"/>
                <w:color w:val="000000"/>
                <w:lang w:val="en-US" w:eastAsia="pl-PL"/>
              </w:rPr>
            </w:pPr>
            <w:hyperlink r:id="rId27" w:history="1">
              <w:r w:rsidR="00ED0D2C" w:rsidRPr="000E5283">
                <w:rPr>
                  <w:rStyle w:val="Hipercze"/>
                  <w:rFonts w:eastAsia="Times New Roman" w:cstheme="minorHAnsi"/>
                  <w:lang w:val="en-US" w:eastAsia="pl-PL"/>
                </w:rPr>
                <w:t>Economic Freedom Index</w:t>
              </w:r>
            </w:hyperlink>
            <w:r w:rsidR="00ED0D2C" w:rsidRPr="000E5283">
              <w:rPr>
                <w:rFonts w:eastAsia="Times New Roman" w:cstheme="minorHAnsi"/>
                <w:color w:val="000000"/>
                <w:lang w:val="en-US" w:eastAsia="pl-PL"/>
              </w:rPr>
              <w:t xml:space="preserve"> (Heritage Foundation)</w:t>
            </w:r>
          </w:p>
        </w:tc>
        <w:tc>
          <w:tcPr>
            <w:tcW w:w="1134" w:type="dxa"/>
            <w:tcBorders>
              <w:top w:val="nil"/>
              <w:left w:val="nil"/>
              <w:bottom w:val="single" w:sz="4" w:space="0" w:color="auto"/>
              <w:right w:val="single" w:sz="4" w:space="0" w:color="auto"/>
            </w:tcBorders>
            <w:shd w:val="clear" w:color="auto" w:fill="auto"/>
            <w:noWrap/>
            <w:vAlign w:val="bottom"/>
            <w:hideMark/>
          </w:tcPr>
          <w:p w14:paraId="275EFFA0" w14:textId="77777777" w:rsidR="00ED0D2C" w:rsidRPr="000E5283" w:rsidRDefault="00ED0D2C" w:rsidP="00A7491B">
            <w:pPr>
              <w:spacing w:after="0" w:line="240" w:lineRule="auto"/>
              <w:rPr>
                <w:rFonts w:eastAsia="Times New Roman" w:cstheme="minorHAnsi"/>
                <w:color w:val="000000"/>
                <w:lang w:val="en-US" w:eastAsia="pl-PL"/>
              </w:rPr>
            </w:pPr>
            <w:r w:rsidRPr="000E5283">
              <w:rPr>
                <w:rFonts w:eastAsia="Times New Roman" w:cstheme="minorHAnsi"/>
                <w:color w:val="000000"/>
                <w:lang w:val="en-US" w:eastAsia="pl-PL"/>
              </w:rPr>
              <w:t> </w:t>
            </w:r>
            <w:r w:rsidR="009A2F7D" w:rsidRPr="000E5283">
              <w:rPr>
                <w:rFonts w:eastAsia="Times New Roman" w:cstheme="minorHAnsi"/>
                <w:color w:val="000000"/>
                <w:lang w:val="en-US" w:eastAsia="pl-PL"/>
              </w:rPr>
              <w:t>70.1</w:t>
            </w:r>
          </w:p>
        </w:tc>
        <w:tc>
          <w:tcPr>
            <w:tcW w:w="1134" w:type="dxa"/>
            <w:tcBorders>
              <w:top w:val="nil"/>
              <w:left w:val="nil"/>
              <w:bottom w:val="single" w:sz="4" w:space="0" w:color="auto"/>
              <w:right w:val="single" w:sz="4" w:space="0" w:color="auto"/>
            </w:tcBorders>
            <w:shd w:val="clear" w:color="auto" w:fill="auto"/>
            <w:noWrap/>
            <w:vAlign w:val="bottom"/>
            <w:hideMark/>
          </w:tcPr>
          <w:p w14:paraId="028173D2" w14:textId="77777777" w:rsidR="00ED0D2C" w:rsidRPr="000E5283" w:rsidRDefault="00ED0D2C" w:rsidP="00A7491B">
            <w:pPr>
              <w:spacing w:after="0" w:line="240" w:lineRule="auto"/>
              <w:rPr>
                <w:rFonts w:eastAsia="Times New Roman" w:cstheme="minorHAnsi"/>
                <w:color w:val="000000"/>
                <w:lang w:val="en-US" w:eastAsia="pl-PL"/>
              </w:rPr>
            </w:pPr>
            <w:r w:rsidRPr="000E5283">
              <w:rPr>
                <w:rFonts w:eastAsia="Times New Roman" w:cstheme="minorHAnsi"/>
                <w:color w:val="000000"/>
                <w:lang w:val="en-US" w:eastAsia="pl-PL"/>
              </w:rPr>
              <w:t> </w:t>
            </w:r>
            <w:r w:rsidR="009A2F7D" w:rsidRPr="000E5283">
              <w:rPr>
                <w:rFonts w:eastAsia="Times New Roman" w:cstheme="minorHAnsi"/>
                <w:color w:val="000000"/>
                <w:lang w:val="en-US" w:eastAsia="pl-PL"/>
              </w:rPr>
              <w:t>25</w:t>
            </w:r>
          </w:p>
        </w:tc>
      </w:tr>
    </w:tbl>
    <w:p w14:paraId="600AF066" w14:textId="77777777" w:rsidR="007F64CA" w:rsidRPr="000E5283" w:rsidRDefault="007F64CA" w:rsidP="007F64CA">
      <w:pPr>
        <w:rPr>
          <w:rFonts w:eastAsiaTheme="minorHAnsi" w:cstheme="minorHAnsi"/>
        </w:rPr>
      </w:pPr>
    </w:p>
    <w:p w14:paraId="1EB574EA" w14:textId="77777777" w:rsidR="007F64CA" w:rsidRPr="000E5283" w:rsidRDefault="007F64CA" w:rsidP="0002265B">
      <w:pPr>
        <w:pStyle w:val="Akapitzlist"/>
        <w:numPr>
          <w:ilvl w:val="0"/>
          <w:numId w:val="10"/>
        </w:numPr>
        <w:spacing w:before="240" w:after="120" w:line="264" w:lineRule="auto"/>
        <w:outlineLvl w:val="3"/>
        <w:rPr>
          <w:rFonts w:cstheme="minorHAnsi"/>
          <w:b/>
        </w:rPr>
      </w:pPr>
      <w:r w:rsidRPr="000E5283">
        <w:rPr>
          <w:rFonts w:cstheme="minorHAnsi"/>
          <w:b/>
        </w:rPr>
        <w:lastRenderedPageBreak/>
        <w:t>Relacje dwustronne</w:t>
      </w:r>
    </w:p>
    <w:p w14:paraId="3252F227" w14:textId="77777777" w:rsidR="007F64CA" w:rsidRPr="000E5283" w:rsidRDefault="00244E11" w:rsidP="0002265B">
      <w:pPr>
        <w:spacing w:before="240" w:after="120" w:line="264" w:lineRule="auto"/>
        <w:ind w:left="360"/>
        <w:outlineLvl w:val="3"/>
        <w:rPr>
          <w:rFonts w:cstheme="minorHAnsi"/>
          <w:b/>
        </w:rPr>
      </w:pPr>
      <w:r w:rsidRPr="000E5283">
        <w:rPr>
          <w:rFonts w:cstheme="minorHAnsi"/>
          <w:b/>
        </w:rPr>
        <w:t xml:space="preserve">7.1. </w:t>
      </w:r>
      <w:r w:rsidR="007F64CA" w:rsidRPr="000E5283">
        <w:rPr>
          <w:rFonts w:cstheme="minorHAnsi"/>
          <w:b/>
        </w:rPr>
        <w:t xml:space="preserve">Dwustronne relacje handlowe i inwestycyjne </w:t>
      </w:r>
    </w:p>
    <w:p w14:paraId="33207E09" w14:textId="77777777" w:rsidR="00B57034" w:rsidRPr="000E5283" w:rsidRDefault="00F20694" w:rsidP="00B57034">
      <w:pPr>
        <w:jc w:val="both"/>
        <w:rPr>
          <w:rFonts w:cstheme="minorHAnsi"/>
          <w:b/>
          <w:bCs/>
          <w:color w:val="000000" w:themeColor="text1"/>
        </w:rPr>
      </w:pPr>
      <w:r w:rsidRPr="000E5283">
        <w:rPr>
          <w:rFonts w:cstheme="minorHAnsi"/>
          <w:b/>
          <w:bCs/>
          <w:color w:val="000000" w:themeColor="text1"/>
        </w:rPr>
        <w:t xml:space="preserve">7.1.1. </w:t>
      </w:r>
      <w:r w:rsidR="000C507B" w:rsidRPr="000E5283">
        <w:rPr>
          <w:rFonts w:cstheme="minorHAnsi"/>
          <w:b/>
          <w:bCs/>
          <w:color w:val="000000" w:themeColor="text1"/>
        </w:rPr>
        <w:t>Obroty</w:t>
      </w:r>
      <w:r w:rsidR="00B57034" w:rsidRPr="000E5283">
        <w:rPr>
          <w:rFonts w:cstheme="minorHAnsi"/>
          <w:b/>
          <w:bCs/>
          <w:color w:val="000000" w:themeColor="text1"/>
        </w:rPr>
        <w:t xml:space="preserve"> towarow</w:t>
      </w:r>
      <w:r w:rsidR="000C507B" w:rsidRPr="000E5283">
        <w:rPr>
          <w:rFonts w:cstheme="minorHAnsi"/>
          <w:b/>
          <w:bCs/>
          <w:color w:val="000000" w:themeColor="text1"/>
        </w:rPr>
        <w:t>e</w:t>
      </w:r>
      <w:r w:rsidR="00B57034" w:rsidRPr="000E5283">
        <w:rPr>
          <w:rFonts w:cstheme="minorHAnsi"/>
          <w:b/>
          <w:bCs/>
          <w:color w:val="000000" w:themeColor="text1"/>
        </w:rPr>
        <w:t xml:space="preserve"> </w:t>
      </w:r>
      <w:r w:rsidR="000C507B" w:rsidRPr="000E5283">
        <w:rPr>
          <w:rFonts w:cstheme="minorHAnsi"/>
          <w:b/>
          <w:bCs/>
          <w:color w:val="000000" w:themeColor="text1"/>
        </w:rPr>
        <w:t>USA-Polska</w:t>
      </w:r>
      <w:r w:rsidR="00B57034" w:rsidRPr="000E5283">
        <w:rPr>
          <w:rFonts w:cstheme="minorHAnsi"/>
          <w:b/>
          <w:bCs/>
          <w:color w:val="000000" w:themeColor="text1"/>
        </w:rPr>
        <w:t xml:space="preserve"> </w:t>
      </w:r>
      <w:r w:rsidR="000C507B" w:rsidRPr="000E5283">
        <w:rPr>
          <w:rFonts w:cstheme="minorHAnsi"/>
          <w:b/>
        </w:rPr>
        <w:t>za ostatnie 3 lata</w:t>
      </w:r>
    </w:p>
    <w:tbl>
      <w:tblPr>
        <w:tblStyle w:val="Tabela-Siatka"/>
        <w:tblW w:w="5000" w:type="pct"/>
        <w:tblLayout w:type="fixed"/>
        <w:tblLook w:val="04A0" w:firstRow="1" w:lastRow="0" w:firstColumn="1" w:lastColumn="0" w:noHBand="0" w:noVBand="1"/>
      </w:tblPr>
      <w:tblGrid>
        <w:gridCol w:w="1129"/>
        <w:gridCol w:w="991"/>
        <w:gridCol w:w="1704"/>
        <w:gridCol w:w="991"/>
        <w:gridCol w:w="1559"/>
        <w:gridCol w:w="1700"/>
        <w:gridCol w:w="988"/>
      </w:tblGrid>
      <w:tr w:rsidR="00CA7140" w:rsidRPr="000E5283" w14:paraId="3DD0CDCB" w14:textId="77777777" w:rsidTr="00777839">
        <w:tc>
          <w:tcPr>
            <w:tcW w:w="623" w:type="pct"/>
            <w:hideMark/>
          </w:tcPr>
          <w:p w14:paraId="008FFE22" w14:textId="77777777" w:rsidR="00CA7140" w:rsidRPr="000E5283" w:rsidRDefault="00CA7140" w:rsidP="00326604">
            <w:pPr>
              <w:rPr>
                <w:rFonts w:cstheme="minorHAnsi"/>
                <w:b/>
              </w:rPr>
            </w:pPr>
            <w:r w:rsidRPr="000E5283">
              <w:rPr>
                <w:rFonts w:cstheme="minorHAnsi"/>
                <w:b/>
              </w:rPr>
              <w:t>Obroty towarowe USA-Polska</w:t>
            </w:r>
          </w:p>
        </w:tc>
        <w:tc>
          <w:tcPr>
            <w:tcW w:w="547" w:type="pct"/>
            <w:hideMark/>
          </w:tcPr>
          <w:p w14:paraId="2F15102E" w14:textId="77777777" w:rsidR="00CA7140" w:rsidRPr="000E5283" w:rsidRDefault="00CA7140" w:rsidP="00277747">
            <w:pPr>
              <w:rPr>
                <w:rFonts w:cstheme="minorHAnsi"/>
                <w:b/>
              </w:rPr>
            </w:pPr>
            <w:r w:rsidRPr="000E5283">
              <w:rPr>
                <w:rFonts w:cstheme="minorHAnsi"/>
                <w:b/>
              </w:rPr>
              <w:t>Eksport w mln USD</w:t>
            </w:r>
          </w:p>
        </w:tc>
        <w:tc>
          <w:tcPr>
            <w:tcW w:w="940" w:type="pct"/>
          </w:tcPr>
          <w:p w14:paraId="561A8688" w14:textId="77777777" w:rsidR="00CA7140" w:rsidRPr="000E5283" w:rsidRDefault="00CA7140" w:rsidP="00277747">
            <w:pPr>
              <w:rPr>
                <w:rFonts w:cstheme="minorHAnsi"/>
                <w:b/>
              </w:rPr>
            </w:pPr>
            <w:r w:rsidRPr="000E5283">
              <w:rPr>
                <w:rFonts w:cstheme="minorHAnsi"/>
                <w:b/>
              </w:rPr>
              <w:t>Eksport – różnica wobec roku poprzedniego</w:t>
            </w:r>
          </w:p>
        </w:tc>
        <w:tc>
          <w:tcPr>
            <w:tcW w:w="547" w:type="pct"/>
            <w:hideMark/>
          </w:tcPr>
          <w:p w14:paraId="52A8023C" w14:textId="77777777" w:rsidR="00CA7140" w:rsidRPr="000E5283" w:rsidRDefault="00CA7140" w:rsidP="00277747">
            <w:pPr>
              <w:rPr>
                <w:rFonts w:cstheme="minorHAnsi"/>
                <w:b/>
              </w:rPr>
            </w:pPr>
            <w:r w:rsidRPr="000E5283">
              <w:rPr>
                <w:rFonts w:cstheme="minorHAnsi"/>
                <w:b/>
              </w:rPr>
              <w:t>Import w mln USD</w:t>
            </w:r>
          </w:p>
        </w:tc>
        <w:tc>
          <w:tcPr>
            <w:tcW w:w="860" w:type="pct"/>
          </w:tcPr>
          <w:p w14:paraId="126A8C78" w14:textId="77777777" w:rsidR="00CA7140" w:rsidRPr="000E5283" w:rsidRDefault="00CA7140" w:rsidP="00277747">
            <w:pPr>
              <w:rPr>
                <w:rFonts w:cstheme="minorHAnsi"/>
                <w:b/>
              </w:rPr>
            </w:pPr>
            <w:r w:rsidRPr="000E5283">
              <w:rPr>
                <w:rFonts w:cstheme="minorHAnsi"/>
                <w:b/>
              </w:rPr>
              <w:t>Import – różnica wobec roku poprzedniego</w:t>
            </w:r>
          </w:p>
        </w:tc>
        <w:tc>
          <w:tcPr>
            <w:tcW w:w="938" w:type="pct"/>
          </w:tcPr>
          <w:p w14:paraId="1C9B94D0" w14:textId="77777777" w:rsidR="00CA7140" w:rsidRPr="000E5283" w:rsidRDefault="00CA7140" w:rsidP="00277747">
            <w:pPr>
              <w:rPr>
                <w:rFonts w:cstheme="minorHAnsi"/>
                <w:b/>
              </w:rPr>
            </w:pPr>
            <w:r w:rsidRPr="000E5283">
              <w:rPr>
                <w:rFonts w:cstheme="minorHAnsi"/>
                <w:b/>
              </w:rPr>
              <w:t>Obroty w mln USD</w:t>
            </w:r>
          </w:p>
        </w:tc>
        <w:tc>
          <w:tcPr>
            <w:tcW w:w="545" w:type="pct"/>
            <w:hideMark/>
          </w:tcPr>
          <w:p w14:paraId="17A8B267" w14:textId="77777777" w:rsidR="00CA7140" w:rsidRPr="000E5283" w:rsidRDefault="00CA7140" w:rsidP="00277747">
            <w:pPr>
              <w:rPr>
                <w:rFonts w:cstheme="minorHAnsi"/>
                <w:b/>
              </w:rPr>
            </w:pPr>
            <w:r w:rsidRPr="000E5283">
              <w:rPr>
                <w:rFonts w:cstheme="minorHAnsi"/>
                <w:b/>
              </w:rPr>
              <w:t>Saldo w mln USD</w:t>
            </w:r>
          </w:p>
        </w:tc>
      </w:tr>
      <w:tr w:rsidR="00CA7140" w:rsidRPr="000E5283" w14:paraId="058C15D9" w14:textId="77777777" w:rsidTr="00777839">
        <w:tc>
          <w:tcPr>
            <w:tcW w:w="623" w:type="pct"/>
            <w:hideMark/>
          </w:tcPr>
          <w:p w14:paraId="0E73BD51" w14:textId="77777777" w:rsidR="00CA7140" w:rsidRPr="000E5283" w:rsidRDefault="00CA7140" w:rsidP="00840C9C">
            <w:pPr>
              <w:rPr>
                <w:rFonts w:cstheme="minorHAnsi"/>
                <w:b/>
              </w:rPr>
            </w:pPr>
            <w:r w:rsidRPr="000E5283">
              <w:rPr>
                <w:rFonts w:cstheme="minorHAnsi"/>
                <w:b/>
              </w:rPr>
              <w:t xml:space="preserve">2024 </w:t>
            </w:r>
          </w:p>
          <w:p w14:paraId="0932745E" w14:textId="77777777" w:rsidR="00CA7140" w:rsidRPr="000E5283" w:rsidRDefault="00CA7140" w:rsidP="00840C9C">
            <w:pPr>
              <w:rPr>
                <w:rFonts w:cstheme="minorHAnsi"/>
                <w:b/>
              </w:rPr>
            </w:pPr>
            <w:r w:rsidRPr="000E5283">
              <w:rPr>
                <w:rFonts w:cstheme="minorHAnsi"/>
                <w:b/>
              </w:rPr>
              <w:t>styczeń – wrzesień</w:t>
            </w:r>
          </w:p>
        </w:tc>
        <w:tc>
          <w:tcPr>
            <w:tcW w:w="547" w:type="pct"/>
            <w:hideMark/>
          </w:tcPr>
          <w:p w14:paraId="6FA6E681" w14:textId="77777777" w:rsidR="00CA7140" w:rsidRPr="000E5283" w:rsidRDefault="00CA7140" w:rsidP="000C507B">
            <w:pPr>
              <w:rPr>
                <w:rFonts w:cstheme="minorHAnsi"/>
              </w:rPr>
            </w:pPr>
            <w:r w:rsidRPr="000E5283">
              <w:rPr>
                <w:rFonts w:cstheme="minorHAnsi"/>
              </w:rPr>
              <w:t>8 828,0</w:t>
            </w:r>
          </w:p>
        </w:tc>
        <w:tc>
          <w:tcPr>
            <w:tcW w:w="940" w:type="pct"/>
          </w:tcPr>
          <w:p w14:paraId="70E5D115" w14:textId="77777777" w:rsidR="00CA7140" w:rsidRPr="000E5283" w:rsidRDefault="00CA7140" w:rsidP="000C507B">
            <w:pPr>
              <w:rPr>
                <w:rFonts w:cstheme="minorHAnsi"/>
              </w:rPr>
            </w:pPr>
            <w:r w:rsidRPr="000E5283">
              <w:rPr>
                <w:rFonts w:cstheme="minorHAnsi"/>
              </w:rPr>
              <w:t xml:space="preserve">spadek o 8% wobec pierwszych 9 miesięcy 2023 </w:t>
            </w:r>
          </w:p>
        </w:tc>
        <w:tc>
          <w:tcPr>
            <w:tcW w:w="547" w:type="pct"/>
            <w:hideMark/>
          </w:tcPr>
          <w:p w14:paraId="3B92F3F6" w14:textId="77777777" w:rsidR="00CA7140" w:rsidRPr="000E5283" w:rsidRDefault="00CA7140" w:rsidP="000C507B">
            <w:pPr>
              <w:rPr>
                <w:rFonts w:cstheme="minorHAnsi"/>
              </w:rPr>
            </w:pPr>
            <w:r w:rsidRPr="000E5283">
              <w:rPr>
                <w:rFonts w:cstheme="minorHAnsi"/>
              </w:rPr>
              <w:t>10 114,2</w:t>
            </w:r>
          </w:p>
        </w:tc>
        <w:tc>
          <w:tcPr>
            <w:tcW w:w="860" w:type="pct"/>
          </w:tcPr>
          <w:p w14:paraId="0FA5FC69" w14:textId="77777777" w:rsidR="00CA7140" w:rsidRPr="000E5283" w:rsidRDefault="00CA7140" w:rsidP="00455EB1">
            <w:pPr>
              <w:rPr>
                <w:rFonts w:cstheme="minorHAnsi"/>
              </w:rPr>
            </w:pPr>
            <w:r w:rsidRPr="000E5283">
              <w:rPr>
                <w:rFonts w:cstheme="minorHAnsi"/>
              </w:rPr>
              <w:t xml:space="preserve">spadek o 2,8% wobec pierwszych 9 miesięcy 2023 </w:t>
            </w:r>
          </w:p>
        </w:tc>
        <w:tc>
          <w:tcPr>
            <w:tcW w:w="938" w:type="pct"/>
          </w:tcPr>
          <w:p w14:paraId="6DD10C07" w14:textId="77777777" w:rsidR="00CA7140" w:rsidRPr="000E5283" w:rsidRDefault="00CA7140" w:rsidP="00455EB1">
            <w:pPr>
              <w:rPr>
                <w:rFonts w:cstheme="minorHAnsi"/>
              </w:rPr>
            </w:pPr>
            <w:r w:rsidRPr="000E5283">
              <w:rPr>
                <w:rFonts w:cstheme="minorHAnsi"/>
              </w:rPr>
              <w:t>18 942,2</w:t>
            </w:r>
            <w:r w:rsidR="00777839" w:rsidRPr="000E5283">
              <w:rPr>
                <w:rFonts w:cstheme="minorHAnsi"/>
              </w:rPr>
              <w:t>/ wzrost o 5% wobec pierwszych 9 miesięcy 2023</w:t>
            </w:r>
          </w:p>
        </w:tc>
        <w:tc>
          <w:tcPr>
            <w:tcW w:w="545" w:type="pct"/>
            <w:hideMark/>
          </w:tcPr>
          <w:p w14:paraId="07C7581D" w14:textId="77777777" w:rsidR="00CA7140" w:rsidRPr="000E5283" w:rsidRDefault="00CA7140" w:rsidP="00455EB1">
            <w:pPr>
              <w:spacing w:after="160" w:line="259" w:lineRule="auto"/>
              <w:rPr>
                <w:rFonts w:cstheme="minorHAnsi"/>
              </w:rPr>
            </w:pPr>
            <w:r w:rsidRPr="000E5283">
              <w:rPr>
                <w:rFonts w:cstheme="minorHAnsi"/>
              </w:rPr>
              <w:t>-1 286,2</w:t>
            </w:r>
          </w:p>
        </w:tc>
      </w:tr>
      <w:tr w:rsidR="00CA7140" w:rsidRPr="000E5283" w14:paraId="76E47631" w14:textId="77777777" w:rsidTr="00777839">
        <w:tc>
          <w:tcPr>
            <w:tcW w:w="623" w:type="pct"/>
          </w:tcPr>
          <w:p w14:paraId="6A2ED9FB" w14:textId="77777777" w:rsidR="00CA7140" w:rsidRPr="000E5283" w:rsidRDefault="00CA7140" w:rsidP="00326604">
            <w:pPr>
              <w:rPr>
                <w:rFonts w:eastAsia="Times New Roman" w:cstheme="minorHAnsi"/>
                <w:b/>
                <w:bCs/>
                <w:bdr w:val="none" w:sz="0" w:space="0" w:color="auto" w:frame="1"/>
                <w:lang w:eastAsia="pl-PL"/>
              </w:rPr>
            </w:pPr>
            <w:r w:rsidRPr="000E5283">
              <w:rPr>
                <w:rFonts w:cstheme="minorHAnsi"/>
                <w:b/>
              </w:rPr>
              <w:t>2023</w:t>
            </w:r>
          </w:p>
        </w:tc>
        <w:tc>
          <w:tcPr>
            <w:tcW w:w="547" w:type="pct"/>
          </w:tcPr>
          <w:p w14:paraId="226D5C36" w14:textId="77777777" w:rsidR="00CA7140" w:rsidRPr="000E5283" w:rsidRDefault="00CA7140" w:rsidP="000C507B">
            <w:pPr>
              <w:rPr>
                <w:rFonts w:cstheme="minorHAnsi"/>
              </w:rPr>
            </w:pPr>
            <w:r w:rsidRPr="000E5283">
              <w:rPr>
                <w:rFonts w:cstheme="minorHAnsi"/>
              </w:rPr>
              <w:t>10 993,0</w:t>
            </w:r>
          </w:p>
        </w:tc>
        <w:tc>
          <w:tcPr>
            <w:tcW w:w="940" w:type="pct"/>
          </w:tcPr>
          <w:p w14:paraId="587737EA" w14:textId="77777777" w:rsidR="00CA7140" w:rsidRPr="000E5283" w:rsidRDefault="00CA7140" w:rsidP="000C507B">
            <w:pPr>
              <w:rPr>
                <w:rFonts w:cstheme="minorHAnsi"/>
              </w:rPr>
            </w:pPr>
            <w:r w:rsidRPr="000E5283">
              <w:rPr>
                <w:rFonts w:cstheme="minorHAnsi"/>
              </w:rPr>
              <w:t xml:space="preserve">spadek o 4% wobec 2022 </w:t>
            </w:r>
          </w:p>
        </w:tc>
        <w:tc>
          <w:tcPr>
            <w:tcW w:w="547" w:type="pct"/>
          </w:tcPr>
          <w:p w14:paraId="70A903F7" w14:textId="77777777" w:rsidR="00CA7140" w:rsidRPr="000E5283" w:rsidRDefault="00CA7140" w:rsidP="000C507B">
            <w:pPr>
              <w:rPr>
                <w:rFonts w:cstheme="minorHAnsi"/>
              </w:rPr>
            </w:pPr>
            <w:r w:rsidRPr="000E5283">
              <w:rPr>
                <w:rFonts w:cstheme="minorHAnsi"/>
              </w:rPr>
              <w:t>13 159,8</w:t>
            </w:r>
          </w:p>
        </w:tc>
        <w:tc>
          <w:tcPr>
            <w:tcW w:w="860" w:type="pct"/>
          </w:tcPr>
          <w:p w14:paraId="1F0A1384" w14:textId="77777777" w:rsidR="00CA7140" w:rsidRPr="000E5283" w:rsidRDefault="00CA7140" w:rsidP="00455EB1">
            <w:pPr>
              <w:rPr>
                <w:rFonts w:cstheme="minorHAnsi"/>
              </w:rPr>
            </w:pPr>
            <w:r w:rsidRPr="000E5283">
              <w:rPr>
                <w:rFonts w:cstheme="minorHAnsi"/>
              </w:rPr>
              <w:t xml:space="preserve">wzrost o 11% wobec 2022 </w:t>
            </w:r>
          </w:p>
        </w:tc>
        <w:tc>
          <w:tcPr>
            <w:tcW w:w="938" w:type="pct"/>
          </w:tcPr>
          <w:p w14:paraId="609B814C" w14:textId="77777777" w:rsidR="00CA7140" w:rsidRPr="000E5283" w:rsidRDefault="00CA7140" w:rsidP="00455EB1">
            <w:pPr>
              <w:rPr>
                <w:rFonts w:cstheme="minorHAnsi"/>
              </w:rPr>
            </w:pPr>
            <w:r w:rsidRPr="000E5283">
              <w:rPr>
                <w:rFonts w:cstheme="minorHAnsi"/>
              </w:rPr>
              <w:t>24 152,8/</w:t>
            </w:r>
            <w:r w:rsidR="00777839" w:rsidRPr="000E5283">
              <w:rPr>
                <w:rFonts w:cstheme="minorHAnsi"/>
              </w:rPr>
              <w:t xml:space="preserve"> </w:t>
            </w:r>
            <w:r w:rsidRPr="000E5283">
              <w:rPr>
                <w:rFonts w:cstheme="minorHAnsi"/>
              </w:rPr>
              <w:t xml:space="preserve">wzrost o 3,6% wobec 2022 </w:t>
            </w:r>
          </w:p>
        </w:tc>
        <w:tc>
          <w:tcPr>
            <w:tcW w:w="545" w:type="pct"/>
          </w:tcPr>
          <w:p w14:paraId="48BC325A" w14:textId="77777777" w:rsidR="00CA7140" w:rsidRPr="000E5283" w:rsidRDefault="00CA7140" w:rsidP="00455EB1">
            <w:pPr>
              <w:rPr>
                <w:rFonts w:cstheme="minorHAnsi"/>
              </w:rPr>
            </w:pPr>
            <w:r w:rsidRPr="000E5283">
              <w:rPr>
                <w:rFonts w:cstheme="minorHAnsi"/>
              </w:rPr>
              <w:t>-2 166,8</w:t>
            </w:r>
          </w:p>
        </w:tc>
      </w:tr>
      <w:tr w:rsidR="00CA7140" w:rsidRPr="000E5283" w14:paraId="24C0527C" w14:textId="77777777" w:rsidTr="00777839">
        <w:tc>
          <w:tcPr>
            <w:tcW w:w="623" w:type="pct"/>
          </w:tcPr>
          <w:p w14:paraId="35972B4A" w14:textId="77777777" w:rsidR="00CA7140" w:rsidRPr="000E5283" w:rsidRDefault="00CA7140" w:rsidP="00326604">
            <w:pPr>
              <w:spacing w:after="160" w:line="259" w:lineRule="auto"/>
              <w:rPr>
                <w:rFonts w:eastAsia="Times New Roman" w:cstheme="minorHAnsi"/>
                <w:b/>
                <w:bCs/>
                <w:bdr w:val="none" w:sz="0" w:space="0" w:color="auto" w:frame="1"/>
                <w:lang w:eastAsia="pl-PL"/>
              </w:rPr>
            </w:pPr>
            <w:r w:rsidRPr="000E5283">
              <w:rPr>
                <w:rFonts w:cstheme="minorHAnsi"/>
                <w:b/>
              </w:rPr>
              <w:t>2022</w:t>
            </w:r>
          </w:p>
        </w:tc>
        <w:tc>
          <w:tcPr>
            <w:tcW w:w="547" w:type="pct"/>
          </w:tcPr>
          <w:p w14:paraId="03648888" w14:textId="77777777" w:rsidR="00CA7140" w:rsidRPr="000E5283" w:rsidRDefault="00CA7140" w:rsidP="000C507B">
            <w:pPr>
              <w:rPr>
                <w:rFonts w:cstheme="minorHAnsi"/>
              </w:rPr>
            </w:pPr>
            <w:r w:rsidRPr="000E5283">
              <w:rPr>
                <w:rFonts w:cstheme="minorHAnsi"/>
              </w:rPr>
              <w:t>11 468,5</w:t>
            </w:r>
          </w:p>
        </w:tc>
        <w:tc>
          <w:tcPr>
            <w:tcW w:w="940" w:type="pct"/>
          </w:tcPr>
          <w:p w14:paraId="42D68A4B" w14:textId="77777777" w:rsidR="00CA7140" w:rsidRPr="000E5283" w:rsidRDefault="00CA7140" w:rsidP="000C507B">
            <w:pPr>
              <w:rPr>
                <w:rFonts w:cstheme="minorHAnsi"/>
              </w:rPr>
            </w:pPr>
            <w:r w:rsidRPr="000E5283">
              <w:rPr>
                <w:rFonts w:cstheme="minorHAnsi"/>
              </w:rPr>
              <w:t xml:space="preserve">Wzrost o 96% wobec 2021 </w:t>
            </w:r>
          </w:p>
        </w:tc>
        <w:tc>
          <w:tcPr>
            <w:tcW w:w="547" w:type="pct"/>
          </w:tcPr>
          <w:p w14:paraId="3B8444A0" w14:textId="77777777" w:rsidR="00CA7140" w:rsidRPr="000E5283" w:rsidRDefault="00CA7140" w:rsidP="000C507B">
            <w:pPr>
              <w:rPr>
                <w:rFonts w:cstheme="minorHAnsi"/>
              </w:rPr>
            </w:pPr>
            <w:r w:rsidRPr="000E5283">
              <w:rPr>
                <w:rFonts w:cstheme="minorHAnsi"/>
              </w:rPr>
              <w:t>11 848,0</w:t>
            </w:r>
          </w:p>
        </w:tc>
        <w:tc>
          <w:tcPr>
            <w:tcW w:w="860" w:type="pct"/>
          </w:tcPr>
          <w:p w14:paraId="5C497EBF" w14:textId="77777777" w:rsidR="00CA7140" w:rsidRPr="000E5283" w:rsidRDefault="00CA7140" w:rsidP="000C507B">
            <w:pPr>
              <w:rPr>
                <w:rFonts w:cstheme="minorHAnsi"/>
              </w:rPr>
            </w:pPr>
            <w:r w:rsidRPr="000E5283">
              <w:rPr>
                <w:rFonts w:cstheme="minorHAnsi"/>
              </w:rPr>
              <w:t xml:space="preserve">Wzrost o 21,5% wobec 2021 </w:t>
            </w:r>
          </w:p>
        </w:tc>
        <w:tc>
          <w:tcPr>
            <w:tcW w:w="938" w:type="pct"/>
          </w:tcPr>
          <w:p w14:paraId="0A905050" w14:textId="77777777" w:rsidR="00CA7140" w:rsidRPr="000E5283" w:rsidRDefault="00CA7140" w:rsidP="000C507B">
            <w:pPr>
              <w:rPr>
                <w:rFonts w:cstheme="minorHAnsi"/>
              </w:rPr>
            </w:pPr>
            <w:r w:rsidRPr="000E5283">
              <w:rPr>
                <w:rFonts w:cstheme="minorHAnsi"/>
              </w:rPr>
              <w:t>23 316,5</w:t>
            </w:r>
          </w:p>
        </w:tc>
        <w:tc>
          <w:tcPr>
            <w:tcW w:w="545" w:type="pct"/>
          </w:tcPr>
          <w:p w14:paraId="5D65C841" w14:textId="77777777" w:rsidR="00CA7140" w:rsidRPr="000E5283" w:rsidRDefault="00CA7140" w:rsidP="000C507B">
            <w:pPr>
              <w:rPr>
                <w:rFonts w:cstheme="minorHAnsi"/>
              </w:rPr>
            </w:pPr>
            <w:r w:rsidRPr="000E5283">
              <w:rPr>
                <w:rFonts w:cstheme="minorHAnsi"/>
              </w:rPr>
              <w:t>-379,5</w:t>
            </w:r>
          </w:p>
        </w:tc>
      </w:tr>
    </w:tbl>
    <w:p w14:paraId="012935F8" w14:textId="77777777" w:rsidR="00C67F68" w:rsidRPr="000E5283" w:rsidRDefault="00C67F68" w:rsidP="00C67F68">
      <w:pPr>
        <w:shd w:val="clear" w:color="auto" w:fill="FFFFFF"/>
        <w:spacing w:after="0" w:line="240" w:lineRule="auto"/>
        <w:textAlignment w:val="baseline"/>
        <w:rPr>
          <w:rFonts w:cstheme="minorHAnsi"/>
        </w:rPr>
      </w:pPr>
      <w:r w:rsidRPr="000E5283">
        <w:rPr>
          <w:rFonts w:eastAsia="Times New Roman" w:cstheme="minorHAnsi"/>
          <w:color w:val="1B1B1B"/>
          <w:lang w:eastAsia="pl-PL"/>
        </w:rPr>
        <w:t>Źródło: </w:t>
      </w:r>
      <w:hyperlink r:id="rId28" w:history="1">
        <w:r w:rsidR="00840C9C" w:rsidRPr="000E5283">
          <w:rPr>
            <w:rStyle w:val="Hipercze"/>
            <w:rFonts w:cstheme="minorHAnsi"/>
          </w:rPr>
          <w:t>https://www.census.gov/foreign-trade/balance/c4550.html</w:t>
        </w:r>
      </w:hyperlink>
    </w:p>
    <w:p w14:paraId="29ABB850" w14:textId="35E743F3" w:rsidR="003C0F76" w:rsidRPr="003C0F76" w:rsidRDefault="00777839" w:rsidP="003C0F76">
      <w:pPr>
        <w:spacing w:before="240" w:after="120" w:line="264" w:lineRule="auto"/>
        <w:jc w:val="both"/>
        <w:outlineLvl w:val="3"/>
        <w:rPr>
          <w:rFonts w:cstheme="minorHAnsi"/>
        </w:rPr>
      </w:pPr>
      <w:r w:rsidRPr="000E5283">
        <w:rPr>
          <w:rFonts w:cstheme="minorHAnsi"/>
        </w:rPr>
        <w:t xml:space="preserve">Głównym polskim towarem eksportowym do </w:t>
      </w:r>
      <w:r w:rsidR="004B01A6" w:rsidRPr="000E5283">
        <w:rPr>
          <w:rFonts w:cstheme="minorHAnsi"/>
        </w:rPr>
        <w:t>USA</w:t>
      </w:r>
      <w:r w:rsidRPr="000E5283">
        <w:rPr>
          <w:rFonts w:cstheme="minorHAnsi"/>
        </w:rPr>
        <w:t xml:space="preserve"> niezmiennie pozostają maszyny i urządz</w:t>
      </w:r>
      <w:r w:rsidR="00D80ACA" w:rsidRPr="000E5283">
        <w:rPr>
          <w:rFonts w:cstheme="minorHAnsi"/>
        </w:rPr>
        <w:t>enia mechaniczne</w:t>
      </w:r>
      <w:r w:rsidRPr="000E5283">
        <w:rPr>
          <w:rFonts w:cstheme="minorHAnsi"/>
        </w:rPr>
        <w:t xml:space="preserve">, kotły, oraz części zamienne, </w:t>
      </w:r>
      <w:r w:rsidR="004B01A6" w:rsidRPr="000E5283">
        <w:rPr>
          <w:rFonts w:cstheme="minorHAnsi"/>
        </w:rPr>
        <w:t xml:space="preserve">urządzenia przetwarzania danych (komputery </w:t>
      </w:r>
      <w:r w:rsidR="004B01A6" w:rsidRPr="000E5283">
        <w:rPr>
          <w:rFonts w:eastAsia="Times New Roman" w:cstheme="minorHAnsi"/>
          <w:color w:val="1B1B1B"/>
          <w:lang w:eastAsia="pl-PL"/>
        </w:rPr>
        <w:t>stacjonarne</w:t>
      </w:r>
      <w:r w:rsidR="004B01A6" w:rsidRPr="000E5283">
        <w:rPr>
          <w:rFonts w:cstheme="minorHAnsi"/>
        </w:rPr>
        <w:t>, serwery sieciowe, płyty główne, procesory, elementy sprzętu medycznego). Główną grupą towarową importowaną do Polski z USA są części do produkcji samolotów, produkty farmaceutyczne.</w:t>
      </w:r>
    </w:p>
    <w:p w14:paraId="3BCA9307" w14:textId="77777777" w:rsidR="003C0F76" w:rsidRPr="003C0F76" w:rsidRDefault="003C0F76" w:rsidP="003C0F76">
      <w:pPr>
        <w:spacing w:before="240" w:after="120" w:line="264" w:lineRule="auto"/>
        <w:jc w:val="both"/>
        <w:outlineLvl w:val="3"/>
        <w:rPr>
          <w:rFonts w:cstheme="minorHAnsi"/>
        </w:rPr>
      </w:pPr>
      <w:r w:rsidRPr="003C0F76">
        <w:rPr>
          <w:rFonts w:cstheme="minorHAnsi"/>
          <w:b/>
        </w:rPr>
        <w:t>Współpraca w dziedzinie energetyki</w:t>
      </w:r>
      <w:r w:rsidRPr="003C0F76">
        <w:rPr>
          <w:rFonts w:cstheme="minorHAnsi"/>
        </w:rPr>
        <w:t xml:space="preserve"> pozostaje jednym z głównych filarów relacji polsko-amerykańskich. Podstawowym dokumentem potwierdzającym zaangażowanie się obu rządów w rozwijanie współpracy energetycznej jest obowiązujące od 2011 r. Memorandum o współpracy w zakresie bezpieczeństwa energetycznego i klimatycznego (Memorandum of Understanding Between The Republic of Poland and the United States of America On Enhancing Cooperation in Energy and Climate Security), na bazie którego rozwijana jest współpraca naukowa, technologiczna oraz dotycząca aspektów politycznych związanych z bezpieczeństwem energetycznym oraz klimatem.</w:t>
      </w:r>
    </w:p>
    <w:p w14:paraId="657755B2" w14:textId="77777777" w:rsidR="003C0F76" w:rsidRPr="003C0F76" w:rsidRDefault="003C0F76" w:rsidP="003C0F76">
      <w:pPr>
        <w:tabs>
          <w:tab w:val="num" w:pos="720"/>
        </w:tabs>
        <w:spacing w:after="0" w:line="264" w:lineRule="auto"/>
        <w:jc w:val="both"/>
        <w:rPr>
          <w:rFonts w:cstheme="minorHAnsi"/>
        </w:rPr>
      </w:pPr>
      <w:r w:rsidRPr="003C0F76">
        <w:rPr>
          <w:rFonts w:cstheme="minorHAnsi"/>
        </w:rPr>
        <w:t>W 2018 r. zainaugurowano formułę bilateralnych konsultacji w ramach polsko-amerykańskiego dialogu energetycznego – co skutkowało dotychczas realizacją 4 spotkań w tym formacie. Polska ściśle współpracuje z USA również w ramach Partnerstwa na rzecz Transatlantyckiej Współpracy Energetycznej i Klimatycznej (P-TECC) - amerykańskiej inicjatywy, która ma wspierać rozwój infrastruktury energetycznej w krajach Inicjatywy Trójmorza.</w:t>
      </w:r>
    </w:p>
    <w:p w14:paraId="2E1F8BEB" w14:textId="56BFD8DE" w:rsidR="003C0F76" w:rsidRPr="003C0F76" w:rsidRDefault="003C0F76" w:rsidP="003C0F76">
      <w:pPr>
        <w:spacing w:before="240" w:after="120" w:line="264" w:lineRule="auto"/>
        <w:jc w:val="both"/>
        <w:outlineLvl w:val="3"/>
        <w:rPr>
          <w:rFonts w:cstheme="minorHAnsi"/>
        </w:rPr>
      </w:pPr>
      <w:r w:rsidRPr="003C0F76">
        <w:rPr>
          <w:rFonts w:cstheme="minorHAnsi"/>
        </w:rPr>
        <w:t xml:space="preserve">Na przestrzeni ostatnich lat szczególnie istotnego znaczenia nabrała polsko-amerykańska współpraca w obszarze rozwoju energetyki jądrowej, której podstawą są: podpisane </w:t>
      </w:r>
      <w:r>
        <w:rPr>
          <w:rFonts w:cstheme="minorHAnsi"/>
        </w:rPr>
        <w:t xml:space="preserve">w </w:t>
      </w:r>
      <w:r w:rsidRPr="003C0F76">
        <w:rPr>
          <w:rFonts w:cstheme="minorHAnsi"/>
        </w:rPr>
        <w:t xml:space="preserve">czerwcu 2019 r. memorandum o współpracy w dziedzinie cywilnego wykorzystania energii jądrowej oraz zawarta w październiku 2020 r. międzyrządową umowa ws. współpracy w celu rozwoju programu energetyki jądrowej wykorzystywanej do celów cywilnych oraz cywilnego przemysłu jądrowego. </w:t>
      </w:r>
    </w:p>
    <w:p w14:paraId="0B4792B0" w14:textId="77777777" w:rsidR="003C0F76" w:rsidRPr="003C0F76" w:rsidRDefault="003C0F76" w:rsidP="003C0F76">
      <w:pPr>
        <w:spacing w:before="240" w:after="120" w:line="264" w:lineRule="auto"/>
        <w:jc w:val="both"/>
        <w:outlineLvl w:val="3"/>
        <w:rPr>
          <w:rFonts w:cstheme="minorHAnsi"/>
        </w:rPr>
      </w:pPr>
      <w:r w:rsidRPr="003C0F76">
        <w:rPr>
          <w:rFonts w:cstheme="minorHAnsi"/>
        </w:rPr>
        <w:t xml:space="preserve">W listopadzie 2022 r. Rada Ministrów przyjęła uchwałę potwierdzającą, że pierwsza w Polsce elektrownia jądrowa zostanie zbudowana w oparciu o amerykańską technologię reaktorów AP1000 amerykańskiej firmy Westinghouse. We wrześniu 2023 r. zawarte zostały dwie istotne dla realizacji </w:t>
      </w:r>
      <w:r w:rsidRPr="003C0F76">
        <w:rPr>
          <w:rFonts w:cstheme="minorHAnsi"/>
        </w:rPr>
        <w:lastRenderedPageBreak/>
        <w:t>projektu umowy: umowa konsorcjalna o współpracy w zakresie projektowania i budowy elektrowni jądrowej w Polsce zawarta między Westinghouse i Bechtel oraz umowa między Polskimi Elektrowniami Jądrowymi oraz konsorcjum Westinghouse-Bechtel na zaprojektowanie (Engineering Services Contracts) elektrowni na Pomorzu.</w:t>
      </w:r>
    </w:p>
    <w:p w14:paraId="53D31505" w14:textId="77777777" w:rsidR="003C0F76" w:rsidRPr="003C0F76" w:rsidRDefault="003C0F76" w:rsidP="003C0F76">
      <w:pPr>
        <w:spacing w:before="240" w:after="120" w:line="264" w:lineRule="auto"/>
        <w:jc w:val="both"/>
        <w:outlineLvl w:val="3"/>
        <w:rPr>
          <w:rFonts w:cstheme="minorHAnsi"/>
        </w:rPr>
      </w:pPr>
      <w:r w:rsidRPr="003C0F76">
        <w:rPr>
          <w:rFonts w:cstheme="minorHAnsi"/>
        </w:rPr>
        <w:t>Polska i USA współpracują także w zakresie budowy małych modułowych reaktorów jądrowych (SMR). Spółka Orlen Synthos Green Energy (OSGE) wraz z amerykańskim GE Vernova planują realizację w Polsce inwestycji w SMR w oparciu o technologię reaktora BWRX-300 (projekt uzyskał dodatkowe finansowanie Departamentu Stanu USA w ramach Projektu Phoenix). Zainteresowanie rynkiem polskim wyraża także rozwijające technologie mikroreaktorów modułowych Last Energy.</w:t>
      </w:r>
    </w:p>
    <w:p w14:paraId="41D4AC5F" w14:textId="0426A0F7" w:rsidR="001C6429" w:rsidRDefault="003C0F76" w:rsidP="003C0F76">
      <w:pPr>
        <w:tabs>
          <w:tab w:val="num" w:pos="720"/>
        </w:tabs>
        <w:spacing w:after="0" w:line="264" w:lineRule="auto"/>
        <w:jc w:val="both"/>
        <w:rPr>
          <w:rFonts w:cstheme="minorHAnsi"/>
        </w:rPr>
      </w:pPr>
      <w:r w:rsidRPr="003C0F76">
        <w:rPr>
          <w:rFonts w:cstheme="minorHAnsi"/>
        </w:rPr>
        <w:t>Ważnym polem współpracy między Polską a USA w obszarze energetyki pozostaje również import amerykańskiego LNG. Orlen zawarł dotychczas cztery umowy długoterminowe z amerykańskimi dostawcami gazu skroplonego: Cheniere Energy, Venture Global oraz Sempra Infrastructure. Szacuje się (dane EIA), że import LNG z USA (z uwzględnieniem zarówno kontraktów długoterminowych, jak i rynku spot) wyniósł w 2023 r. 139 365 mcf).</w:t>
      </w:r>
    </w:p>
    <w:p w14:paraId="58F9D57B" w14:textId="77777777" w:rsidR="003C0F76" w:rsidRPr="000E5283" w:rsidRDefault="003C0F76" w:rsidP="003C0F76">
      <w:pPr>
        <w:tabs>
          <w:tab w:val="num" w:pos="720"/>
        </w:tabs>
        <w:spacing w:after="0" w:line="264" w:lineRule="auto"/>
        <w:jc w:val="both"/>
        <w:rPr>
          <w:rFonts w:cstheme="minorHAnsi"/>
        </w:rPr>
      </w:pPr>
    </w:p>
    <w:p w14:paraId="16E583A1" w14:textId="77777777" w:rsidR="00277747" w:rsidRPr="000E5283" w:rsidRDefault="00F20694" w:rsidP="00EB6730">
      <w:pPr>
        <w:jc w:val="both"/>
        <w:rPr>
          <w:rFonts w:cstheme="minorHAnsi"/>
          <w:b/>
          <w:bCs/>
          <w:color w:val="000000" w:themeColor="text1"/>
        </w:rPr>
      </w:pPr>
      <w:r w:rsidRPr="000E5283">
        <w:rPr>
          <w:rFonts w:cstheme="minorHAnsi"/>
          <w:b/>
          <w:bCs/>
          <w:color w:val="000000" w:themeColor="text1"/>
        </w:rPr>
        <w:t xml:space="preserve">7.1.2. </w:t>
      </w:r>
      <w:r w:rsidR="00EB6730" w:rsidRPr="000E5283">
        <w:rPr>
          <w:rFonts w:cstheme="minorHAnsi"/>
          <w:b/>
          <w:bCs/>
          <w:color w:val="000000" w:themeColor="text1"/>
        </w:rPr>
        <w:t>Wzajemne inwestycje</w:t>
      </w:r>
      <w:r w:rsidR="00EB6730" w:rsidRPr="000E5283">
        <w:rPr>
          <w:rFonts w:cstheme="minorHAnsi"/>
          <w:b/>
        </w:rPr>
        <w:t xml:space="preserve"> za ostatnie 3 lata</w:t>
      </w:r>
    </w:p>
    <w:tbl>
      <w:tblPr>
        <w:tblStyle w:val="Tabela-Siatka"/>
        <w:tblW w:w="0" w:type="auto"/>
        <w:tblLook w:val="04A0" w:firstRow="1" w:lastRow="0" w:firstColumn="1" w:lastColumn="0" w:noHBand="0" w:noVBand="1"/>
      </w:tblPr>
      <w:tblGrid>
        <w:gridCol w:w="1734"/>
        <w:gridCol w:w="1049"/>
        <w:gridCol w:w="2507"/>
        <w:gridCol w:w="1276"/>
        <w:gridCol w:w="2496"/>
      </w:tblGrid>
      <w:tr w:rsidR="009508A2" w:rsidRPr="000E5283" w14:paraId="1091F0D9" w14:textId="77777777" w:rsidTr="00EB6730">
        <w:tc>
          <w:tcPr>
            <w:tcW w:w="0" w:type="auto"/>
            <w:hideMark/>
          </w:tcPr>
          <w:p w14:paraId="7DF781D0" w14:textId="77777777" w:rsidR="009508A2" w:rsidRPr="000E5283" w:rsidRDefault="009508A2" w:rsidP="00B94D8D">
            <w:pPr>
              <w:rPr>
                <w:rFonts w:cstheme="minorHAnsi"/>
                <w:b/>
              </w:rPr>
            </w:pPr>
            <w:bookmarkStart w:id="2" w:name="2023"/>
            <w:bookmarkEnd w:id="2"/>
            <w:r w:rsidRPr="000E5283">
              <w:rPr>
                <w:rFonts w:cstheme="minorHAnsi"/>
                <w:b/>
              </w:rPr>
              <w:t>Wzajemne inwestycje USA-Polska</w:t>
            </w:r>
          </w:p>
        </w:tc>
        <w:tc>
          <w:tcPr>
            <w:tcW w:w="0" w:type="auto"/>
            <w:hideMark/>
          </w:tcPr>
          <w:p w14:paraId="1B3C0FF6" w14:textId="77777777" w:rsidR="009508A2" w:rsidRPr="000E5283" w:rsidRDefault="009508A2" w:rsidP="00B94D8D">
            <w:pPr>
              <w:rPr>
                <w:rFonts w:cstheme="minorHAnsi"/>
                <w:b/>
              </w:rPr>
            </w:pPr>
            <w:r w:rsidRPr="000E5283">
              <w:rPr>
                <w:rFonts w:cstheme="minorHAnsi"/>
                <w:b/>
              </w:rPr>
              <w:t>BIZ USA w Polsce</w:t>
            </w:r>
          </w:p>
          <w:p w14:paraId="6A3D0C88" w14:textId="77777777" w:rsidR="009508A2" w:rsidRPr="000E5283" w:rsidRDefault="009508A2" w:rsidP="00B94D8D">
            <w:pPr>
              <w:rPr>
                <w:rFonts w:cstheme="minorHAnsi"/>
                <w:b/>
              </w:rPr>
            </w:pPr>
            <w:r w:rsidRPr="000E5283">
              <w:rPr>
                <w:rFonts w:cstheme="minorHAnsi"/>
                <w:b/>
              </w:rPr>
              <w:t>w mln USD</w:t>
            </w:r>
          </w:p>
        </w:tc>
        <w:tc>
          <w:tcPr>
            <w:tcW w:w="0" w:type="auto"/>
          </w:tcPr>
          <w:p w14:paraId="4316B824" w14:textId="77777777" w:rsidR="009508A2" w:rsidRPr="000E5283" w:rsidRDefault="009508A2" w:rsidP="00EB6730">
            <w:pPr>
              <w:rPr>
                <w:rFonts w:cstheme="minorHAnsi"/>
                <w:b/>
              </w:rPr>
            </w:pPr>
            <w:r w:rsidRPr="000E5283">
              <w:rPr>
                <w:rFonts w:cstheme="minorHAnsi"/>
                <w:b/>
              </w:rPr>
              <w:t xml:space="preserve">BIZ USA w Polsce </w:t>
            </w:r>
            <w:r w:rsidR="00EB6730" w:rsidRPr="000E5283">
              <w:rPr>
                <w:rFonts w:cstheme="minorHAnsi"/>
                <w:b/>
              </w:rPr>
              <w:t>–</w:t>
            </w:r>
            <w:r w:rsidRPr="000E5283">
              <w:rPr>
                <w:rFonts w:cstheme="minorHAnsi"/>
                <w:b/>
              </w:rPr>
              <w:t xml:space="preserve"> </w:t>
            </w:r>
            <w:r w:rsidR="00EB6730" w:rsidRPr="000E5283">
              <w:rPr>
                <w:rFonts w:cstheme="minorHAnsi"/>
                <w:b/>
              </w:rPr>
              <w:t>różnica w %</w:t>
            </w:r>
            <w:r w:rsidRPr="000E5283">
              <w:rPr>
                <w:rFonts w:cstheme="minorHAnsi"/>
                <w:b/>
              </w:rPr>
              <w:t xml:space="preserve"> wobec roku poprzedniego</w:t>
            </w:r>
          </w:p>
        </w:tc>
        <w:tc>
          <w:tcPr>
            <w:tcW w:w="0" w:type="auto"/>
            <w:hideMark/>
          </w:tcPr>
          <w:p w14:paraId="59A304C9" w14:textId="77777777" w:rsidR="009508A2" w:rsidRPr="000E5283" w:rsidRDefault="009508A2" w:rsidP="00B94D8D">
            <w:pPr>
              <w:rPr>
                <w:rFonts w:cstheme="minorHAnsi"/>
                <w:b/>
              </w:rPr>
            </w:pPr>
            <w:r w:rsidRPr="000E5283">
              <w:rPr>
                <w:rFonts w:cstheme="minorHAnsi"/>
                <w:b/>
              </w:rPr>
              <w:t>BIZ Polski w USA w mln USD</w:t>
            </w:r>
          </w:p>
        </w:tc>
        <w:tc>
          <w:tcPr>
            <w:tcW w:w="0" w:type="auto"/>
          </w:tcPr>
          <w:p w14:paraId="5DFB6657" w14:textId="77777777" w:rsidR="009508A2" w:rsidRPr="000E5283" w:rsidRDefault="00EB6730" w:rsidP="00EB6730">
            <w:pPr>
              <w:rPr>
                <w:rFonts w:cstheme="minorHAnsi"/>
                <w:b/>
              </w:rPr>
            </w:pPr>
            <w:r w:rsidRPr="000E5283">
              <w:rPr>
                <w:rFonts w:cstheme="minorHAnsi"/>
                <w:b/>
              </w:rPr>
              <w:t>BIZ Polski w USA – różnica w % wobec roku poprzedniego</w:t>
            </w:r>
          </w:p>
        </w:tc>
      </w:tr>
      <w:tr w:rsidR="009508A2" w:rsidRPr="000E5283" w14:paraId="4DD71B03" w14:textId="77777777" w:rsidTr="00EB6730">
        <w:tc>
          <w:tcPr>
            <w:tcW w:w="0" w:type="auto"/>
            <w:hideMark/>
          </w:tcPr>
          <w:p w14:paraId="49D1751F" w14:textId="77777777" w:rsidR="009508A2" w:rsidRPr="000E5283" w:rsidRDefault="009508A2" w:rsidP="009508A2">
            <w:pPr>
              <w:spacing w:after="160" w:line="259" w:lineRule="auto"/>
              <w:rPr>
                <w:rFonts w:cstheme="minorHAnsi"/>
                <w:b/>
              </w:rPr>
            </w:pPr>
            <w:r w:rsidRPr="000E5283">
              <w:rPr>
                <w:rFonts w:cstheme="minorHAnsi"/>
                <w:b/>
              </w:rPr>
              <w:t>2023</w:t>
            </w:r>
          </w:p>
        </w:tc>
        <w:tc>
          <w:tcPr>
            <w:tcW w:w="0" w:type="auto"/>
            <w:hideMark/>
          </w:tcPr>
          <w:p w14:paraId="0386FA43" w14:textId="77777777" w:rsidR="009508A2" w:rsidRPr="000E5283" w:rsidRDefault="009508A2" w:rsidP="009508A2">
            <w:pPr>
              <w:rPr>
                <w:rFonts w:cstheme="minorHAnsi"/>
              </w:rPr>
            </w:pPr>
            <w:r w:rsidRPr="000E5283">
              <w:rPr>
                <w:rFonts w:cstheme="minorHAnsi"/>
              </w:rPr>
              <w:t>15 773</w:t>
            </w:r>
          </w:p>
        </w:tc>
        <w:tc>
          <w:tcPr>
            <w:tcW w:w="0" w:type="auto"/>
          </w:tcPr>
          <w:p w14:paraId="6C3B8134" w14:textId="77777777" w:rsidR="009508A2" w:rsidRPr="000E5283" w:rsidRDefault="009508A2" w:rsidP="009508A2">
            <w:pPr>
              <w:rPr>
                <w:rFonts w:cstheme="minorHAnsi"/>
              </w:rPr>
            </w:pPr>
            <w:r w:rsidRPr="000E5283">
              <w:rPr>
                <w:rFonts w:cstheme="minorHAnsi"/>
              </w:rPr>
              <w:t>wzrost o 15,4% wobec 2022</w:t>
            </w:r>
          </w:p>
        </w:tc>
        <w:tc>
          <w:tcPr>
            <w:tcW w:w="0" w:type="auto"/>
            <w:hideMark/>
          </w:tcPr>
          <w:p w14:paraId="41D88FD1" w14:textId="77777777" w:rsidR="009508A2" w:rsidRPr="000E5283" w:rsidRDefault="009508A2" w:rsidP="009508A2">
            <w:pPr>
              <w:rPr>
                <w:rFonts w:cstheme="minorHAnsi"/>
              </w:rPr>
            </w:pPr>
            <w:r w:rsidRPr="000E5283">
              <w:rPr>
                <w:rFonts w:cstheme="minorHAnsi"/>
              </w:rPr>
              <w:t xml:space="preserve">498 </w:t>
            </w:r>
          </w:p>
        </w:tc>
        <w:tc>
          <w:tcPr>
            <w:tcW w:w="0" w:type="auto"/>
          </w:tcPr>
          <w:p w14:paraId="2C121C5E" w14:textId="77777777" w:rsidR="009508A2" w:rsidRPr="000E5283" w:rsidRDefault="009508A2" w:rsidP="009508A2">
            <w:pPr>
              <w:rPr>
                <w:rFonts w:cstheme="minorHAnsi"/>
              </w:rPr>
            </w:pPr>
            <w:r w:rsidRPr="000E5283">
              <w:rPr>
                <w:rFonts w:cstheme="minorHAnsi"/>
              </w:rPr>
              <w:t>wzrost o 7,6% wobec 2022</w:t>
            </w:r>
          </w:p>
        </w:tc>
      </w:tr>
      <w:tr w:rsidR="009508A2" w:rsidRPr="000E5283" w14:paraId="613BFBD5" w14:textId="77777777" w:rsidTr="00EB6730">
        <w:tc>
          <w:tcPr>
            <w:tcW w:w="0" w:type="auto"/>
          </w:tcPr>
          <w:p w14:paraId="50342C43" w14:textId="77777777" w:rsidR="009508A2" w:rsidRPr="000E5283" w:rsidRDefault="009508A2" w:rsidP="009508A2">
            <w:pPr>
              <w:rPr>
                <w:rFonts w:eastAsia="Times New Roman" w:cstheme="minorHAnsi"/>
                <w:b/>
                <w:bCs/>
                <w:bdr w:val="none" w:sz="0" w:space="0" w:color="auto" w:frame="1"/>
                <w:lang w:eastAsia="pl-PL"/>
              </w:rPr>
            </w:pPr>
            <w:r w:rsidRPr="000E5283">
              <w:rPr>
                <w:rFonts w:cstheme="minorHAnsi"/>
                <w:b/>
              </w:rPr>
              <w:t>2022</w:t>
            </w:r>
          </w:p>
        </w:tc>
        <w:tc>
          <w:tcPr>
            <w:tcW w:w="0" w:type="auto"/>
          </w:tcPr>
          <w:p w14:paraId="7C92EEF0" w14:textId="77777777" w:rsidR="009508A2" w:rsidRPr="000E5283" w:rsidRDefault="009508A2" w:rsidP="009508A2">
            <w:pPr>
              <w:rPr>
                <w:rFonts w:cstheme="minorHAnsi"/>
              </w:rPr>
            </w:pPr>
            <w:r w:rsidRPr="000E5283">
              <w:rPr>
                <w:rFonts w:cstheme="minorHAnsi"/>
              </w:rPr>
              <w:t>13 674 </w:t>
            </w:r>
          </w:p>
        </w:tc>
        <w:tc>
          <w:tcPr>
            <w:tcW w:w="0" w:type="auto"/>
          </w:tcPr>
          <w:p w14:paraId="2BE55CE8" w14:textId="77777777" w:rsidR="009508A2" w:rsidRPr="000E5283" w:rsidRDefault="009508A2" w:rsidP="009508A2">
            <w:pPr>
              <w:rPr>
                <w:rFonts w:cstheme="minorHAnsi"/>
              </w:rPr>
            </w:pPr>
            <w:r w:rsidRPr="000E5283">
              <w:rPr>
                <w:rFonts w:cstheme="minorHAnsi"/>
              </w:rPr>
              <w:t>wzrost o 13% wobec 2021</w:t>
            </w:r>
          </w:p>
        </w:tc>
        <w:tc>
          <w:tcPr>
            <w:tcW w:w="0" w:type="auto"/>
          </w:tcPr>
          <w:p w14:paraId="192A0387" w14:textId="77777777" w:rsidR="009508A2" w:rsidRPr="000E5283" w:rsidRDefault="009508A2" w:rsidP="009508A2">
            <w:pPr>
              <w:rPr>
                <w:rFonts w:cstheme="minorHAnsi"/>
              </w:rPr>
            </w:pPr>
            <w:r w:rsidRPr="000E5283">
              <w:rPr>
                <w:rFonts w:cstheme="minorHAnsi"/>
              </w:rPr>
              <w:t>463</w:t>
            </w:r>
          </w:p>
        </w:tc>
        <w:tc>
          <w:tcPr>
            <w:tcW w:w="0" w:type="auto"/>
          </w:tcPr>
          <w:p w14:paraId="7BD62450" w14:textId="77777777" w:rsidR="009508A2" w:rsidRPr="000E5283" w:rsidRDefault="009508A2" w:rsidP="009508A2">
            <w:pPr>
              <w:rPr>
                <w:rFonts w:cstheme="minorHAnsi"/>
              </w:rPr>
            </w:pPr>
            <w:r w:rsidRPr="000E5283">
              <w:rPr>
                <w:rFonts w:cstheme="minorHAnsi"/>
              </w:rPr>
              <w:t>wzrost o 23% wobec 2021</w:t>
            </w:r>
          </w:p>
        </w:tc>
      </w:tr>
      <w:tr w:rsidR="009508A2" w:rsidRPr="000E5283" w14:paraId="68438EB1" w14:textId="77777777" w:rsidTr="00EB6730">
        <w:tc>
          <w:tcPr>
            <w:tcW w:w="0" w:type="auto"/>
          </w:tcPr>
          <w:p w14:paraId="55391470" w14:textId="77777777" w:rsidR="009508A2" w:rsidRPr="000E5283" w:rsidRDefault="009508A2" w:rsidP="009508A2">
            <w:pPr>
              <w:rPr>
                <w:rFonts w:eastAsia="Times New Roman" w:cstheme="minorHAnsi"/>
                <w:b/>
                <w:bCs/>
                <w:bdr w:val="none" w:sz="0" w:space="0" w:color="auto" w:frame="1"/>
                <w:lang w:eastAsia="pl-PL"/>
              </w:rPr>
            </w:pPr>
            <w:r w:rsidRPr="000E5283">
              <w:rPr>
                <w:rFonts w:cstheme="minorHAnsi"/>
                <w:b/>
              </w:rPr>
              <w:t>2021</w:t>
            </w:r>
          </w:p>
        </w:tc>
        <w:tc>
          <w:tcPr>
            <w:tcW w:w="0" w:type="auto"/>
          </w:tcPr>
          <w:p w14:paraId="09D1E269" w14:textId="77777777" w:rsidR="009508A2" w:rsidRPr="000E5283" w:rsidRDefault="009508A2" w:rsidP="009508A2">
            <w:pPr>
              <w:rPr>
                <w:rFonts w:cstheme="minorHAnsi"/>
              </w:rPr>
            </w:pPr>
            <w:r w:rsidRPr="000E5283">
              <w:rPr>
                <w:rFonts w:cstheme="minorHAnsi"/>
              </w:rPr>
              <w:t>12 109</w:t>
            </w:r>
          </w:p>
        </w:tc>
        <w:tc>
          <w:tcPr>
            <w:tcW w:w="0" w:type="auto"/>
          </w:tcPr>
          <w:p w14:paraId="53E781D4" w14:textId="77777777" w:rsidR="009508A2" w:rsidRPr="000E5283" w:rsidRDefault="009508A2" w:rsidP="009508A2">
            <w:pPr>
              <w:rPr>
                <w:rFonts w:cstheme="minorHAnsi"/>
              </w:rPr>
            </w:pPr>
            <w:r w:rsidRPr="000E5283">
              <w:rPr>
                <w:rFonts w:cstheme="minorHAnsi"/>
              </w:rPr>
              <w:t>wzrost o 13% wobec 2020</w:t>
            </w:r>
          </w:p>
        </w:tc>
        <w:tc>
          <w:tcPr>
            <w:tcW w:w="0" w:type="auto"/>
          </w:tcPr>
          <w:p w14:paraId="736C77E1" w14:textId="77777777" w:rsidR="009508A2" w:rsidRPr="000E5283" w:rsidRDefault="009508A2" w:rsidP="009508A2">
            <w:pPr>
              <w:rPr>
                <w:rFonts w:cstheme="minorHAnsi"/>
              </w:rPr>
            </w:pPr>
            <w:r w:rsidRPr="000E5283">
              <w:rPr>
                <w:rFonts w:cstheme="minorHAnsi"/>
              </w:rPr>
              <w:t>376</w:t>
            </w:r>
          </w:p>
        </w:tc>
        <w:tc>
          <w:tcPr>
            <w:tcW w:w="0" w:type="auto"/>
          </w:tcPr>
          <w:p w14:paraId="233FF916" w14:textId="77777777" w:rsidR="009508A2" w:rsidRPr="000E5283" w:rsidRDefault="00EB6730" w:rsidP="00EB6730">
            <w:pPr>
              <w:rPr>
                <w:rFonts w:cstheme="minorHAnsi"/>
              </w:rPr>
            </w:pPr>
            <w:r w:rsidRPr="000E5283">
              <w:rPr>
                <w:rFonts w:cstheme="minorHAnsi"/>
              </w:rPr>
              <w:t>spadek</w:t>
            </w:r>
            <w:r w:rsidR="009508A2" w:rsidRPr="000E5283">
              <w:rPr>
                <w:rFonts w:cstheme="minorHAnsi"/>
              </w:rPr>
              <w:t xml:space="preserve"> o </w:t>
            </w:r>
            <w:r w:rsidRPr="000E5283">
              <w:rPr>
                <w:rFonts w:cstheme="minorHAnsi"/>
              </w:rPr>
              <w:t>45</w:t>
            </w:r>
            <w:r w:rsidR="009508A2" w:rsidRPr="000E5283">
              <w:rPr>
                <w:rFonts w:cstheme="minorHAnsi"/>
              </w:rPr>
              <w:t>% wobec 2020</w:t>
            </w:r>
          </w:p>
        </w:tc>
      </w:tr>
    </w:tbl>
    <w:p w14:paraId="02C60401" w14:textId="77777777" w:rsidR="00B71049" w:rsidRPr="000E5283" w:rsidRDefault="00B94D8D" w:rsidP="00986F3D">
      <w:pPr>
        <w:rPr>
          <w:rFonts w:eastAsia="Times New Roman" w:cstheme="minorHAnsi"/>
          <w:lang w:val="en-US" w:eastAsia="pl-PL"/>
        </w:rPr>
      </w:pPr>
      <w:r w:rsidRPr="000E5283">
        <w:rPr>
          <w:rFonts w:cstheme="minorHAnsi"/>
          <w:lang w:val="en-US"/>
        </w:rPr>
        <w:t xml:space="preserve">Źródło: </w:t>
      </w:r>
      <w:hyperlink r:id="rId29" w:anchor="355" w:history="1">
        <w:r w:rsidRPr="000E5283">
          <w:rPr>
            <w:rFonts w:cstheme="minorHAnsi"/>
            <w:color w:val="0000FF"/>
            <w:u w:val="single"/>
            <w:lang w:val="en-US"/>
          </w:rPr>
          <w:t>Bea: Poland - International Trade and Investment Country Facts</w:t>
        </w:r>
      </w:hyperlink>
      <w:bookmarkStart w:id="3" w:name="2022"/>
      <w:bookmarkEnd w:id="3"/>
    </w:p>
    <w:p w14:paraId="72F1B656" w14:textId="77777777" w:rsidR="007F64CA" w:rsidRPr="000E5283" w:rsidRDefault="0002265B" w:rsidP="0002265B">
      <w:pPr>
        <w:spacing w:before="240" w:after="120" w:line="264" w:lineRule="auto"/>
        <w:ind w:left="360"/>
        <w:outlineLvl w:val="3"/>
        <w:rPr>
          <w:rFonts w:cstheme="minorHAnsi"/>
          <w:b/>
        </w:rPr>
      </w:pPr>
      <w:r w:rsidRPr="000E5283">
        <w:rPr>
          <w:rFonts w:cstheme="minorHAnsi"/>
          <w:b/>
        </w:rPr>
        <w:t>7.2. Relacje z UE</w:t>
      </w:r>
    </w:p>
    <w:p w14:paraId="3DECEC9D" w14:textId="77777777" w:rsidR="00D2752A" w:rsidRPr="000E5283" w:rsidRDefault="00B9120F" w:rsidP="00A71497">
      <w:pPr>
        <w:spacing w:before="240" w:after="120" w:line="264" w:lineRule="auto"/>
        <w:jc w:val="both"/>
        <w:outlineLvl w:val="3"/>
        <w:rPr>
          <w:rFonts w:cstheme="minorHAnsi"/>
        </w:rPr>
      </w:pPr>
      <w:r w:rsidRPr="000E5283">
        <w:rPr>
          <w:rFonts w:cstheme="minorHAnsi"/>
        </w:rPr>
        <w:t xml:space="preserve">UE i USA  wiąże bliska współpraca w zakresie polityki zagranicznej i gospodarczej, w tym w obszarze energetyki i </w:t>
      </w:r>
      <w:r w:rsidRPr="000E5283">
        <w:rPr>
          <w:rFonts w:eastAsia="Times New Roman" w:cstheme="minorHAnsi"/>
          <w:color w:val="1B1B1B"/>
          <w:lang w:eastAsia="pl-PL"/>
        </w:rPr>
        <w:t>technologii</w:t>
      </w:r>
      <w:r w:rsidRPr="000E5283">
        <w:rPr>
          <w:rFonts w:cstheme="minorHAnsi"/>
        </w:rPr>
        <w:t>, na forum tzw. Rady Handlu i Technologii (</w:t>
      </w:r>
      <w:r w:rsidRPr="000E5283">
        <w:rPr>
          <w:rFonts w:cstheme="minorHAnsi"/>
          <w:i/>
          <w:iCs/>
        </w:rPr>
        <w:t>Trade and Technology Council – TTC</w:t>
      </w:r>
      <w:r w:rsidR="00D2752A" w:rsidRPr="000E5283">
        <w:rPr>
          <w:rFonts w:cstheme="minorHAnsi"/>
        </w:rPr>
        <w:t xml:space="preserve">). </w:t>
      </w:r>
    </w:p>
    <w:p w14:paraId="453E281D" w14:textId="77777777" w:rsidR="00B9120F" w:rsidRPr="000E5283" w:rsidRDefault="00B9120F" w:rsidP="00A71497">
      <w:pPr>
        <w:spacing w:before="240" w:after="120" w:line="264" w:lineRule="auto"/>
        <w:jc w:val="both"/>
        <w:outlineLvl w:val="3"/>
        <w:rPr>
          <w:rFonts w:cstheme="minorHAnsi"/>
        </w:rPr>
      </w:pPr>
      <w:r w:rsidRPr="000E5283">
        <w:rPr>
          <w:rFonts w:cstheme="minorHAnsi"/>
        </w:rPr>
        <w:t>Szóste ministerialne spotkanie</w:t>
      </w:r>
      <w:r w:rsidR="00D2752A" w:rsidRPr="000E5283">
        <w:rPr>
          <w:rFonts w:cstheme="minorHAnsi"/>
        </w:rPr>
        <w:t xml:space="preserve"> TTC</w:t>
      </w:r>
      <w:r w:rsidRPr="000E5283">
        <w:rPr>
          <w:rFonts w:cstheme="minorHAnsi"/>
        </w:rPr>
        <w:t xml:space="preserve"> między Stanami Zjednoczonymi a Unią Europejską, które odbyło się w kwietniu 2024 r. podkreśliło osiągnięcia we wszystkich obszarach współpracy, a szczególnie potwierdziło wagę </w:t>
      </w:r>
      <w:r w:rsidRPr="000E5283">
        <w:rPr>
          <w:rFonts w:eastAsia="Times New Roman" w:cstheme="minorHAnsi"/>
          <w:color w:val="1B1B1B"/>
          <w:lang w:eastAsia="pl-PL"/>
        </w:rPr>
        <w:t>współpracy</w:t>
      </w:r>
      <w:r w:rsidRPr="000E5283">
        <w:rPr>
          <w:rFonts w:cstheme="minorHAnsi"/>
        </w:rPr>
        <w:t xml:space="preserve"> transatlantyckiej w zakresie strategicznych kwestii handlu i technologii. Wśród głównych rezultatów znalazły się m.in. nowy dialog dotyczący współpracy w dziedzinie sztucznej inteligencji, plany przedłużenia porozumień dotyczących łańcucha dostaw półprzewodników oraz wspólny katalog najlepszych praktyk „zielonych zamówień publicznych”. Szczególny nacisk położono na zaangażowanie interesariuszy w kształtowanie przyszłości TTC. Niepewność co do przyszłości tego formatu wiąże się ze zmianą administracji w USA.</w:t>
      </w:r>
    </w:p>
    <w:p w14:paraId="7C95BBA5" w14:textId="77777777" w:rsidR="00B9120F" w:rsidRPr="000E5283" w:rsidRDefault="00B9120F" w:rsidP="00D2752A">
      <w:pPr>
        <w:tabs>
          <w:tab w:val="num" w:pos="720"/>
        </w:tabs>
        <w:spacing w:before="120" w:after="120" w:line="264" w:lineRule="auto"/>
        <w:jc w:val="both"/>
        <w:rPr>
          <w:rFonts w:cstheme="minorHAnsi"/>
        </w:rPr>
      </w:pPr>
      <w:r w:rsidRPr="000E5283">
        <w:rPr>
          <w:rFonts w:cstheme="minorHAnsi"/>
          <w:b/>
          <w:bCs/>
        </w:rPr>
        <w:t>Podsumowanie najważniejszych postanowień w kluczowych obszarach:</w:t>
      </w:r>
    </w:p>
    <w:p w14:paraId="174CA45A" w14:textId="77777777" w:rsidR="00B9120F" w:rsidRPr="000E5283" w:rsidRDefault="00B9120F" w:rsidP="00D2752A">
      <w:pPr>
        <w:pStyle w:val="Akapitzlist"/>
        <w:numPr>
          <w:ilvl w:val="0"/>
          <w:numId w:val="32"/>
        </w:numPr>
        <w:spacing w:before="120" w:after="120" w:line="264" w:lineRule="auto"/>
        <w:jc w:val="both"/>
        <w:rPr>
          <w:rFonts w:cstheme="minorHAnsi"/>
          <w:b/>
          <w:bCs/>
        </w:rPr>
      </w:pPr>
      <w:r w:rsidRPr="000E5283">
        <w:rPr>
          <w:rFonts w:cstheme="minorHAnsi"/>
          <w:b/>
          <w:bCs/>
        </w:rPr>
        <w:t>Łańcuchy dostaw</w:t>
      </w:r>
      <w:r w:rsidR="00D2752A" w:rsidRPr="000E5283">
        <w:rPr>
          <w:rFonts w:cstheme="minorHAnsi"/>
          <w:b/>
          <w:bCs/>
        </w:rPr>
        <w:t>:</w:t>
      </w:r>
    </w:p>
    <w:p w14:paraId="7249CA76"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Podjęto działania w celu identyfikacji i eliminacji punktów wrażliwych na zaburzenia, zwłaszcza w sektorze półprzewodników, energii słonecznej i minerałów krytycznych.</w:t>
      </w:r>
    </w:p>
    <w:p w14:paraId="13E912CC"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lastRenderedPageBreak/>
        <w:t>Aktywowano mechanizmy wczesnego ostrzegania w odpowiedzi na kontrolę eksportu galu i germanu przez Chiny.</w:t>
      </w:r>
    </w:p>
    <w:p w14:paraId="6F82CE62"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 xml:space="preserve">Promowano ochronę praw pracowniczych i zwalczanie pracy przymusowej w łańcuchach dostaw poprzez </w:t>
      </w:r>
      <w:r w:rsidRPr="000E5283">
        <w:rPr>
          <w:rFonts w:cstheme="minorHAnsi"/>
          <w:i/>
        </w:rPr>
        <w:t>TTC Trade and Labor Dialogue</w:t>
      </w:r>
      <w:r w:rsidRPr="000E5283">
        <w:rPr>
          <w:rFonts w:cstheme="minorHAnsi"/>
        </w:rPr>
        <w:t xml:space="preserve"> (TALD).</w:t>
      </w:r>
    </w:p>
    <w:p w14:paraId="0834813D" w14:textId="77777777" w:rsidR="00B9120F" w:rsidRPr="000E5283" w:rsidRDefault="00B9120F" w:rsidP="00D2752A">
      <w:pPr>
        <w:pStyle w:val="Akapitzlist"/>
        <w:numPr>
          <w:ilvl w:val="0"/>
          <w:numId w:val="32"/>
        </w:numPr>
        <w:spacing w:before="120" w:after="120" w:line="264" w:lineRule="auto"/>
        <w:jc w:val="both"/>
        <w:rPr>
          <w:rFonts w:cstheme="minorHAnsi"/>
          <w:b/>
          <w:bCs/>
        </w:rPr>
      </w:pPr>
      <w:r w:rsidRPr="000E5283">
        <w:rPr>
          <w:rFonts w:cstheme="minorHAnsi"/>
          <w:b/>
          <w:bCs/>
        </w:rPr>
        <w:t>Polityka cyfrowa i nowe technologie</w:t>
      </w:r>
      <w:r w:rsidR="00D2752A" w:rsidRPr="000E5283">
        <w:rPr>
          <w:rFonts w:cstheme="minorHAnsi"/>
          <w:b/>
          <w:bCs/>
        </w:rPr>
        <w:t>:</w:t>
      </w:r>
      <w:r w:rsidRPr="000E5283">
        <w:rPr>
          <w:rFonts w:cstheme="minorHAnsi"/>
          <w:b/>
          <w:bCs/>
        </w:rPr>
        <w:t xml:space="preserve"> </w:t>
      </w:r>
    </w:p>
    <w:p w14:paraId="614EA98B"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Współpraca objęła AI, obliczenia kwantowe, 6G, półprzewodniki i biotechnologię, zaktualizowano terminologię dla AI.</w:t>
      </w:r>
    </w:p>
    <w:p w14:paraId="21CB3607"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 xml:space="preserve">Zespół ds. kwantowych zintensyfikował rozmowy </w:t>
      </w:r>
      <w:r w:rsidR="00D2752A" w:rsidRPr="000E5283">
        <w:rPr>
          <w:rFonts w:cstheme="minorHAnsi"/>
        </w:rPr>
        <w:t>nt.</w:t>
      </w:r>
      <w:r w:rsidRPr="000E5283">
        <w:rPr>
          <w:rFonts w:cstheme="minorHAnsi"/>
        </w:rPr>
        <w:t xml:space="preserve"> współdzielenia badań i innych wspólnych działań.</w:t>
      </w:r>
    </w:p>
    <w:p w14:paraId="0BE4800A"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Potwierdzono, że rozbieżności w kwestii unijnych regulacji cyfrowych pozostają wyzwaniem dla szerszej współpracy.</w:t>
      </w:r>
    </w:p>
    <w:p w14:paraId="5810BCC6" w14:textId="77777777" w:rsidR="00B9120F" w:rsidRPr="000E5283" w:rsidRDefault="00B9120F" w:rsidP="00D2752A">
      <w:pPr>
        <w:pStyle w:val="Akapitzlist"/>
        <w:numPr>
          <w:ilvl w:val="0"/>
          <w:numId w:val="32"/>
        </w:numPr>
        <w:spacing w:before="120" w:after="120" w:line="264" w:lineRule="auto"/>
        <w:jc w:val="both"/>
        <w:rPr>
          <w:rFonts w:cstheme="minorHAnsi"/>
          <w:b/>
          <w:bCs/>
        </w:rPr>
      </w:pPr>
      <w:r w:rsidRPr="000E5283">
        <w:rPr>
          <w:rFonts w:cstheme="minorHAnsi"/>
          <w:b/>
          <w:bCs/>
        </w:rPr>
        <w:t>Zrównoważony rozwój</w:t>
      </w:r>
      <w:r w:rsidR="00D2752A" w:rsidRPr="000E5283">
        <w:rPr>
          <w:rFonts w:cstheme="minorHAnsi"/>
          <w:b/>
          <w:bCs/>
        </w:rPr>
        <w:t>:</w:t>
      </w:r>
    </w:p>
    <w:p w14:paraId="1526DA2A"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W ramach Inicjatywy Transatlantyckiej na rzecz Zrównoważonego Handlu (TIST) dyskutowano przejście na gospodarki neutralne dla klimatu. Współpraca obejmowała też technologie czystej energii, minerały krytyczne i zielone zamówienia publiczne. Pozyskiwano także opinie interesariuszy w celu poprawy polityki transatlantyckiej w zakresie zrównoważonego rozwoju.</w:t>
      </w:r>
    </w:p>
    <w:p w14:paraId="0E8C35C2" w14:textId="77777777" w:rsidR="00B9120F" w:rsidRPr="000E5283" w:rsidRDefault="00B9120F" w:rsidP="00D2752A">
      <w:pPr>
        <w:pStyle w:val="Akapitzlist"/>
        <w:numPr>
          <w:ilvl w:val="0"/>
          <w:numId w:val="32"/>
        </w:numPr>
        <w:spacing w:before="120" w:after="120" w:line="264" w:lineRule="auto"/>
        <w:jc w:val="both"/>
        <w:rPr>
          <w:rFonts w:cstheme="minorHAnsi"/>
          <w:b/>
          <w:bCs/>
        </w:rPr>
      </w:pPr>
      <w:r w:rsidRPr="000E5283">
        <w:rPr>
          <w:rFonts w:cstheme="minorHAnsi"/>
          <w:b/>
          <w:bCs/>
        </w:rPr>
        <w:t>Handel i bezpieczeństwo</w:t>
      </w:r>
      <w:r w:rsidR="00D2752A" w:rsidRPr="000E5283">
        <w:rPr>
          <w:rFonts w:cstheme="minorHAnsi"/>
          <w:b/>
          <w:bCs/>
        </w:rPr>
        <w:t>:</w:t>
      </w:r>
    </w:p>
    <w:p w14:paraId="33F7054E"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Podkreślono wspólne obawy dotyczące bezpieczeństwa gospodarczego i „ekonomicznego przymusu”.</w:t>
      </w:r>
    </w:p>
    <w:p w14:paraId="26935329"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Kontynuowano działania na rzecz dywersyfikacji handlu, koordynacji ograniczeń eksportowych wobec Rosji i monitorowania ryzyk inwestycyjnych.</w:t>
      </w:r>
    </w:p>
    <w:p w14:paraId="7CEA0CDB"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Zwrócono uwagę na praktyki gospodarcze Chin, w tym w sektorze urządzeń medycznych.</w:t>
      </w:r>
    </w:p>
    <w:p w14:paraId="39FC19E8" w14:textId="77777777" w:rsidR="00B9120F" w:rsidRPr="000E5283" w:rsidRDefault="00B9120F" w:rsidP="00D2752A">
      <w:pPr>
        <w:tabs>
          <w:tab w:val="num" w:pos="720"/>
        </w:tabs>
        <w:spacing w:before="120" w:after="120" w:line="264" w:lineRule="auto"/>
        <w:jc w:val="both"/>
        <w:rPr>
          <w:rFonts w:cstheme="minorHAnsi"/>
          <w:b/>
          <w:bCs/>
        </w:rPr>
      </w:pPr>
      <w:r w:rsidRPr="000E5283">
        <w:rPr>
          <w:rFonts w:cstheme="minorHAnsi"/>
          <w:b/>
          <w:bCs/>
        </w:rPr>
        <w:t>Do osiągnięć w innych obszarach zaliczono:</w:t>
      </w:r>
    </w:p>
    <w:p w14:paraId="177AA5F0" w14:textId="77777777" w:rsidR="00B9120F" w:rsidRPr="000E5283" w:rsidRDefault="00B9120F" w:rsidP="00D2752A">
      <w:pPr>
        <w:pStyle w:val="Akapitzlist"/>
        <w:numPr>
          <w:ilvl w:val="0"/>
          <w:numId w:val="32"/>
        </w:numPr>
        <w:spacing w:before="120" w:after="120" w:line="264" w:lineRule="auto"/>
        <w:jc w:val="both"/>
        <w:rPr>
          <w:rFonts w:cstheme="minorHAnsi"/>
        </w:rPr>
      </w:pPr>
      <w:r w:rsidRPr="000E5283">
        <w:rPr>
          <w:rFonts w:cstheme="minorHAnsi"/>
          <w:b/>
          <w:bCs/>
        </w:rPr>
        <w:t>Dialog dotyczący AI:</w:t>
      </w:r>
    </w:p>
    <w:p w14:paraId="573C94B2" w14:textId="77777777" w:rsidR="00B9120F" w:rsidRPr="000E5283" w:rsidRDefault="00B9120F" w:rsidP="00D2752A">
      <w:pPr>
        <w:numPr>
          <w:ilvl w:val="0"/>
          <w:numId w:val="25"/>
        </w:numPr>
        <w:spacing w:after="0" w:line="264" w:lineRule="auto"/>
        <w:jc w:val="both"/>
        <w:rPr>
          <w:rFonts w:cstheme="minorHAnsi"/>
        </w:rPr>
      </w:pPr>
      <w:r w:rsidRPr="000E5283">
        <w:rPr>
          <w:rFonts w:cstheme="minorHAnsi"/>
        </w:rPr>
        <w:t>Nawiązanie dialogu pomiędzy Europejskim Biurem ds. Sztucznej Inteligencji a Amerykańskim Instytutem Bezpieczeństwa AI.</w:t>
      </w:r>
    </w:p>
    <w:p w14:paraId="4A214675" w14:textId="77777777" w:rsidR="00B9120F" w:rsidRPr="000E5283" w:rsidRDefault="00B9120F" w:rsidP="00D2752A">
      <w:pPr>
        <w:numPr>
          <w:ilvl w:val="0"/>
          <w:numId w:val="25"/>
        </w:numPr>
        <w:spacing w:after="0" w:line="264" w:lineRule="auto"/>
        <w:jc w:val="both"/>
        <w:rPr>
          <w:rFonts w:cstheme="minorHAnsi"/>
        </w:rPr>
      </w:pPr>
      <w:r w:rsidRPr="000E5283">
        <w:rPr>
          <w:rFonts w:cstheme="minorHAnsi"/>
        </w:rPr>
        <w:t>Opublikowanie drugiej edycji wspólnej terminologii i taksonomii EU-USA dla sztucznej inteligencji.</w:t>
      </w:r>
    </w:p>
    <w:p w14:paraId="7998CF84" w14:textId="77777777" w:rsidR="00B9120F" w:rsidRPr="000E5283" w:rsidRDefault="00B9120F" w:rsidP="00D2752A">
      <w:pPr>
        <w:numPr>
          <w:ilvl w:val="0"/>
          <w:numId w:val="25"/>
        </w:numPr>
        <w:spacing w:after="0" w:line="264" w:lineRule="auto"/>
        <w:jc w:val="both"/>
        <w:rPr>
          <w:rFonts w:cstheme="minorHAnsi"/>
        </w:rPr>
      </w:pPr>
      <w:r w:rsidRPr="000E5283">
        <w:rPr>
          <w:rFonts w:cstheme="minorHAnsi"/>
        </w:rPr>
        <w:t>Wydanie dokumentu przeglądowego dotyczącego AI na rzecz dobra publicznego.</w:t>
      </w:r>
    </w:p>
    <w:p w14:paraId="765DF30F" w14:textId="77777777" w:rsidR="00B9120F" w:rsidRPr="000E5283" w:rsidRDefault="00B9120F" w:rsidP="00D2752A">
      <w:pPr>
        <w:pStyle w:val="Akapitzlist"/>
        <w:numPr>
          <w:ilvl w:val="0"/>
          <w:numId w:val="32"/>
        </w:numPr>
        <w:spacing w:before="120" w:after="120" w:line="264" w:lineRule="auto"/>
        <w:jc w:val="both"/>
        <w:rPr>
          <w:rFonts w:cstheme="minorHAnsi"/>
        </w:rPr>
      </w:pPr>
      <w:r w:rsidRPr="000E5283">
        <w:rPr>
          <w:rFonts w:cstheme="minorHAnsi"/>
          <w:b/>
          <w:bCs/>
        </w:rPr>
        <w:t>Technologie cyfrowe:</w:t>
      </w:r>
    </w:p>
    <w:p w14:paraId="0D428D40" w14:textId="77777777" w:rsidR="00B9120F" w:rsidRPr="000E5283" w:rsidRDefault="00B9120F" w:rsidP="00D2752A">
      <w:pPr>
        <w:numPr>
          <w:ilvl w:val="0"/>
          <w:numId w:val="26"/>
        </w:numPr>
        <w:spacing w:after="0" w:line="264" w:lineRule="auto"/>
        <w:jc w:val="both"/>
        <w:rPr>
          <w:rFonts w:cstheme="minorHAnsi"/>
        </w:rPr>
      </w:pPr>
      <w:r w:rsidRPr="000E5283">
        <w:rPr>
          <w:rFonts w:cstheme="minorHAnsi"/>
        </w:rPr>
        <w:t>Przyjęcie wspólnej wizji 6G oraz podpisanie porozumienia o współpracy badawczej.</w:t>
      </w:r>
    </w:p>
    <w:p w14:paraId="4D317B09" w14:textId="77777777" w:rsidR="00B9120F" w:rsidRPr="000E5283" w:rsidRDefault="00B9120F" w:rsidP="00D2752A">
      <w:pPr>
        <w:numPr>
          <w:ilvl w:val="0"/>
          <w:numId w:val="26"/>
        </w:numPr>
        <w:spacing w:after="0" w:line="264" w:lineRule="auto"/>
        <w:jc w:val="both"/>
        <w:rPr>
          <w:rFonts w:cstheme="minorHAnsi"/>
        </w:rPr>
      </w:pPr>
      <w:r w:rsidRPr="000E5283">
        <w:rPr>
          <w:rFonts w:cstheme="minorHAnsi"/>
        </w:rPr>
        <w:t xml:space="preserve">Przyjęcie raportu </w:t>
      </w:r>
      <w:r w:rsidR="00D2752A" w:rsidRPr="000E5283">
        <w:rPr>
          <w:rFonts w:cstheme="minorHAnsi"/>
        </w:rPr>
        <w:t>nt.</w:t>
      </w:r>
      <w:r w:rsidRPr="000E5283">
        <w:rPr>
          <w:rFonts w:cstheme="minorHAnsi"/>
        </w:rPr>
        <w:t xml:space="preserve"> standardów cyfrowej tożsamości w celu promocji interoperacyjności.</w:t>
      </w:r>
    </w:p>
    <w:p w14:paraId="7E49D73E"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Opublikowanie raportu dotyczącego dostępu badaczy do danych z platform internetowych.</w:t>
      </w:r>
    </w:p>
    <w:p w14:paraId="71D35098" w14:textId="77777777" w:rsidR="00B9120F" w:rsidRPr="000E5283" w:rsidRDefault="00B9120F" w:rsidP="00D2752A">
      <w:pPr>
        <w:pStyle w:val="Akapitzlist"/>
        <w:numPr>
          <w:ilvl w:val="0"/>
          <w:numId w:val="32"/>
        </w:numPr>
        <w:spacing w:before="120" w:after="120" w:line="264" w:lineRule="auto"/>
        <w:jc w:val="both"/>
        <w:rPr>
          <w:rFonts w:cstheme="minorHAnsi"/>
        </w:rPr>
      </w:pPr>
      <w:r w:rsidRPr="000E5283">
        <w:rPr>
          <w:rFonts w:cstheme="minorHAnsi"/>
          <w:b/>
          <w:bCs/>
        </w:rPr>
        <w:t>Zrównoważony rozwój i gospodarka:</w:t>
      </w:r>
    </w:p>
    <w:p w14:paraId="52C7C6C9" w14:textId="77777777" w:rsidR="00B9120F" w:rsidRPr="000E5283" w:rsidRDefault="00B9120F" w:rsidP="00D2752A">
      <w:pPr>
        <w:numPr>
          <w:ilvl w:val="0"/>
          <w:numId w:val="27"/>
        </w:numPr>
        <w:spacing w:after="0" w:line="264" w:lineRule="auto"/>
        <w:jc w:val="both"/>
        <w:rPr>
          <w:rFonts w:cstheme="minorHAnsi"/>
        </w:rPr>
      </w:pPr>
      <w:r w:rsidRPr="000E5283">
        <w:rPr>
          <w:rFonts w:cstheme="minorHAnsi"/>
        </w:rPr>
        <w:t>Wydanie katalogu najlepszych praktyk w zakresie zielonych zamówień publicznych.</w:t>
      </w:r>
    </w:p>
    <w:p w14:paraId="5521F8B1"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Utworzenie Forum Partnerstwa na Rzecz Bezpieczeństwa Minerałów.</w:t>
      </w:r>
    </w:p>
    <w:p w14:paraId="134E78D1" w14:textId="77777777" w:rsidR="00B9120F" w:rsidRPr="000E5283" w:rsidRDefault="00B9120F" w:rsidP="00D2752A">
      <w:pPr>
        <w:numPr>
          <w:ilvl w:val="0"/>
          <w:numId w:val="27"/>
        </w:numPr>
        <w:spacing w:after="0" w:line="264" w:lineRule="auto"/>
        <w:jc w:val="both"/>
        <w:rPr>
          <w:rFonts w:cstheme="minorHAnsi"/>
        </w:rPr>
      </w:pPr>
      <w:r w:rsidRPr="000E5283">
        <w:rPr>
          <w:rFonts w:cstheme="minorHAnsi"/>
        </w:rPr>
        <w:t>Pakiet dotyczący bezpiecznej łączności w Tunezji.</w:t>
      </w:r>
    </w:p>
    <w:p w14:paraId="447DAD96" w14:textId="77777777" w:rsidR="00B9120F" w:rsidRPr="000E5283" w:rsidRDefault="00B9120F" w:rsidP="00D2752A">
      <w:pPr>
        <w:pStyle w:val="Akapitzlist"/>
        <w:numPr>
          <w:ilvl w:val="0"/>
          <w:numId w:val="32"/>
        </w:numPr>
        <w:spacing w:before="120" w:after="120" w:line="264" w:lineRule="auto"/>
        <w:jc w:val="both"/>
        <w:rPr>
          <w:rFonts w:cstheme="minorHAnsi"/>
        </w:rPr>
      </w:pPr>
      <w:r w:rsidRPr="000E5283">
        <w:rPr>
          <w:rFonts w:cstheme="minorHAnsi"/>
          <w:b/>
          <w:bCs/>
        </w:rPr>
        <w:t>Prawa człowieka i odpowiedzialność platform:</w:t>
      </w:r>
    </w:p>
    <w:p w14:paraId="24792E28" w14:textId="77777777" w:rsidR="00B9120F" w:rsidRPr="000E5283" w:rsidRDefault="00B9120F" w:rsidP="00005DFF">
      <w:pPr>
        <w:numPr>
          <w:ilvl w:val="0"/>
          <w:numId w:val="25"/>
        </w:numPr>
        <w:spacing w:after="0" w:line="264" w:lineRule="auto"/>
        <w:jc w:val="both"/>
        <w:rPr>
          <w:rFonts w:cstheme="minorHAnsi"/>
        </w:rPr>
      </w:pPr>
      <w:r w:rsidRPr="000E5283">
        <w:rPr>
          <w:rFonts w:cstheme="minorHAnsi"/>
        </w:rPr>
        <w:t>Przyjęcie wspólnych zasad dotyczących przeciwdziałania przemocy ze względu na płeć na platformach internetowych.</w:t>
      </w:r>
    </w:p>
    <w:p w14:paraId="57EC8621" w14:textId="77777777" w:rsidR="00B9120F" w:rsidRPr="000E5283" w:rsidRDefault="00B9120F" w:rsidP="00D2752A">
      <w:pPr>
        <w:numPr>
          <w:ilvl w:val="0"/>
          <w:numId w:val="29"/>
        </w:numPr>
        <w:spacing w:after="0" w:line="264" w:lineRule="auto"/>
        <w:jc w:val="both"/>
        <w:rPr>
          <w:rFonts w:cstheme="minorHAnsi"/>
        </w:rPr>
      </w:pPr>
      <w:r w:rsidRPr="000E5283">
        <w:rPr>
          <w:rFonts w:cstheme="minorHAnsi"/>
        </w:rPr>
        <w:t xml:space="preserve">Wydanie wspólnych rekomendacji dla platform </w:t>
      </w:r>
      <w:r w:rsidR="00D2752A" w:rsidRPr="000E5283">
        <w:rPr>
          <w:rFonts w:cstheme="minorHAnsi"/>
        </w:rPr>
        <w:t>ws.</w:t>
      </w:r>
      <w:r w:rsidRPr="000E5283">
        <w:rPr>
          <w:rFonts w:cstheme="minorHAnsi"/>
        </w:rPr>
        <w:t xml:space="preserve"> ochrony obrońców praw człowieka online.</w:t>
      </w:r>
    </w:p>
    <w:p w14:paraId="27E27269" w14:textId="77777777" w:rsidR="00B9120F" w:rsidRPr="000E5283" w:rsidRDefault="00B9120F" w:rsidP="00D2752A">
      <w:pPr>
        <w:pStyle w:val="Akapitzlist"/>
        <w:numPr>
          <w:ilvl w:val="0"/>
          <w:numId w:val="32"/>
        </w:numPr>
        <w:spacing w:before="120" w:after="120" w:line="264" w:lineRule="auto"/>
        <w:jc w:val="both"/>
        <w:rPr>
          <w:rFonts w:cstheme="minorHAnsi"/>
        </w:rPr>
      </w:pPr>
      <w:r w:rsidRPr="000E5283">
        <w:rPr>
          <w:rFonts w:cstheme="minorHAnsi"/>
          <w:b/>
          <w:bCs/>
        </w:rPr>
        <w:lastRenderedPageBreak/>
        <w:t>Współpraca transatlantycka:</w:t>
      </w:r>
    </w:p>
    <w:p w14:paraId="354BF87E" w14:textId="77777777" w:rsidR="00B9120F" w:rsidRPr="000E5283" w:rsidRDefault="00B9120F" w:rsidP="00D2752A">
      <w:pPr>
        <w:numPr>
          <w:ilvl w:val="0"/>
          <w:numId w:val="30"/>
        </w:numPr>
        <w:spacing w:after="0" w:line="264" w:lineRule="auto"/>
        <w:jc w:val="both"/>
        <w:rPr>
          <w:rFonts w:cstheme="minorHAnsi"/>
        </w:rPr>
      </w:pPr>
      <w:r w:rsidRPr="000E5283">
        <w:rPr>
          <w:rFonts w:cstheme="minorHAnsi"/>
        </w:rPr>
        <w:t xml:space="preserve">Wspólna deklaracja </w:t>
      </w:r>
      <w:r w:rsidR="00D2752A" w:rsidRPr="000E5283">
        <w:rPr>
          <w:rFonts w:cstheme="minorHAnsi"/>
        </w:rPr>
        <w:t>nt.</w:t>
      </w:r>
      <w:r w:rsidRPr="000E5283">
        <w:rPr>
          <w:rFonts w:cstheme="minorHAnsi"/>
        </w:rPr>
        <w:t xml:space="preserve"> „Zwiększania interoperacyjności e-fakturowania między UE a USA.”</w:t>
      </w:r>
    </w:p>
    <w:p w14:paraId="3E88C527" w14:textId="77777777" w:rsidR="00B9120F" w:rsidRPr="000E5283" w:rsidRDefault="00B9120F" w:rsidP="00D2752A">
      <w:pPr>
        <w:numPr>
          <w:ilvl w:val="0"/>
          <w:numId w:val="30"/>
        </w:numPr>
        <w:spacing w:after="0" w:line="264" w:lineRule="auto"/>
        <w:jc w:val="both"/>
        <w:rPr>
          <w:rFonts w:cstheme="minorHAnsi"/>
        </w:rPr>
      </w:pPr>
      <w:r w:rsidRPr="000E5283">
        <w:rPr>
          <w:rFonts w:cstheme="minorHAnsi"/>
        </w:rPr>
        <w:t>Raport z Taskforce ds. Talentów na Rzecz Wzrostu.</w:t>
      </w:r>
    </w:p>
    <w:p w14:paraId="3A8B0C3A" w14:textId="0986C270" w:rsidR="00407726" w:rsidRPr="00BA1867" w:rsidRDefault="00B9120F" w:rsidP="00BA1867">
      <w:pPr>
        <w:numPr>
          <w:ilvl w:val="0"/>
          <w:numId w:val="25"/>
        </w:numPr>
        <w:spacing w:after="0" w:line="264" w:lineRule="auto"/>
        <w:jc w:val="both"/>
        <w:rPr>
          <w:rFonts w:cstheme="minorHAnsi"/>
        </w:rPr>
      </w:pPr>
      <w:r w:rsidRPr="000E5283">
        <w:rPr>
          <w:rFonts w:cstheme="minorHAnsi"/>
        </w:rPr>
        <w:t>Rekomendacje dotyczące promowania dostępu małych i średnich przedsiębiorstw (MŚP) do narzędzi cyfrowych i ich wykorzystania.</w:t>
      </w:r>
    </w:p>
    <w:p w14:paraId="6DD17DEA" w14:textId="7B3E702C" w:rsidR="007F64CA" w:rsidRPr="000E5283" w:rsidRDefault="003C0F76" w:rsidP="0002265B">
      <w:pPr>
        <w:spacing w:before="240" w:after="120" w:line="264" w:lineRule="auto"/>
        <w:ind w:left="360"/>
        <w:outlineLvl w:val="3"/>
        <w:rPr>
          <w:rFonts w:cstheme="minorHAnsi"/>
          <w:b/>
        </w:rPr>
      </w:pPr>
      <w:r>
        <w:rPr>
          <w:rFonts w:cstheme="minorHAnsi"/>
          <w:b/>
        </w:rPr>
        <w:t>7.</w:t>
      </w:r>
      <w:r w:rsidR="00895E6F">
        <w:rPr>
          <w:rFonts w:cstheme="minorHAnsi"/>
          <w:b/>
        </w:rPr>
        <w:t>3</w:t>
      </w:r>
      <w:r w:rsidR="00244E11" w:rsidRPr="000E5283">
        <w:rPr>
          <w:rFonts w:cstheme="minorHAnsi"/>
          <w:b/>
        </w:rPr>
        <w:t xml:space="preserve">. </w:t>
      </w:r>
      <w:r w:rsidR="007F64CA" w:rsidRPr="000E5283">
        <w:rPr>
          <w:rFonts w:cstheme="minorHAnsi"/>
          <w:b/>
        </w:rPr>
        <w:t xml:space="preserve">Baza traktatowa </w:t>
      </w:r>
    </w:p>
    <w:p w14:paraId="18D87AD0" w14:textId="5C05D03E" w:rsidR="00F32311" w:rsidRPr="000E5283" w:rsidRDefault="00F32311" w:rsidP="00CC3CB7">
      <w:pPr>
        <w:spacing w:before="240" w:after="120" w:line="264" w:lineRule="auto"/>
        <w:ind w:left="360"/>
        <w:outlineLvl w:val="3"/>
        <w:rPr>
          <w:rFonts w:cstheme="minorHAnsi"/>
          <w:b/>
        </w:rPr>
      </w:pPr>
      <w:r w:rsidRPr="000E5283">
        <w:rPr>
          <w:rFonts w:cstheme="minorHAnsi"/>
          <w:b/>
        </w:rPr>
        <w:t>7.</w:t>
      </w:r>
      <w:r w:rsidR="00895E6F">
        <w:rPr>
          <w:rFonts w:cstheme="minorHAnsi"/>
          <w:b/>
        </w:rPr>
        <w:t>3</w:t>
      </w:r>
      <w:r w:rsidR="005551C6" w:rsidRPr="000E5283">
        <w:rPr>
          <w:rFonts w:cstheme="minorHAnsi"/>
          <w:b/>
        </w:rPr>
        <w:t>.1</w:t>
      </w:r>
      <w:r w:rsidRPr="000E5283">
        <w:rPr>
          <w:rFonts w:cstheme="minorHAnsi"/>
          <w:b/>
        </w:rPr>
        <w:t xml:space="preserve">. Baza traktatowa </w:t>
      </w:r>
      <w:r w:rsidR="00CC3CB7" w:rsidRPr="000E5283">
        <w:rPr>
          <w:rFonts w:cstheme="minorHAnsi"/>
          <w:b/>
        </w:rPr>
        <w:t>USA – Polska</w:t>
      </w:r>
      <w:r w:rsidR="00CC3CB7" w:rsidRPr="000E5283">
        <w:rPr>
          <w:rFonts w:eastAsia="Times New Roman" w:cstheme="minorHAnsi"/>
          <w:b/>
          <w:bCs/>
          <w:lang w:eastAsia="pl-PL"/>
        </w:rPr>
        <w:t xml:space="preserve"> </w:t>
      </w:r>
    </w:p>
    <w:p w14:paraId="43EC3A54" w14:textId="77777777" w:rsidR="00F32311" w:rsidRPr="000E5283" w:rsidRDefault="00F32311"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eastAsia="pl-PL"/>
        </w:rPr>
        <w:t>Traktat o stosunkach handlowych i gospodarczych między Rzecząpospolitą Polską i Stanami Zjednoczonymi Ameryki, sporządzony w Waszyngtonie, 21 marca 1990 r. (Dz.U. nr 97, poz. 467 z 15.09.1994 r. z późniejszymi zmianami).</w:t>
      </w:r>
    </w:p>
    <w:p w14:paraId="58868E44" w14:textId="77777777" w:rsidR="00F32311" w:rsidRPr="000E5283" w:rsidRDefault="00F32311"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eastAsia="pl-PL"/>
        </w:rPr>
        <w:t>Protokół dodatkowy między RP a Stanami Zjednoczonymi Ameryki do Traktatu o stosunkach handlowych i gospodarczych między RP i Stanami Zjednoczonymi Ameryki z 1990 r., podpisany w Brukseli, 12 stycznia 2014 r. (Dz.U. nr 3, poz. 14 z 7.01.2005 r.).</w:t>
      </w:r>
    </w:p>
    <w:p w14:paraId="3D0CBA2B" w14:textId="77777777" w:rsidR="00F32311" w:rsidRPr="000E5283" w:rsidRDefault="00F32311"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eastAsia="pl-PL"/>
        </w:rPr>
        <w:t>Umowa między Rządem RP a Rządem Stanów Zjednoczonych Ameryki o współpracy naukowo-technicznej (MP nr 25, poz. 271 z 13.04.2007 r.).</w:t>
      </w:r>
    </w:p>
    <w:p w14:paraId="2C4ED9F1" w14:textId="77777777" w:rsidR="00F32311" w:rsidRPr="000E5283" w:rsidRDefault="00F32311"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eastAsia="pl-PL"/>
        </w:rPr>
        <w:t>Umowa o zabezpieczeniu społecznym między RP a Stanami Zjednoczonymi Ameryki (Dz. U. nr 46 z dn. 23 marca 2009 r. poz. 374 i 376.).</w:t>
      </w:r>
    </w:p>
    <w:p w14:paraId="680BAF9D" w14:textId="77777777" w:rsidR="00F32311" w:rsidRPr="000E5283" w:rsidRDefault="00F32311"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eastAsia="pl-PL"/>
        </w:rPr>
        <w:t>Konwencja między RP a Stanami Zjednoczonymi Ameryki ws. unikania podwójnego opodatkowania i zapobiegania uchylaniu się od opodatkowania w zakresie podatków od dochodu, podpisana w Warszawie, 13 lutego 2013 r. (Dz.U. z 30.08.2013 r. poz. 995). </w:t>
      </w:r>
    </w:p>
    <w:p w14:paraId="235D1BAA" w14:textId="456DD04E" w:rsidR="00F32311" w:rsidRPr="000E5283" w:rsidRDefault="00F32311" w:rsidP="00ED06A9">
      <w:pPr>
        <w:spacing w:before="240" w:after="120" w:line="264" w:lineRule="auto"/>
        <w:ind w:left="360"/>
        <w:outlineLvl w:val="3"/>
        <w:rPr>
          <w:rFonts w:cstheme="minorHAnsi"/>
          <w:b/>
          <w:lang w:val="en-US"/>
        </w:rPr>
      </w:pPr>
      <w:r w:rsidRPr="000E5283">
        <w:rPr>
          <w:rFonts w:cstheme="minorHAnsi"/>
          <w:b/>
          <w:lang w:val="en-US"/>
        </w:rPr>
        <w:t>7.</w:t>
      </w:r>
      <w:r w:rsidR="00895E6F">
        <w:rPr>
          <w:rFonts w:cstheme="minorHAnsi"/>
          <w:b/>
          <w:lang w:val="en-US"/>
        </w:rPr>
        <w:t>3</w:t>
      </w:r>
      <w:r w:rsidR="005551C6" w:rsidRPr="000E5283">
        <w:rPr>
          <w:rFonts w:cstheme="minorHAnsi"/>
          <w:b/>
          <w:lang w:val="en-US"/>
        </w:rPr>
        <w:t>.</w:t>
      </w:r>
      <w:r w:rsidRPr="000E5283">
        <w:rPr>
          <w:rFonts w:cstheme="minorHAnsi"/>
          <w:b/>
          <w:lang w:val="en-US"/>
        </w:rPr>
        <w:t xml:space="preserve">2. Baza </w:t>
      </w:r>
      <w:r w:rsidRPr="000E5283">
        <w:rPr>
          <w:rFonts w:cstheme="minorHAnsi"/>
          <w:b/>
        </w:rPr>
        <w:t>traktatowa</w:t>
      </w:r>
      <w:r w:rsidRPr="000E5283">
        <w:rPr>
          <w:rFonts w:cstheme="minorHAnsi"/>
          <w:b/>
          <w:lang w:val="en-US"/>
        </w:rPr>
        <w:t xml:space="preserve"> USA – UE</w:t>
      </w:r>
    </w:p>
    <w:p w14:paraId="45FB0560" w14:textId="77777777" w:rsidR="00A83DE5" w:rsidRPr="000E5283" w:rsidRDefault="00A83DE5" w:rsidP="00A83DE5">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on customs cooperation and mutual assistance in customs matters/ podpisane w Hadze 28 maja 1997/ weszło w życie 1 sierpnia 1997</w:t>
      </w:r>
    </w:p>
    <w:p w14:paraId="4A0A0BB1" w14:textId="77777777" w:rsidR="00DB08DC" w:rsidRPr="000E5283" w:rsidRDefault="00E51C2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on intensifying a</w:t>
      </w:r>
      <w:r w:rsidR="00DB08DC" w:rsidRPr="000E5283">
        <w:rPr>
          <w:rFonts w:eastAsia="Times New Roman" w:cstheme="minorHAnsi"/>
          <w:lang w:val="en-US" w:eastAsia="pl-PL"/>
        </w:rPr>
        <w:t xml:space="preserve">nd broadening the agreement on </w:t>
      </w:r>
      <w:r w:rsidRPr="000E5283">
        <w:rPr>
          <w:rFonts w:eastAsia="Times New Roman" w:cstheme="minorHAnsi"/>
          <w:lang w:val="en-US" w:eastAsia="pl-PL"/>
        </w:rPr>
        <w:t>customs cooperation and mutual</w:t>
      </w:r>
      <w:r w:rsidR="00DB08DC" w:rsidRPr="000E5283">
        <w:rPr>
          <w:rFonts w:eastAsia="Times New Roman" w:cstheme="minorHAnsi"/>
          <w:lang w:val="en-US" w:eastAsia="pl-PL"/>
        </w:rPr>
        <w:t xml:space="preserve"> assistance in customs matters </w:t>
      </w:r>
      <w:r w:rsidRPr="000E5283">
        <w:rPr>
          <w:rFonts w:eastAsia="Times New Roman" w:cstheme="minorHAnsi"/>
          <w:lang w:val="en-US" w:eastAsia="pl-PL"/>
        </w:rPr>
        <w:t xml:space="preserve">to include cooperation on </w:t>
      </w:r>
      <w:r w:rsidR="00DB08DC" w:rsidRPr="000E5283">
        <w:rPr>
          <w:rFonts w:eastAsia="Times New Roman" w:cstheme="minorHAnsi"/>
          <w:lang w:val="en-US" w:eastAsia="pl-PL"/>
        </w:rPr>
        <w:t>container security and related matters, with annex/ podpis</w:t>
      </w:r>
      <w:r w:rsidR="00BC7C33" w:rsidRPr="000E5283">
        <w:rPr>
          <w:rFonts w:eastAsia="Times New Roman" w:cstheme="minorHAnsi"/>
          <w:lang w:val="en-US" w:eastAsia="pl-PL"/>
        </w:rPr>
        <w:t>ane</w:t>
      </w:r>
      <w:r w:rsidR="00DB08DC" w:rsidRPr="000E5283">
        <w:rPr>
          <w:rFonts w:eastAsia="Times New Roman" w:cstheme="minorHAnsi"/>
          <w:lang w:val="en-US" w:eastAsia="pl-PL"/>
        </w:rPr>
        <w:t xml:space="preserve"> w </w:t>
      </w:r>
      <w:r w:rsidRPr="000E5283">
        <w:rPr>
          <w:rFonts w:eastAsia="Times New Roman" w:cstheme="minorHAnsi"/>
          <w:lang w:val="en-US" w:eastAsia="pl-PL"/>
        </w:rPr>
        <w:t>Wa</w:t>
      </w:r>
      <w:r w:rsidR="00DB08DC" w:rsidRPr="000E5283">
        <w:rPr>
          <w:rFonts w:eastAsia="Times New Roman" w:cstheme="minorHAnsi"/>
          <w:lang w:val="en-US" w:eastAsia="pl-PL"/>
        </w:rPr>
        <w:t xml:space="preserve">szyngtonie 22 kwietnia 2004/ </w:t>
      </w:r>
      <w:r w:rsidR="00941B8A" w:rsidRPr="000E5283">
        <w:rPr>
          <w:rFonts w:eastAsia="Times New Roman" w:cstheme="minorHAnsi"/>
          <w:lang w:val="en-US" w:eastAsia="pl-PL"/>
        </w:rPr>
        <w:t>weszło w życie</w:t>
      </w:r>
      <w:r w:rsidR="00DB08DC" w:rsidRPr="000E5283">
        <w:rPr>
          <w:rFonts w:eastAsia="Times New Roman" w:cstheme="minorHAnsi"/>
          <w:lang w:val="en-US" w:eastAsia="pl-PL"/>
        </w:rPr>
        <w:t xml:space="preserve"> 22 kwietnia 2004</w:t>
      </w:r>
    </w:p>
    <w:p w14:paraId="7E6F5AA4" w14:textId="77777777" w:rsidR="00E51C2C" w:rsidRPr="000E5283" w:rsidRDefault="00E51C2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on the processing and</w:t>
      </w:r>
      <w:r w:rsidR="00DB08DC" w:rsidRPr="000E5283">
        <w:rPr>
          <w:rFonts w:eastAsia="Times New Roman" w:cstheme="minorHAnsi"/>
          <w:lang w:val="en-US" w:eastAsia="pl-PL"/>
        </w:rPr>
        <w:t xml:space="preserve"> transfer of financial </w:t>
      </w:r>
      <w:r w:rsidRPr="000E5283">
        <w:rPr>
          <w:rFonts w:eastAsia="Times New Roman" w:cstheme="minorHAnsi"/>
          <w:lang w:val="en-US" w:eastAsia="pl-PL"/>
        </w:rPr>
        <w:t>messaging data from the Europ</w:t>
      </w:r>
      <w:r w:rsidR="00DB08DC" w:rsidRPr="000E5283">
        <w:rPr>
          <w:rFonts w:eastAsia="Times New Roman" w:cstheme="minorHAnsi"/>
          <w:lang w:val="en-US" w:eastAsia="pl-PL"/>
        </w:rPr>
        <w:t xml:space="preserve">ean Union to the United States </w:t>
      </w:r>
      <w:r w:rsidRPr="000E5283">
        <w:rPr>
          <w:rFonts w:eastAsia="Times New Roman" w:cstheme="minorHAnsi"/>
          <w:lang w:val="en-US" w:eastAsia="pl-PL"/>
        </w:rPr>
        <w:t>for the purposes of the terrorist finance tracking program</w:t>
      </w:r>
      <w:r w:rsidR="00DB08DC" w:rsidRPr="000E5283">
        <w:rPr>
          <w:rFonts w:eastAsia="Times New Roman" w:cstheme="minorHAnsi"/>
          <w:lang w:val="en-US" w:eastAsia="pl-PL"/>
        </w:rPr>
        <w:t>/ podpisan</w:t>
      </w:r>
      <w:r w:rsidR="00BC7C33" w:rsidRPr="000E5283">
        <w:rPr>
          <w:rFonts w:eastAsia="Times New Roman" w:cstheme="minorHAnsi"/>
          <w:lang w:val="en-US" w:eastAsia="pl-PL"/>
        </w:rPr>
        <w:t>e</w:t>
      </w:r>
      <w:r w:rsidR="00DB08DC" w:rsidRPr="000E5283">
        <w:rPr>
          <w:rFonts w:eastAsia="Times New Roman" w:cstheme="minorHAnsi"/>
          <w:lang w:val="en-US" w:eastAsia="pl-PL"/>
        </w:rPr>
        <w:t xml:space="preserve"> w Brukseli 28 czerwca</w:t>
      </w:r>
      <w:r w:rsidRPr="000E5283">
        <w:rPr>
          <w:rFonts w:eastAsia="Times New Roman" w:cstheme="minorHAnsi"/>
          <w:lang w:val="en-US" w:eastAsia="pl-PL"/>
        </w:rPr>
        <w:t xml:space="preserve"> </w:t>
      </w:r>
      <w:r w:rsidR="00DB08DC" w:rsidRPr="000E5283">
        <w:rPr>
          <w:rFonts w:eastAsia="Times New Roman" w:cstheme="minorHAnsi"/>
          <w:lang w:val="en-US" w:eastAsia="pl-PL"/>
        </w:rPr>
        <w:t xml:space="preserve">2010/ </w:t>
      </w:r>
      <w:r w:rsidR="00941B8A" w:rsidRPr="000E5283">
        <w:rPr>
          <w:rFonts w:eastAsia="Times New Roman" w:cstheme="minorHAnsi"/>
          <w:lang w:val="en-US" w:eastAsia="pl-PL"/>
        </w:rPr>
        <w:t xml:space="preserve">weszło w życie </w:t>
      </w:r>
      <w:r w:rsidR="00DB08DC" w:rsidRPr="000E5283">
        <w:rPr>
          <w:rFonts w:eastAsia="Times New Roman" w:cstheme="minorHAnsi"/>
          <w:lang w:val="en-US" w:eastAsia="pl-PL"/>
        </w:rPr>
        <w:t xml:space="preserve">1 sierpnia </w:t>
      </w:r>
      <w:r w:rsidR="00941B8A" w:rsidRPr="000E5283">
        <w:rPr>
          <w:rFonts w:eastAsia="Times New Roman" w:cstheme="minorHAnsi"/>
          <w:lang w:val="en-US" w:eastAsia="pl-PL"/>
        </w:rPr>
        <w:t>2010</w:t>
      </w:r>
    </w:p>
    <w:p w14:paraId="10F54183" w14:textId="77777777" w:rsidR="00E51C2C" w:rsidRPr="000E5283" w:rsidRDefault="00E51C2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on the promotion, pr</w:t>
      </w:r>
      <w:r w:rsidR="00DB08DC" w:rsidRPr="000E5283">
        <w:rPr>
          <w:rFonts w:eastAsia="Times New Roman" w:cstheme="minorHAnsi"/>
          <w:lang w:val="en-US" w:eastAsia="pl-PL"/>
        </w:rPr>
        <w:t xml:space="preserve">ovision and use of Galileo and </w:t>
      </w:r>
      <w:r w:rsidRPr="000E5283">
        <w:rPr>
          <w:rFonts w:eastAsia="Times New Roman" w:cstheme="minorHAnsi"/>
          <w:lang w:val="en-US" w:eastAsia="pl-PL"/>
        </w:rPr>
        <w:t xml:space="preserve">GPS satellite-based </w:t>
      </w:r>
      <w:r w:rsidR="00DB08DC" w:rsidRPr="000E5283">
        <w:rPr>
          <w:rFonts w:eastAsia="Times New Roman" w:cstheme="minorHAnsi"/>
          <w:lang w:val="en-US" w:eastAsia="pl-PL"/>
        </w:rPr>
        <w:t xml:space="preserve">navigation systems and related </w:t>
      </w:r>
      <w:r w:rsidR="00941B8A" w:rsidRPr="000E5283">
        <w:rPr>
          <w:rFonts w:eastAsia="Times New Roman" w:cstheme="minorHAnsi"/>
          <w:lang w:val="en-US" w:eastAsia="pl-PL"/>
        </w:rPr>
        <w:t>applications/ p</w:t>
      </w:r>
      <w:r w:rsidR="00DB08DC" w:rsidRPr="000E5283">
        <w:rPr>
          <w:rFonts w:eastAsia="Times New Roman" w:cstheme="minorHAnsi"/>
          <w:lang w:val="en-US" w:eastAsia="pl-PL"/>
        </w:rPr>
        <w:t>odpisan</w:t>
      </w:r>
      <w:r w:rsidR="00941B8A" w:rsidRPr="000E5283">
        <w:rPr>
          <w:rFonts w:eastAsia="Times New Roman" w:cstheme="minorHAnsi"/>
          <w:lang w:val="en-US" w:eastAsia="pl-PL"/>
        </w:rPr>
        <w:t>e</w:t>
      </w:r>
      <w:r w:rsidR="00DB08DC" w:rsidRPr="000E5283">
        <w:rPr>
          <w:rFonts w:eastAsia="Times New Roman" w:cstheme="minorHAnsi"/>
          <w:lang w:val="en-US" w:eastAsia="pl-PL"/>
        </w:rPr>
        <w:t xml:space="preserve"> w</w:t>
      </w:r>
      <w:r w:rsidRPr="000E5283">
        <w:rPr>
          <w:rFonts w:eastAsia="Times New Roman" w:cstheme="minorHAnsi"/>
          <w:lang w:val="en-US" w:eastAsia="pl-PL"/>
        </w:rPr>
        <w:t xml:space="preserve"> Newmarket-on-Fergus 26</w:t>
      </w:r>
      <w:r w:rsidR="00DB08DC" w:rsidRPr="000E5283">
        <w:rPr>
          <w:rFonts w:eastAsia="Times New Roman" w:cstheme="minorHAnsi"/>
          <w:lang w:val="en-US" w:eastAsia="pl-PL"/>
        </w:rPr>
        <w:t xml:space="preserve"> czerwca 2004/ </w:t>
      </w:r>
      <w:r w:rsidR="00941B8A" w:rsidRPr="000E5283">
        <w:rPr>
          <w:rFonts w:eastAsia="Times New Roman" w:cstheme="minorHAnsi"/>
          <w:lang w:val="en-US" w:eastAsia="pl-PL"/>
        </w:rPr>
        <w:t xml:space="preserve">weszło w życie </w:t>
      </w:r>
      <w:r w:rsidR="00DB08DC" w:rsidRPr="000E5283">
        <w:rPr>
          <w:rFonts w:eastAsia="Times New Roman" w:cstheme="minorHAnsi"/>
          <w:lang w:val="en-US" w:eastAsia="pl-PL"/>
        </w:rPr>
        <w:t xml:space="preserve">12 grudnia </w:t>
      </w:r>
      <w:r w:rsidR="00941B8A" w:rsidRPr="000E5283">
        <w:rPr>
          <w:rFonts w:eastAsia="Times New Roman" w:cstheme="minorHAnsi"/>
          <w:lang w:val="en-US" w:eastAsia="pl-PL"/>
        </w:rPr>
        <w:t>2011</w:t>
      </w:r>
    </w:p>
    <w:p w14:paraId="2BDF02DA" w14:textId="77777777" w:rsidR="00E51C2C" w:rsidRPr="000E5283" w:rsidRDefault="00E51C2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for scientific and t</w:t>
      </w:r>
      <w:r w:rsidR="00DB08DC" w:rsidRPr="000E5283">
        <w:rPr>
          <w:rFonts w:eastAsia="Times New Roman" w:cstheme="minorHAnsi"/>
          <w:lang w:val="en-US" w:eastAsia="pl-PL"/>
        </w:rPr>
        <w:t xml:space="preserve">echnological cooperation, with </w:t>
      </w:r>
      <w:r w:rsidRPr="000E5283">
        <w:rPr>
          <w:rFonts w:eastAsia="Times New Roman" w:cstheme="minorHAnsi"/>
          <w:lang w:val="en-US" w:eastAsia="pl-PL"/>
        </w:rPr>
        <w:t>annex</w:t>
      </w:r>
      <w:r w:rsidR="00DB08DC" w:rsidRPr="000E5283">
        <w:rPr>
          <w:rFonts w:eastAsia="Times New Roman" w:cstheme="minorHAnsi"/>
          <w:lang w:val="en-US" w:eastAsia="pl-PL"/>
        </w:rPr>
        <w:t>/ podpisan</w:t>
      </w:r>
      <w:r w:rsidR="00941B8A" w:rsidRPr="000E5283">
        <w:rPr>
          <w:rFonts w:eastAsia="Times New Roman" w:cstheme="minorHAnsi"/>
          <w:lang w:val="en-US" w:eastAsia="pl-PL"/>
        </w:rPr>
        <w:t>e</w:t>
      </w:r>
      <w:r w:rsidR="00DB08DC" w:rsidRPr="000E5283">
        <w:rPr>
          <w:rFonts w:eastAsia="Times New Roman" w:cstheme="minorHAnsi"/>
          <w:lang w:val="en-US" w:eastAsia="pl-PL"/>
        </w:rPr>
        <w:t xml:space="preserve"> 5 grudnia</w:t>
      </w:r>
      <w:r w:rsidRPr="000E5283">
        <w:rPr>
          <w:rFonts w:eastAsia="Times New Roman" w:cstheme="minorHAnsi"/>
          <w:lang w:val="en-US" w:eastAsia="pl-PL"/>
        </w:rPr>
        <w:t xml:space="preserve"> </w:t>
      </w:r>
      <w:r w:rsidR="00DB08DC" w:rsidRPr="000E5283">
        <w:rPr>
          <w:rFonts w:eastAsia="Times New Roman" w:cstheme="minorHAnsi"/>
          <w:lang w:val="en-US" w:eastAsia="pl-PL"/>
        </w:rPr>
        <w:t xml:space="preserve">1997/ </w:t>
      </w:r>
      <w:r w:rsidR="00941B8A" w:rsidRPr="000E5283">
        <w:rPr>
          <w:rFonts w:eastAsia="Times New Roman" w:cstheme="minorHAnsi"/>
          <w:lang w:val="en-US" w:eastAsia="pl-PL"/>
        </w:rPr>
        <w:t xml:space="preserve">weszło w życie </w:t>
      </w:r>
      <w:r w:rsidR="00DB08DC" w:rsidRPr="000E5283">
        <w:rPr>
          <w:rFonts w:eastAsia="Times New Roman" w:cstheme="minorHAnsi"/>
          <w:lang w:val="en-US" w:eastAsia="pl-PL"/>
        </w:rPr>
        <w:t>14 października</w:t>
      </w:r>
      <w:r w:rsidR="00941B8A" w:rsidRPr="000E5283">
        <w:rPr>
          <w:rFonts w:eastAsia="Times New Roman" w:cstheme="minorHAnsi"/>
          <w:lang w:val="en-US" w:eastAsia="pl-PL"/>
        </w:rPr>
        <w:t xml:space="preserve"> 1998</w:t>
      </w:r>
    </w:p>
    <w:p w14:paraId="257D2AE1" w14:textId="77777777" w:rsidR="00E51C2C" w:rsidRPr="000E5283" w:rsidRDefault="00E51C2C"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eastAsia="pl-PL"/>
        </w:rPr>
        <w:t>Joint decla</w:t>
      </w:r>
      <w:r w:rsidR="00DB08DC" w:rsidRPr="000E5283">
        <w:rPr>
          <w:rFonts w:eastAsia="Times New Roman" w:cstheme="minorHAnsi"/>
          <w:lang w:eastAsia="pl-PL"/>
        </w:rPr>
        <w:t xml:space="preserve">ration on commercial relations/ podpisana w Genewie 7 marca 1962 </w:t>
      </w:r>
      <w:r w:rsidR="00941B8A" w:rsidRPr="000E5283">
        <w:rPr>
          <w:rFonts w:eastAsia="Times New Roman" w:cstheme="minorHAnsi"/>
          <w:lang w:eastAsia="pl-PL"/>
        </w:rPr>
        <w:t xml:space="preserve">weszło w życie </w:t>
      </w:r>
      <w:r w:rsidR="00DB08DC" w:rsidRPr="000E5283">
        <w:rPr>
          <w:rFonts w:eastAsia="Times New Roman" w:cstheme="minorHAnsi"/>
          <w:lang w:eastAsia="pl-PL"/>
        </w:rPr>
        <w:t>7 marca 1962</w:t>
      </w:r>
    </w:p>
    <w:p w14:paraId="4DE2D0BB" w14:textId="77777777" w:rsidR="00DB08DC"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reg</w:t>
      </w:r>
      <w:r w:rsidR="00941B8A" w:rsidRPr="000E5283">
        <w:rPr>
          <w:rFonts w:eastAsia="Times New Roman" w:cstheme="minorHAnsi"/>
          <w:lang w:val="en-US" w:eastAsia="pl-PL"/>
        </w:rPr>
        <w:t>ulating certain trade in cheese/ weszło w życie 14 stycznia</w:t>
      </w:r>
      <w:r w:rsidRPr="000E5283">
        <w:rPr>
          <w:rFonts w:eastAsia="Times New Roman" w:cstheme="minorHAnsi"/>
          <w:lang w:val="en-US" w:eastAsia="pl-PL"/>
        </w:rPr>
        <w:t xml:space="preserve"> 1975.</w:t>
      </w:r>
    </w:p>
    <w:p w14:paraId="116E6B5B" w14:textId="77777777" w:rsidR="00941B8A"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concerning expo</w:t>
      </w:r>
      <w:r w:rsidR="00941B8A" w:rsidRPr="000E5283">
        <w:rPr>
          <w:rFonts w:eastAsia="Times New Roman" w:cstheme="minorHAnsi"/>
          <w:lang w:val="en-US" w:eastAsia="pl-PL"/>
        </w:rPr>
        <w:t>rts of pasta, with settlement, annex and related letter/ weszło w życie 15 września 1987</w:t>
      </w:r>
    </w:p>
    <w:p w14:paraId="5419383B" w14:textId="77777777" w:rsidR="00DB08DC"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regarding the a</w:t>
      </w:r>
      <w:r w:rsidR="00941B8A" w:rsidRPr="000E5283">
        <w:rPr>
          <w:rFonts w:eastAsia="Times New Roman" w:cstheme="minorHAnsi"/>
          <w:lang w:val="en-US" w:eastAsia="pl-PL"/>
        </w:rPr>
        <w:t>pplication of competition laws/ podpisane w Waszyngtonie 23 września 1991/ weszło w życie 23 września 1991</w:t>
      </w:r>
    </w:p>
    <w:p w14:paraId="668F15C9" w14:textId="77777777" w:rsidR="00DB08DC"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lastRenderedPageBreak/>
        <w:t>Agreement on the mutual re</w:t>
      </w:r>
      <w:r w:rsidR="00941B8A" w:rsidRPr="000E5283">
        <w:rPr>
          <w:rFonts w:eastAsia="Times New Roman" w:cstheme="minorHAnsi"/>
          <w:lang w:val="en-US" w:eastAsia="pl-PL"/>
        </w:rPr>
        <w:t xml:space="preserve">cognition of certain distilled </w:t>
      </w:r>
      <w:r w:rsidRPr="000E5283">
        <w:rPr>
          <w:rFonts w:eastAsia="Times New Roman" w:cstheme="minorHAnsi"/>
          <w:lang w:val="en-US" w:eastAsia="pl-PL"/>
        </w:rPr>
        <w:t>spirits/spirit drinks, w</w:t>
      </w:r>
      <w:r w:rsidR="00941B8A" w:rsidRPr="000E5283">
        <w:rPr>
          <w:rFonts w:eastAsia="Times New Roman" w:cstheme="minorHAnsi"/>
          <w:lang w:val="en-US" w:eastAsia="pl-PL"/>
        </w:rPr>
        <w:t>ith related exchange of letters/ weszło w życie 25 marca 1994</w:t>
      </w:r>
    </w:p>
    <w:p w14:paraId="1A439E82" w14:textId="77777777" w:rsidR="00DB08DC"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for the conclusi</w:t>
      </w:r>
      <w:r w:rsidR="00941B8A" w:rsidRPr="000E5283">
        <w:rPr>
          <w:rFonts w:eastAsia="Times New Roman" w:cstheme="minorHAnsi"/>
          <w:lang w:val="en-US" w:eastAsia="pl-PL"/>
        </w:rPr>
        <w:t xml:space="preserve">on of negotiations between the </w:t>
      </w:r>
      <w:r w:rsidRPr="000E5283">
        <w:rPr>
          <w:rFonts w:eastAsia="Times New Roman" w:cstheme="minorHAnsi"/>
          <w:lang w:val="en-US" w:eastAsia="pl-PL"/>
        </w:rPr>
        <w:t>European Community and t</w:t>
      </w:r>
      <w:r w:rsidR="00941B8A" w:rsidRPr="000E5283">
        <w:rPr>
          <w:rFonts w:eastAsia="Times New Roman" w:cstheme="minorHAnsi"/>
          <w:lang w:val="en-US" w:eastAsia="pl-PL"/>
        </w:rPr>
        <w:t xml:space="preserve">he United States under Article </w:t>
      </w:r>
      <w:r w:rsidRPr="000E5283">
        <w:rPr>
          <w:rFonts w:eastAsia="Times New Roman" w:cstheme="minorHAnsi"/>
          <w:lang w:val="en-US" w:eastAsia="pl-PL"/>
        </w:rPr>
        <w:t>XXIV.6, with annexes and exchan</w:t>
      </w:r>
      <w:r w:rsidR="00941B8A" w:rsidRPr="000E5283">
        <w:rPr>
          <w:rFonts w:eastAsia="Times New Roman" w:cstheme="minorHAnsi"/>
          <w:lang w:val="en-US" w:eastAsia="pl-PL"/>
        </w:rPr>
        <w:t>ges of letters/ podpisane w Genewie 22 lipca</w:t>
      </w:r>
      <w:r w:rsidRPr="000E5283">
        <w:rPr>
          <w:rFonts w:eastAsia="Times New Roman" w:cstheme="minorHAnsi"/>
          <w:lang w:val="en-US" w:eastAsia="pl-PL"/>
        </w:rPr>
        <w:t xml:space="preserve"> </w:t>
      </w:r>
      <w:r w:rsidR="00941B8A" w:rsidRPr="000E5283">
        <w:rPr>
          <w:rFonts w:eastAsia="Times New Roman" w:cstheme="minorHAnsi"/>
          <w:lang w:val="en-US" w:eastAsia="pl-PL"/>
        </w:rPr>
        <w:t>1996/ weszło w życie 22 lipca 1996</w:t>
      </w:r>
    </w:p>
    <w:p w14:paraId="2F249694" w14:textId="77777777" w:rsidR="00DB08DC"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eastAsia="pl-PL"/>
        </w:rPr>
        <w:t>Agreement on mu</w:t>
      </w:r>
      <w:r w:rsidR="00941B8A" w:rsidRPr="000E5283">
        <w:rPr>
          <w:rFonts w:eastAsia="Times New Roman" w:cstheme="minorHAnsi"/>
          <w:lang w:eastAsia="pl-PL"/>
        </w:rPr>
        <w:t xml:space="preserve">tual recognition, with annexes/ podpisane w </w:t>
      </w:r>
      <w:r w:rsidRPr="000E5283">
        <w:rPr>
          <w:rFonts w:eastAsia="Times New Roman" w:cstheme="minorHAnsi"/>
          <w:lang w:eastAsia="pl-PL"/>
        </w:rPr>
        <w:t>Lond</w:t>
      </w:r>
      <w:r w:rsidR="00941B8A" w:rsidRPr="000E5283">
        <w:rPr>
          <w:rFonts w:eastAsia="Times New Roman" w:cstheme="minorHAnsi"/>
          <w:lang w:eastAsia="pl-PL"/>
        </w:rPr>
        <w:t>ynie 18 maja</w:t>
      </w:r>
      <w:r w:rsidRPr="000E5283">
        <w:rPr>
          <w:rFonts w:eastAsia="Times New Roman" w:cstheme="minorHAnsi"/>
          <w:lang w:eastAsia="pl-PL"/>
        </w:rPr>
        <w:t xml:space="preserve"> </w:t>
      </w:r>
      <w:r w:rsidR="00941B8A" w:rsidRPr="000E5283">
        <w:rPr>
          <w:rFonts w:eastAsia="Times New Roman" w:cstheme="minorHAnsi"/>
          <w:lang w:eastAsia="pl-PL"/>
        </w:rPr>
        <w:t xml:space="preserve">1998/ weszło w życie 1 grudnia </w:t>
      </w:r>
      <w:r w:rsidR="007A36A3" w:rsidRPr="000E5283">
        <w:rPr>
          <w:rFonts w:eastAsia="Times New Roman" w:cstheme="minorHAnsi"/>
          <w:lang w:eastAsia="pl-PL"/>
        </w:rPr>
        <w:t>1998</w:t>
      </w:r>
    </w:p>
    <w:p w14:paraId="29B16BD5" w14:textId="77777777" w:rsidR="00DB08DC"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on the application of</w:t>
      </w:r>
      <w:r w:rsidR="00941B8A" w:rsidRPr="000E5283">
        <w:rPr>
          <w:rFonts w:eastAsia="Times New Roman" w:cstheme="minorHAnsi"/>
          <w:lang w:val="en-US" w:eastAsia="pl-PL"/>
        </w:rPr>
        <w:t xml:space="preserve"> positive comity principles in </w:t>
      </w:r>
      <w:r w:rsidRPr="000E5283">
        <w:rPr>
          <w:rFonts w:eastAsia="Times New Roman" w:cstheme="minorHAnsi"/>
          <w:lang w:val="en-US" w:eastAsia="pl-PL"/>
        </w:rPr>
        <w:t>the enforce</w:t>
      </w:r>
      <w:r w:rsidR="00941B8A" w:rsidRPr="000E5283">
        <w:rPr>
          <w:rFonts w:eastAsia="Times New Roman" w:cstheme="minorHAnsi"/>
          <w:lang w:val="en-US" w:eastAsia="pl-PL"/>
        </w:rPr>
        <w:t>ment of their competition laws/ podpisane w Brukseli I Waszyngtonie 3 i 4 czerwca</w:t>
      </w:r>
      <w:r w:rsidRPr="000E5283">
        <w:rPr>
          <w:rFonts w:eastAsia="Times New Roman" w:cstheme="minorHAnsi"/>
          <w:lang w:val="en-US" w:eastAsia="pl-PL"/>
        </w:rPr>
        <w:t xml:space="preserve"> </w:t>
      </w:r>
      <w:r w:rsidR="00941B8A" w:rsidRPr="000E5283">
        <w:rPr>
          <w:rFonts w:eastAsia="Times New Roman" w:cstheme="minorHAnsi"/>
          <w:lang w:val="en-US" w:eastAsia="pl-PL"/>
        </w:rPr>
        <w:t>1998/ weszło w życie 4 czerwca 1998</w:t>
      </w:r>
    </w:p>
    <w:p w14:paraId="16828979" w14:textId="77777777" w:rsidR="00DB08DC"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val="en-US" w:eastAsia="pl-PL"/>
        </w:rPr>
        <w:t xml:space="preserve">Agreement on sanitary measures to protect public and animal health in trade in live animals and animal products. </w:t>
      </w:r>
      <w:r w:rsidRPr="000E5283">
        <w:rPr>
          <w:rFonts w:eastAsia="Times New Roman" w:cstheme="minorHAnsi"/>
          <w:lang w:eastAsia="pl-PL"/>
        </w:rPr>
        <w:t xml:space="preserve">Podpisane w Brukseli 20 lipca 1999/ </w:t>
      </w:r>
      <w:r w:rsidR="00941B8A" w:rsidRPr="000E5283">
        <w:rPr>
          <w:rFonts w:eastAsia="Times New Roman" w:cstheme="minorHAnsi"/>
          <w:lang w:eastAsia="pl-PL"/>
        </w:rPr>
        <w:t xml:space="preserve">weszło w życie </w:t>
      </w:r>
      <w:r w:rsidRPr="000E5283">
        <w:rPr>
          <w:rFonts w:eastAsia="Times New Roman" w:cstheme="minorHAnsi"/>
          <w:lang w:eastAsia="pl-PL"/>
        </w:rPr>
        <w:t xml:space="preserve">1 sierpnia </w:t>
      </w:r>
      <w:r w:rsidR="00941B8A" w:rsidRPr="000E5283">
        <w:rPr>
          <w:rFonts w:eastAsia="Times New Roman" w:cstheme="minorHAnsi"/>
          <w:lang w:eastAsia="pl-PL"/>
        </w:rPr>
        <w:t>1999</w:t>
      </w:r>
    </w:p>
    <w:p w14:paraId="28E09830" w14:textId="77777777" w:rsidR="00DB08DC"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 xml:space="preserve">Proces-verbal amending the proces-verbal of July 15, 1997, on rules of origin for certain textile products/ podpisane w Genewie 16 sierpnia 1999/ </w:t>
      </w:r>
      <w:r w:rsidR="00941B8A" w:rsidRPr="000E5283">
        <w:rPr>
          <w:rFonts w:eastAsia="Times New Roman" w:cstheme="minorHAnsi"/>
          <w:lang w:val="en-US" w:eastAsia="pl-PL"/>
        </w:rPr>
        <w:t xml:space="preserve">weszło w życie </w:t>
      </w:r>
      <w:r w:rsidRPr="000E5283">
        <w:rPr>
          <w:rFonts w:eastAsia="Times New Roman" w:cstheme="minorHAnsi"/>
          <w:lang w:val="en-US" w:eastAsia="pl-PL"/>
        </w:rPr>
        <w:t xml:space="preserve">16 sierpnia </w:t>
      </w:r>
      <w:r w:rsidR="00941B8A" w:rsidRPr="000E5283">
        <w:rPr>
          <w:rFonts w:eastAsia="Times New Roman" w:cstheme="minorHAnsi"/>
          <w:lang w:val="en-US" w:eastAsia="pl-PL"/>
        </w:rPr>
        <w:t>1999</w:t>
      </w:r>
    </w:p>
    <w:p w14:paraId="4B3B29E0" w14:textId="77777777" w:rsidR="00DB08DC" w:rsidRPr="000E5283" w:rsidRDefault="00DB08DC"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on the mutual recognition of certificates of conformity for marine equipment</w:t>
      </w:r>
      <w:r w:rsidR="00941B8A" w:rsidRPr="000E5283">
        <w:rPr>
          <w:rFonts w:eastAsia="Times New Roman" w:cstheme="minorHAnsi"/>
          <w:lang w:val="en-US" w:eastAsia="pl-PL"/>
        </w:rPr>
        <w:t>/ podpisane w Waszyngtonie 17 lutego</w:t>
      </w:r>
      <w:r w:rsidRPr="000E5283">
        <w:rPr>
          <w:rFonts w:eastAsia="Times New Roman" w:cstheme="minorHAnsi"/>
          <w:lang w:val="en-US" w:eastAsia="pl-PL"/>
        </w:rPr>
        <w:t xml:space="preserve"> </w:t>
      </w:r>
      <w:r w:rsidR="00941B8A" w:rsidRPr="000E5283">
        <w:rPr>
          <w:rFonts w:eastAsia="Times New Roman" w:cstheme="minorHAnsi"/>
          <w:lang w:val="en-US" w:eastAsia="pl-PL"/>
        </w:rPr>
        <w:t xml:space="preserve">2004/ </w:t>
      </w:r>
      <w:r w:rsidR="007A36A3" w:rsidRPr="000E5283">
        <w:rPr>
          <w:rFonts w:eastAsia="Times New Roman" w:cstheme="minorHAnsi"/>
          <w:lang w:val="en-US" w:eastAsia="pl-PL"/>
        </w:rPr>
        <w:t>weszło w życie</w:t>
      </w:r>
      <w:r w:rsidR="00941B8A" w:rsidRPr="000E5283">
        <w:rPr>
          <w:rFonts w:eastAsia="Times New Roman" w:cstheme="minorHAnsi"/>
          <w:lang w:val="en-US" w:eastAsia="pl-PL"/>
        </w:rPr>
        <w:t xml:space="preserve"> 1 lipca </w:t>
      </w:r>
      <w:r w:rsidRPr="000E5283">
        <w:rPr>
          <w:rFonts w:eastAsia="Times New Roman" w:cstheme="minorHAnsi"/>
          <w:lang w:val="en-US" w:eastAsia="pl-PL"/>
        </w:rPr>
        <w:t>2004</w:t>
      </w:r>
    </w:p>
    <w:p w14:paraId="37C2584F" w14:textId="77777777" w:rsidR="007A36A3" w:rsidRPr="000E5283" w:rsidRDefault="007A36A3"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eastAsia="pl-PL"/>
        </w:rPr>
        <w:t xml:space="preserve">Agreement on matters </w:t>
      </w:r>
      <w:r w:rsidR="00BC7C33" w:rsidRPr="000E5283">
        <w:rPr>
          <w:rFonts w:eastAsia="Times New Roman" w:cstheme="minorHAnsi"/>
          <w:lang w:eastAsia="pl-PL"/>
        </w:rPr>
        <w:t>related to trade in wine/ wymiana listów w Brukseli 23 listopada 2005/ weszło w życie 23 listopada 2005</w:t>
      </w:r>
    </w:p>
    <w:p w14:paraId="35C291B0" w14:textId="77777777" w:rsidR="007A36A3" w:rsidRPr="000E5283" w:rsidRDefault="007A36A3"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eastAsia="pl-PL"/>
        </w:rPr>
        <w:t xml:space="preserve">Agreement </w:t>
      </w:r>
      <w:r w:rsidR="00BC7C33" w:rsidRPr="000E5283">
        <w:rPr>
          <w:rFonts w:eastAsia="Times New Roman" w:cstheme="minorHAnsi"/>
          <w:lang w:eastAsia="pl-PL"/>
        </w:rPr>
        <w:t xml:space="preserve">on trade in wine, with annexes/ podpisane w Londynie 10 marca 2006/ </w:t>
      </w:r>
      <w:r w:rsidR="005551C6" w:rsidRPr="000E5283">
        <w:rPr>
          <w:rFonts w:eastAsia="Times New Roman" w:cstheme="minorHAnsi"/>
          <w:lang w:eastAsia="pl-PL"/>
        </w:rPr>
        <w:t>weszło</w:t>
      </w:r>
      <w:r w:rsidR="00BC7C33" w:rsidRPr="000E5283">
        <w:rPr>
          <w:rFonts w:eastAsia="Times New Roman" w:cstheme="minorHAnsi"/>
          <w:lang w:eastAsia="pl-PL"/>
        </w:rPr>
        <w:t xml:space="preserve"> w życie 10 marca 2006</w:t>
      </w:r>
    </w:p>
    <w:p w14:paraId="045BCF41" w14:textId="77777777" w:rsidR="007A36A3" w:rsidRPr="000E5283" w:rsidRDefault="007A36A3"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Agreement pursuant to Articl</w:t>
      </w:r>
      <w:r w:rsidR="00BC7C33" w:rsidRPr="000E5283">
        <w:rPr>
          <w:rFonts w:eastAsia="Times New Roman" w:cstheme="minorHAnsi"/>
          <w:lang w:val="en-US" w:eastAsia="pl-PL"/>
        </w:rPr>
        <w:t xml:space="preserve">e XXIV.6 and Article XXVIII of </w:t>
      </w:r>
      <w:r w:rsidRPr="000E5283">
        <w:rPr>
          <w:rFonts w:eastAsia="Times New Roman" w:cstheme="minorHAnsi"/>
          <w:lang w:val="en-US" w:eastAsia="pl-PL"/>
        </w:rPr>
        <w:t xml:space="preserve">the General Agreement on </w:t>
      </w:r>
      <w:r w:rsidR="00BC7C33" w:rsidRPr="000E5283">
        <w:rPr>
          <w:rFonts w:eastAsia="Times New Roman" w:cstheme="minorHAnsi"/>
          <w:lang w:val="en-US" w:eastAsia="pl-PL"/>
        </w:rPr>
        <w:t xml:space="preserve">Tariffs and Trade (GATT), 1994 </w:t>
      </w:r>
      <w:r w:rsidRPr="000E5283">
        <w:rPr>
          <w:rFonts w:eastAsia="Times New Roman" w:cstheme="minorHAnsi"/>
          <w:lang w:val="en-US" w:eastAsia="pl-PL"/>
        </w:rPr>
        <w:t>relating to the modification of c</w:t>
      </w:r>
      <w:r w:rsidR="00BC7C33" w:rsidRPr="000E5283">
        <w:rPr>
          <w:rFonts w:eastAsia="Times New Roman" w:cstheme="minorHAnsi"/>
          <w:lang w:val="en-US" w:eastAsia="pl-PL"/>
        </w:rPr>
        <w:t xml:space="preserve">oncessions in the schedules of </w:t>
      </w:r>
      <w:r w:rsidRPr="000E5283">
        <w:rPr>
          <w:rFonts w:eastAsia="Times New Roman" w:cstheme="minorHAnsi"/>
          <w:lang w:val="en-US" w:eastAsia="pl-PL"/>
        </w:rPr>
        <w:t>the Czech Republic, Eston</w:t>
      </w:r>
      <w:r w:rsidR="00BC7C33" w:rsidRPr="000E5283">
        <w:rPr>
          <w:rFonts w:eastAsia="Times New Roman" w:cstheme="minorHAnsi"/>
          <w:lang w:val="en-US" w:eastAsia="pl-PL"/>
        </w:rPr>
        <w:t xml:space="preserve">ia, Cyprus, Latvia, Lithuania, </w:t>
      </w:r>
      <w:r w:rsidRPr="000E5283">
        <w:rPr>
          <w:rFonts w:eastAsia="Times New Roman" w:cstheme="minorHAnsi"/>
          <w:lang w:val="en-US" w:eastAsia="pl-PL"/>
        </w:rPr>
        <w:t>Hungary, Malta, Poland, Sloveni</w:t>
      </w:r>
      <w:r w:rsidR="00BC7C33" w:rsidRPr="000E5283">
        <w:rPr>
          <w:rFonts w:eastAsia="Times New Roman" w:cstheme="minorHAnsi"/>
          <w:lang w:val="en-US" w:eastAsia="pl-PL"/>
        </w:rPr>
        <w:t xml:space="preserve">a and Slovakia in the course </w:t>
      </w:r>
      <w:r w:rsidRPr="000E5283">
        <w:rPr>
          <w:rFonts w:eastAsia="Times New Roman" w:cstheme="minorHAnsi"/>
          <w:lang w:val="en-US" w:eastAsia="pl-PL"/>
        </w:rPr>
        <w:t xml:space="preserve">of their accession to </w:t>
      </w:r>
      <w:r w:rsidR="00BC7C33" w:rsidRPr="000E5283">
        <w:rPr>
          <w:rFonts w:eastAsia="Times New Roman" w:cstheme="minorHAnsi"/>
          <w:lang w:val="en-US" w:eastAsia="pl-PL"/>
        </w:rPr>
        <w:t xml:space="preserve">the European Union, with annex/ wymiana listów w </w:t>
      </w:r>
      <w:r w:rsidR="005551C6" w:rsidRPr="000E5283">
        <w:rPr>
          <w:rFonts w:eastAsia="Times New Roman" w:cstheme="minorHAnsi"/>
          <w:lang w:val="en-US" w:eastAsia="pl-PL"/>
        </w:rPr>
        <w:t>Genewie</w:t>
      </w:r>
      <w:r w:rsidR="00BC7C33" w:rsidRPr="000E5283">
        <w:rPr>
          <w:rFonts w:eastAsia="Times New Roman" w:cstheme="minorHAnsi"/>
          <w:lang w:val="en-US" w:eastAsia="pl-PL"/>
        </w:rPr>
        <w:t xml:space="preserve"> 22 marca </w:t>
      </w:r>
      <w:r w:rsidRPr="000E5283">
        <w:rPr>
          <w:rFonts w:eastAsia="Times New Roman" w:cstheme="minorHAnsi"/>
          <w:lang w:val="en-US" w:eastAsia="pl-PL"/>
        </w:rPr>
        <w:t>2006</w:t>
      </w:r>
      <w:r w:rsidR="00BC7C33" w:rsidRPr="000E5283">
        <w:rPr>
          <w:rFonts w:eastAsia="Times New Roman" w:cstheme="minorHAnsi"/>
          <w:lang w:val="en-US" w:eastAsia="pl-PL"/>
        </w:rPr>
        <w:t>/ weszło w życie 22 marca 2006</w:t>
      </w:r>
    </w:p>
    <w:p w14:paraId="512A9A93" w14:textId="77777777" w:rsidR="007A36A3" w:rsidRPr="000E5283" w:rsidRDefault="007A36A3"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 xml:space="preserve">Revised memorandum </w:t>
      </w:r>
      <w:r w:rsidR="00BC7C33" w:rsidRPr="000E5283">
        <w:rPr>
          <w:rFonts w:eastAsia="Times New Roman" w:cstheme="minorHAnsi"/>
          <w:lang w:val="en-US" w:eastAsia="pl-PL"/>
        </w:rPr>
        <w:t xml:space="preserve">of understanding regarding the </w:t>
      </w:r>
      <w:r w:rsidRPr="000E5283">
        <w:rPr>
          <w:rFonts w:eastAsia="Times New Roman" w:cstheme="minorHAnsi"/>
          <w:lang w:val="en-US" w:eastAsia="pl-PL"/>
        </w:rPr>
        <w:t>importation of beef from an</w:t>
      </w:r>
      <w:r w:rsidR="00BC7C33" w:rsidRPr="000E5283">
        <w:rPr>
          <w:rFonts w:eastAsia="Times New Roman" w:cstheme="minorHAnsi"/>
          <w:lang w:val="en-US" w:eastAsia="pl-PL"/>
        </w:rPr>
        <w:t xml:space="preserve">imals not treated with certain </w:t>
      </w:r>
      <w:r w:rsidRPr="000E5283">
        <w:rPr>
          <w:rFonts w:eastAsia="Times New Roman" w:cstheme="minorHAnsi"/>
          <w:lang w:val="en-US" w:eastAsia="pl-PL"/>
        </w:rPr>
        <w:t>growth-promoting hormones a</w:t>
      </w:r>
      <w:r w:rsidR="00BC7C33" w:rsidRPr="000E5283">
        <w:rPr>
          <w:rFonts w:eastAsia="Times New Roman" w:cstheme="minorHAnsi"/>
          <w:lang w:val="en-US" w:eastAsia="pl-PL"/>
        </w:rPr>
        <w:t xml:space="preserve">nd increased duties applied by </w:t>
      </w:r>
      <w:r w:rsidRPr="000E5283">
        <w:rPr>
          <w:rFonts w:eastAsia="Times New Roman" w:cstheme="minorHAnsi"/>
          <w:lang w:val="en-US" w:eastAsia="pl-PL"/>
        </w:rPr>
        <w:t xml:space="preserve">the United States to certain </w:t>
      </w:r>
      <w:r w:rsidR="00BC7C33" w:rsidRPr="000E5283">
        <w:rPr>
          <w:rFonts w:eastAsia="Times New Roman" w:cstheme="minorHAnsi"/>
          <w:lang w:val="en-US" w:eastAsia="pl-PL"/>
        </w:rPr>
        <w:t>products of the European Union/ podpisane w Genewie, 21 października 2013/ weszło w życie 21 października 2013</w:t>
      </w:r>
    </w:p>
    <w:p w14:paraId="6A78C873" w14:textId="77777777" w:rsidR="007A36A3" w:rsidRPr="000E5283" w:rsidRDefault="007A36A3"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 xml:space="preserve">Agreement on prudential measures regarding insurance and reinsurance, with annexes/ podpisane w Waszyngtonie 22 września 2017/ weszło w życie 4 kwietnia </w:t>
      </w:r>
      <w:r w:rsidR="00BC7C33" w:rsidRPr="000E5283">
        <w:rPr>
          <w:rFonts w:eastAsia="Times New Roman" w:cstheme="minorHAnsi"/>
          <w:lang w:val="en-US" w:eastAsia="pl-PL"/>
        </w:rPr>
        <w:t>2018</w:t>
      </w:r>
    </w:p>
    <w:p w14:paraId="36AED5D2" w14:textId="77777777" w:rsidR="007A36A3" w:rsidRPr="000E5283" w:rsidRDefault="007A36A3"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Decision No 1/2017 of the Joint Committee Established Under Article 14 of the Agreement on Mutual Recognition Amending the Sectoral Annex for Pharmaceutical Good Manufacturing Practices (GMPs)/ podpisane w Waszyngtonie i Brukseli 19 stycznia i 1 marca 2017/ weszło w życie 1 marca 2017</w:t>
      </w:r>
    </w:p>
    <w:p w14:paraId="6C4D9E4C" w14:textId="77777777" w:rsidR="007A36A3" w:rsidRPr="000E5283" w:rsidRDefault="007A36A3"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 xml:space="preserve">Agreement on cooperation in the regulation of civil aviation safety, with annexes/ podpisane w Brukseli 30 czerwca 2008/ weszło w życie 1 maja </w:t>
      </w:r>
      <w:r w:rsidR="00BC7C33" w:rsidRPr="000E5283">
        <w:rPr>
          <w:rFonts w:eastAsia="Times New Roman" w:cstheme="minorHAnsi"/>
          <w:lang w:val="en-US" w:eastAsia="pl-PL"/>
        </w:rPr>
        <w:t>2011</w:t>
      </w:r>
    </w:p>
    <w:p w14:paraId="78BEAE9C" w14:textId="77777777" w:rsidR="00BC7C33" w:rsidRPr="000E5283" w:rsidRDefault="007A36A3" w:rsidP="00894319">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Memorandum of cooperation relating to technical assistance in developing and modernizing civil aviation security infrastructure, with annex/ podpisane w Budapeszcie 3 marca 2011/ weszło w życie 21 października 2011</w:t>
      </w:r>
    </w:p>
    <w:p w14:paraId="463D912E" w14:textId="77777777" w:rsidR="007A36A3" w:rsidRPr="000E5283" w:rsidRDefault="007A36A3" w:rsidP="00894319">
      <w:pPr>
        <w:numPr>
          <w:ilvl w:val="0"/>
          <w:numId w:val="2"/>
        </w:numPr>
        <w:shd w:val="clear" w:color="auto" w:fill="FFFFFF"/>
        <w:spacing w:before="120" w:after="120" w:line="240" w:lineRule="auto"/>
        <w:ind w:left="0"/>
        <w:jc w:val="both"/>
        <w:textAlignment w:val="baseline"/>
        <w:rPr>
          <w:rFonts w:eastAsia="Times New Roman" w:cstheme="minorHAnsi"/>
          <w:lang w:eastAsia="pl-PL"/>
        </w:rPr>
      </w:pPr>
      <w:r w:rsidRPr="000E5283">
        <w:rPr>
          <w:rFonts w:eastAsia="Times New Roman" w:cstheme="minorHAnsi"/>
          <w:lang w:val="en-US" w:eastAsia="pl-PL"/>
        </w:rPr>
        <w:t xml:space="preserve">Agreement on the promotion, provision and use of Galileo and GPS satellite-based navigation systems and related applications/ podpisane w </w:t>
      </w:r>
      <w:r w:rsidR="00BC7C33" w:rsidRPr="000E5283">
        <w:rPr>
          <w:rFonts w:eastAsia="Times New Roman" w:cstheme="minorHAnsi"/>
          <w:lang w:val="en-US" w:eastAsia="pl-PL"/>
        </w:rPr>
        <w:t xml:space="preserve">Dromoland Castle, Co. </w:t>
      </w:r>
      <w:r w:rsidR="00BC7C33" w:rsidRPr="000E5283">
        <w:rPr>
          <w:rFonts w:eastAsia="Times New Roman" w:cstheme="minorHAnsi"/>
          <w:lang w:eastAsia="pl-PL"/>
        </w:rPr>
        <w:t>Clare (Ir</w:t>
      </w:r>
      <w:r w:rsidRPr="000E5283">
        <w:rPr>
          <w:rFonts w:eastAsia="Times New Roman" w:cstheme="minorHAnsi"/>
          <w:lang w:eastAsia="pl-PL"/>
        </w:rPr>
        <w:t xml:space="preserve">landia) </w:t>
      </w:r>
      <w:r w:rsidR="00BC7C33" w:rsidRPr="000E5283">
        <w:rPr>
          <w:rFonts w:eastAsia="Times New Roman" w:cstheme="minorHAnsi"/>
          <w:lang w:eastAsia="pl-PL"/>
        </w:rPr>
        <w:t>26 czerwca 2004/ weszło w życie 12 grudnia 2011</w:t>
      </w:r>
    </w:p>
    <w:p w14:paraId="42F76AF3" w14:textId="77777777" w:rsidR="002321D0" w:rsidRPr="000E5283" w:rsidRDefault="007A36A3" w:rsidP="00A42BFD">
      <w:pPr>
        <w:numPr>
          <w:ilvl w:val="0"/>
          <w:numId w:val="2"/>
        </w:numPr>
        <w:shd w:val="clear" w:color="auto" w:fill="FFFFFF"/>
        <w:spacing w:before="120" w:after="120" w:line="240" w:lineRule="auto"/>
        <w:ind w:left="0"/>
        <w:jc w:val="both"/>
        <w:textAlignment w:val="baseline"/>
        <w:rPr>
          <w:rFonts w:eastAsia="Times New Roman" w:cstheme="minorHAnsi"/>
          <w:lang w:val="en-US" w:eastAsia="pl-PL"/>
        </w:rPr>
      </w:pPr>
      <w:r w:rsidRPr="000E5283">
        <w:rPr>
          <w:rFonts w:eastAsia="Times New Roman" w:cstheme="minorHAnsi"/>
          <w:lang w:val="en-US" w:eastAsia="pl-PL"/>
        </w:rPr>
        <w:t xml:space="preserve">Agreement on the allocation to the United States of a share in the tariff rate quota for high quality beef referred to in the revised Memorandum of Understanding regarding the importation of beef from animals not treated with certain growth promoting hormones and increased duties applied by the </w:t>
      </w:r>
      <w:r w:rsidRPr="000E5283">
        <w:rPr>
          <w:rFonts w:eastAsia="Times New Roman" w:cstheme="minorHAnsi"/>
          <w:lang w:val="en-US" w:eastAsia="pl-PL"/>
        </w:rPr>
        <w:lastRenderedPageBreak/>
        <w:t>United States to certain products of the European Union (2014)/ podpisane w Waszyngtonie 2 sierpnia 2019/ weszło w życie 14 grudnia 2019.</w:t>
      </w:r>
    </w:p>
    <w:p w14:paraId="28CED2EE" w14:textId="77777777" w:rsidR="007A36A3" w:rsidRPr="000E5283" w:rsidRDefault="00BC7C33" w:rsidP="007A36A3">
      <w:pPr>
        <w:tabs>
          <w:tab w:val="num" w:pos="720"/>
        </w:tabs>
        <w:spacing w:before="120" w:after="120" w:line="264" w:lineRule="auto"/>
        <w:rPr>
          <w:rFonts w:cstheme="minorHAnsi"/>
          <w:b/>
          <w:lang w:val="en-US"/>
        </w:rPr>
      </w:pPr>
      <w:r w:rsidRPr="000E5283">
        <w:rPr>
          <w:rFonts w:cstheme="minorHAnsi"/>
          <w:lang w:val="en-US"/>
        </w:rPr>
        <w:t xml:space="preserve">Źródło: </w:t>
      </w:r>
      <w:hyperlink r:id="rId30" w:history="1">
        <w:r w:rsidRPr="000E5283">
          <w:rPr>
            <w:rFonts w:cstheme="minorHAnsi"/>
            <w:color w:val="0000FF"/>
            <w:u w:val="single"/>
            <w:lang w:val="en-US"/>
          </w:rPr>
          <w:t>Treaties in Force - United States Department of State</w:t>
        </w:r>
      </w:hyperlink>
    </w:p>
    <w:p w14:paraId="217EC875" w14:textId="77777777" w:rsidR="00CC1D6A" w:rsidRPr="000E5283" w:rsidRDefault="00CC1D6A" w:rsidP="00B31571">
      <w:pPr>
        <w:spacing w:before="240" w:after="120" w:line="264" w:lineRule="auto"/>
        <w:outlineLvl w:val="3"/>
        <w:rPr>
          <w:rFonts w:cstheme="minorHAnsi"/>
          <w:b/>
          <w:highlight w:val="lightGray"/>
          <w:lang w:val="en-US"/>
        </w:rPr>
      </w:pPr>
    </w:p>
    <w:p w14:paraId="17DCFBBC" w14:textId="77777777" w:rsidR="002A381A" w:rsidRPr="000E5283" w:rsidRDefault="002A381A" w:rsidP="00AE5BE5">
      <w:pPr>
        <w:spacing w:before="240" w:after="120" w:line="264" w:lineRule="auto"/>
        <w:jc w:val="both"/>
        <w:rPr>
          <w:rFonts w:cstheme="minorHAnsi"/>
          <w:b/>
        </w:rPr>
      </w:pPr>
      <w:r w:rsidRPr="000E5283">
        <w:rPr>
          <w:rFonts w:cstheme="minorHAnsi"/>
          <w:b/>
        </w:rPr>
        <w:t xml:space="preserve">Aktualizacja: </w:t>
      </w:r>
      <w:r w:rsidR="0064687A" w:rsidRPr="000E5283">
        <w:rPr>
          <w:rFonts w:cstheme="minorHAnsi"/>
          <w:b/>
        </w:rPr>
        <w:t>listopad</w:t>
      </w:r>
      <w:r w:rsidRPr="000E5283">
        <w:rPr>
          <w:rFonts w:cstheme="minorHAnsi"/>
          <w:b/>
        </w:rPr>
        <w:t xml:space="preserve"> 202</w:t>
      </w:r>
      <w:r w:rsidR="0064687A" w:rsidRPr="000E5283">
        <w:rPr>
          <w:rFonts w:cstheme="minorHAnsi"/>
          <w:b/>
        </w:rPr>
        <w:t>4</w:t>
      </w:r>
      <w:r w:rsidRPr="000E5283">
        <w:rPr>
          <w:rFonts w:cstheme="minorHAnsi"/>
          <w:b/>
        </w:rPr>
        <w:t xml:space="preserve"> r.</w:t>
      </w:r>
    </w:p>
    <w:sectPr w:rsidR="002A381A" w:rsidRPr="000E5283" w:rsidSect="001A18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2732B" w14:textId="77777777" w:rsidR="00133CF4" w:rsidRDefault="00133CF4" w:rsidP="000B15B0">
      <w:pPr>
        <w:spacing w:after="0" w:line="240" w:lineRule="auto"/>
      </w:pPr>
      <w:r>
        <w:separator/>
      </w:r>
    </w:p>
  </w:endnote>
  <w:endnote w:type="continuationSeparator" w:id="0">
    <w:p w14:paraId="01ED9231" w14:textId="77777777" w:rsidR="00133CF4" w:rsidRDefault="00133CF4" w:rsidP="000B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C0EF4" w14:textId="77777777" w:rsidR="00133CF4" w:rsidRDefault="00133CF4" w:rsidP="000B15B0">
      <w:pPr>
        <w:spacing w:after="0" w:line="240" w:lineRule="auto"/>
      </w:pPr>
      <w:r>
        <w:separator/>
      </w:r>
    </w:p>
  </w:footnote>
  <w:footnote w:type="continuationSeparator" w:id="0">
    <w:p w14:paraId="5C83822A" w14:textId="77777777" w:rsidR="00133CF4" w:rsidRDefault="00133CF4" w:rsidP="000B1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816"/>
    <w:multiLevelType w:val="hybridMultilevel"/>
    <w:tmpl w:val="56EE4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DB2F71"/>
    <w:multiLevelType w:val="multilevel"/>
    <w:tmpl w:val="9A3ED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763BD"/>
    <w:multiLevelType w:val="hybridMultilevel"/>
    <w:tmpl w:val="385687D8"/>
    <w:lvl w:ilvl="0" w:tplc="BDF01828">
      <w:start w:val="1"/>
      <w:numFmt w:val="decimal"/>
      <w:lvlText w:val="%1."/>
      <w:lvlJc w:val="left"/>
      <w:pPr>
        <w:ind w:left="504" w:hanging="14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84D7F"/>
    <w:multiLevelType w:val="hybridMultilevel"/>
    <w:tmpl w:val="C8609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97D9C"/>
    <w:multiLevelType w:val="multilevel"/>
    <w:tmpl w:val="28E08F80"/>
    <w:lvl w:ilvl="0">
      <w:start w:val="7"/>
      <w:numFmt w:val="decimal"/>
      <w:lvlText w:val="%1."/>
      <w:lvlJc w:val="left"/>
      <w:pPr>
        <w:ind w:left="504" w:hanging="504"/>
      </w:pPr>
      <w:rPr>
        <w:rFonts w:hint="default"/>
        <w:b/>
        <w:color w:val="1B1B1B"/>
      </w:rPr>
    </w:lvl>
    <w:lvl w:ilvl="1">
      <w:start w:val="1"/>
      <w:numFmt w:val="decimal"/>
      <w:lvlText w:val="%1.%2."/>
      <w:lvlJc w:val="left"/>
      <w:pPr>
        <w:ind w:left="504" w:hanging="504"/>
      </w:pPr>
      <w:rPr>
        <w:rFonts w:hint="default"/>
        <w:b/>
        <w:color w:val="1B1B1B"/>
      </w:rPr>
    </w:lvl>
    <w:lvl w:ilvl="2">
      <w:start w:val="3"/>
      <w:numFmt w:val="decimal"/>
      <w:lvlText w:val="%1.%2.%3."/>
      <w:lvlJc w:val="left"/>
      <w:pPr>
        <w:ind w:left="720" w:hanging="720"/>
      </w:pPr>
      <w:rPr>
        <w:rFonts w:hint="default"/>
        <w:b/>
        <w:color w:val="1B1B1B"/>
      </w:rPr>
    </w:lvl>
    <w:lvl w:ilvl="3">
      <w:start w:val="1"/>
      <w:numFmt w:val="decimal"/>
      <w:lvlText w:val="%1.%2.%3.%4."/>
      <w:lvlJc w:val="left"/>
      <w:pPr>
        <w:ind w:left="720" w:hanging="720"/>
      </w:pPr>
      <w:rPr>
        <w:rFonts w:hint="default"/>
        <w:b/>
        <w:color w:val="1B1B1B"/>
      </w:rPr>
    </w:lvl>
    <w:lvl w:ilvl="4">
      <w:start w:val="1"/>
      <w:numFmt w:val="decimal"/>
      <w:lvlText w:val="%1.%2.%3.%4.%5."/>
      <w:lvlJc w:val="left"/>
      <w:pPr>
        <w:ind w:left="1080" w:hanging="1080"/>
      </w:pPr>
      <w:rPr>
        <w:rFonts w:hint="default"/>
        <w:b/>
        <w:color w:val="1B1B1B"/>
      </w:rPr>
    </w:lvl>
    <w:lvl w:ilvl="5">
      <w:start w:val="1"/>
      <w:numFmt w:val="decimal"/>
      <w:lvlText w:val="%1.%2.%3.%4.%5.%6."/>
      <w:lvlJc w:val="left"/>
      <w:pPr>
        <w:ind w:left="1080" w:hanging="1080"/>
      </w:pPr>
      <w:rPr>
        <w:rFonts w:hint="default"/>
        <w:b/>
        <w:color w:val="1B1B1B"/>
      </w:rPr>
    </w:lvl>
    <w:lvl w:ilvl="6">
      <w:start w:val="1"/>
      <w:numFmt w:val="decimal"/>
      <w:lvlText w:val="%1.%2.%3.%4.%5.%6.%7."/>
      <w:lvlJc w:val="left"/>
      <w:pPr>
        <w:ind w:left="1440" w:hanging="1440"/>
      </w:pPr>
      <w:rPr>
        <w:rFonts w:hint="default"/>
        <w:b/>
        <w:color w:val="1B1B1B"/>
      </w:rPr>
    </w:lvl>
    <w:lvl w:ilvl="7">
      <w:start w:val="1"/>
      <w:numFmt w:val="decimal"/>
      <w:lvlText w:val="%1.%2.%3.%4.%5.%6.%7.%8."/>
      <w:lvlJc w:val="left"/>
      <w:pPr>
        <w:ind w:left="1440" w:hanging="1440"/>
      </w:pPr>
      <w:rPr>
        <w:rFonts w:hint="default"/>
        <w:b/>
        <w:color w:val="1B1B1B"/>
      </w:rPr>
    </w:lvl>
    <w:lvl w:ilvl="8">
      <w:start w:val="1"/>
      <w:numFmt w:val="decimal"/>
      <w:lvlText w:val="%1.%2.%3.%4.%5.%6.%7.%8.%9."/>
      <w:lvlJc w:val="left"/>
      <w:pPr>
        <w:ind w:left="1800" w:hanging="1800"/>
      </w:pPr>
      <w:rPr>
        <w:rFonts w:hint="default"/>
        <w:b/>
        <w:color w:val="1B1B1B"/>
      </w:rPr>
    </w:lvl>
  </w:abstractNum>
  <w:abstractNum w:abstractNumId="5" w15:restartNumberingAfterBreak="0">
    <w:nsid w:val="1482775B"/>
    <w:multiLevelType w:val="multilevel"/>
    <w:tmpl w:val="0F8A9A5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1A8E74A1"/>
    <w:multiLevelType w:val="hybridMultilevel"/>
    <w:tmpl w:val="2E46B3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AB7165E"/>
    <w:multiLevelType w:val="hybridMultilevel"/>
    <w:tmpl w:val="B302C6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F315508"/>
    <w:multiLevelType w:val="hybridMultilevel"/>
    <w:tmpl w:val="9398B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AE12B2"/>
    <w:multiLevelType w:val="hybridMultilevel"/>
    <w:tmpl w:val="E4E021B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7424B74"/>
    <w:multiLevelType w:val="multilevel"/>
    <w:tmpl w:val="D8DC0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B1DD1"/>
    <w:multiLevelType w:val="multilevel"/>
    <w:tmpl w:val="29D40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43F15"/>
    <w:multiLevelType w:val="hybridMultilevel"/>
    <w:tmpl w:val="7F460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A413F5"/>
    <w:multiLevelType w:val="multilevel"/>
    <w:tmpl w:val="A6EAFFC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A15A86"/>
    <w:multiLevelType w:val="hybridMultilevel"/>
    <w:tmpl w:val="DF72CB0C"/>
    <w:lvl w:ilvl="0" w:tplc="1CA8C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9A104E"/>
    <w:multiLevelType w:val="multilevel"/>
    <w:tmpl w:val="87F6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C79DE"/>
    <w:multiLevelType w:val="hybridMultilevel"/>
    <w:tmpl w:val="3EB88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FF68D8"/>
    <w:multiLevelType w:val="multilevel"/>
    <w:tmpl w:val="0930B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15E66"/>
    <w:multiLevelType w:val="hybridMultilevel"/>
    <w:tmpl w:val="56289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6D6BC5"/>
    <w:multiLevelType w:val="multilevel"/>
    <w:tmpl w:val="18C0C2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F0D15"/>
    <w:multiLevelType w:val="multilevel"/>
    <w:tmpl w:val="FCF60256"/>
    <w:lvl w:ilvl="0">
      <w:start w:val="7"/>
      <w:numFmt w:val="decimal"/>
      <w:lvlText w:val="%1."/>
      <w:lvlJc w:val="left"/>
      <w:pPr>
        <w:ind w:left="504" w:hanging="504"/>
      </w:pPr>
      <w:rPr>
        <w:rFonts w:hint="default"/>
        <w:b/>
        <w:color w:val="1B1B1B"/>
      </w:rPr>
    </w:lvl>
    <w:lvl w:ilvl="1">
      <w:start w:val="1"/>
      <w:numFmt w:val="decimal"/>
      <w:lvlText w:val="%1.%2."/>
      <w:lvlJc w:val="left"/>
      <w:pPr>
        <w:ind w:left="684" w:hanging="504"/>
      </w:pPr>
      <w:rPr>
        <w:rFonts w:hint="default"/>
        <w:b/>
        <w:color w:val="1B1B1B"/>
      </w:rPr>
    </w:lvl>
    <w:lvl w:ilvl="2">
      <w:start w:val="2"/>
      <w:numFmt w:val="decimal"/>
      <w:lvlText w:val="%1.%2.%3."/>
      <w:lvlJc w:val="left"/>
      <w:pPr>
        <w:ind w:left="1080" w:hanging="720"/>
      </w:pPr>
      <w:rPr>
        <w:rFonts w:hint="default"/>
        <w:b/>
        <w:color w:val="1B1B1B"/>
      </w:rPr>
    </w:lvl>
    <w:lvl w:ilvl="3">
      <w:start w:val="1"/>
      <w:numFmt w:val="decimal"/>
      <w:lvlText w:val="%1.%2.%3.%4."/>
      <w:lvlJc w:val="left"/>
      <w:pPr>
        <w:ind w:left="1260" w:hanging="720"/>
      </w:pPr>
      <w:rPr>
        <w:rFonts w:hint="default"/>
        <w:b/>
        <w:color w:val="1B1B1B"/>
      </w:rPr>
    </w:lvl>
    <w:lvl w:ilvl="4">
      <w:start w:val="1"/>
      <w:numFmt w:val="decimal"/>
      <w:lvlText w:val="%1.%2.%3.%4.%5."/>
      <w:lvlJc w:val="left"/>
      <w:pPr>
        <w:ind w:left="1800" w:hanging="1080"/>
      </w:pPr>
      <w:rPr>
        <w:rFonts w:hint="default"/>
        <w:b/>
        <w:color w:val="1B1B1B"/>
      </w:rPr>
    </w:lvl>
    <w:lvl w:ilvl="5">
      <w:start w:val="1"/>
      <w:numFmt w:val="decimal"/>
      <w:lvlText w:val="%1.%2.%3.%4.%5.%6."/>
      <w:lvlJc w:val="left"/>
      <w:pPr>
        <w:ind w:left="1980" w:hanging="1080"/>
      </w:pPr>
      <w:rPr>
        <w:rFonts w:hint="default"/>
        <w:b/>
        <w:color w:val="1B1B1B"/>
      </w:rPr>
    </w:lvl>
    <w:lvl w:ilvl="6">
      <w:start w:val="1"/>
      <w:numFmt w:val="decimal"/>
      <w:lvlText w:val="%1.%2.%3.%4.%5.%6.%7."/>
      <w:lvlJc w:val="left"/>
      <w:pPr>
        <w:ind w:left="2520" w:hanging="1440"/>
      </w:pPr>
      <w:rPr>
        <w:rFonts w:hint="default"/>
        <w:b/>
        <w:color w:val="1B1B1B"/>
      </w:rPr>
    </w:lvl>
    <w:lvl w:ilvl="7">
      <w:start w:val="1"/>
      <w:numFmt w:val="decimal"/>
      <w:lvlText w:val="%1.%2.%3.%4.%5.%6.%7.%8."/>
      <w:lvlJc w:val="left"/>
      <w:pPr>
        <w:ind w:left="2700" w:hanging="1440"/>
      </w:pPr>
      <w:rPr>
        <w:rFonts w:hint="default"/>
        <w:b/>
        <w:color w:val="1B1B1B"/>
      </w:rPr>
    </w:lvl>
    <w:lvl w:ilvl="8">
      <w:start w:val="1"/>
      <w:numFmt w:val="decimal"/>
      <w:lvlText w:val="%1.%2.%3.%4.%5.%6.%7.%8.%9."/>
      <w:lvlJc w:val="left"/>
      <w:pPr>
        <w:ind w:left="3240" w:hanging="1800"/>
      </w:pPr>
      <w:rPr>
        <w:rFonts w:hint="default"/>
        <w:b/>
        <w:color w:val="1B1B1B"/>
      </w:rPr>
    </w:lvl>
  </w:abstractNum>
  <w:abstractNum w:abstractNumId="21" w15:restartNumberingAfterBreak="0">
    <w:nsid w:val="3DCC0616"/>
    <w:multiLevelType w:val="hybridMultilevel"/>
    <w:tmpl w:val="3E687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885777"/>
    <w:multiLevelType w:val="multilevel"/>
    <w:tmpl w:val="65EEB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349CA"/>
    <w:multiLevelType w:val="hybridMultilevel"/>
    <w:tmpl w:val="F9142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C80802"/>
    <w:multiLevelType w:val="multilevel"/>
    <w:tmpl w:val="ACCC8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774BE"/>
    <w:multiLevelType w:val="multilevel"/>
    <w:tmpl w:val="C2885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C79C7"/>
    <w:multiLevelType w:val="multilevel"/>
    <w:tmpl w:val="31B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3706E7"/>
    <w:multiLevelType w:val="hybridMultilevel"/>
    <w:tmpl w:val="F05ED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443272"/>
    <w:multiLevelType w:val="multilevel"/>
    <w:tmpl w:val="E08041A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773D5"/>
    <w:multiLevelType w:val="multilevel"/>
    <w:tmpl w:val="258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55EAE"/>
    <w:multiLevelType w:val="hybridMultilevel"/>
    <w:tmpl w:val="CC1627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15:restartNumberingAfterBreak="0">
    <w:nsid w:val="61362236"/>
    <w:multiLevelType w:val="multilevel"/>
    <w:tmpl w:val="6666B8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A587152"/>
    <w:multiLevelType w:val="hybridMultilevel"/>
    <w:tmpl w:val="2354929A"/>
    <w:lvl w:ilvl="0" w:tplc="F67225DE">
      <w:start w:val="5"/>
      <w:numFmt w:val="bullet"/>
      <w:lvlText w:val=""/>
      <w:lvlJc w:val="left"/>
      <w:pPr>
        <w:ind w:left="1080" w:hanging="360"/>
      </w:pPr>
      <w:rPr>
        <w:rFonts w:ascii="Symbol" w:eastAsia="Calibri" w:hAnsi="Symbol"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6A645861"/>
    <w:multiLevelType w:val="hybridMultilevel"/>
    <w:tmpl w:val="42F89D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0FC4C48"/>
    <w:multiLevelType w:val="hybridMultilevel"/>
    <w:tmpl w:val="49EC6A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12159CE"/>
    <w:multiLevelType w:val="hybridMultilevel"/>
    <w:tmpl w:val="B5CE0F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CD64EE"/>
    <w:multiLevelType w:val="hybridMultilevel"/>
    <w:tmpl w:val="59C8A826"/>
    <w:lvl w:ilvl="0" w:tplc="44E8DF70">
      <w:start w:val="1"/>
      <w:numFmt w:val="decimal"/>
      <w:lvlText w:val="%1."/>
      <w:lvlJc w:val="left"/>
      <w:pPr>
        <w:ind w:left="360" w:hanging="360"/>
      </w:pPr>
      <w:rPr>
        <w:rFonts w:ascii="Calibri" w:hAnsi="Calibri" w:cs="Calibri"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
  </w:num>
  <w:num w:numId="2">
    <w:abstractNumId w:val="26"/>
  </w:num>
  <w:num w:numId="3">
    <w:abstractNumId w:val="18"/>
  </w:num>
  <w:num w:numId="4">
    <w:abstractNumId w:val="34"/>
  </w:num>
  <w:num w:numId="5">
    <w:abstractNumId w:val="35"/>
  </w:num>
  <w:num w:numId="6">
    <w:abstractNumId w:val="27"/>
  </w:num>
  <w:num w:numId="7">
    <w:abstractNumId w:val="21"/>
  </w:num>
  <w:num w:numId="8">
    <w:abstractNumId w:val="16"/>
  </w:num>
  <w:num w:numId="9">
    <w:abstractNumId w:val="3"/>
  </w:num>
  <w:num w:numId="10">
    <w:abstractNumId w:val="31"/>
  </w:num>
  <w:num w:numId="11">
    <w:abstractNumId w:val="13"/>
  </w:num>
  <w:num w:numId="12">
    <w:abstractNumId w:val="0"/>
  </w:num>
  <w:num w:numId="13">
    <w:abstractNumId w:val="32"/>
  </w:num>
  <w:num w:numId="14">
    <w:abstractNumId w:val="30"/>
  </w:num>
  <w:num w:numId="15">
    <w:abstractNumId w:val="7"/>
  </w:num>
  <w:num w:numId="16">
    <w:abstractNumId w:val="9"/>
  </w:num>
  <w:num w:numId="17">
    <w:abstractNumId w:val="6"/>
  </w:num>
  <w:num w:numId="18">
    <w:abstractNumId w:val="20"/>
  </w:num>
  <w:num w:numId="19">
    <w:abstractNumId w:val="19"/>
  </w:num>
  <w:num w:numId="20">
    <w:abstractNumId w:val="4"/>
  </w:num>
  <w:num w:numId="21">
    <w:abstractNumId w:val="22"/>
  </w:num>
  <w:num w:numId="22">
    <w:abstractNumId w:val="10"/>
  </w:num>
  <w:num w:numId="23">
    <w:abstractNumId w:val="24"/>
  </w:num>
  <w:num w:numId="24">
    <w:abstractNumId w:val="15"/>
  </w:num>
  <w:num w:numId="25">
    <w:abstractNumId w:val="17"/>
  </w:num>
  <w:num w:numId="26">
    <w:abstractNumId w:val="28"/>
    <w:lvlOverride w:ilvl="0"/>
    <w:lvlOverride w:ilvl="1">
      <w:startOverride w:val="7"/>
    </w:lvlOverride>
    <w:lvlOverride w:ilvl="2"/>
    <w:lvlOverride w:ilvl="3"/>
    <w:lvlOverride w:ilvl="4"/>
    <w:lvlOverride w:ilvl="5"/>
    <w:lvlOverride w:ilvl="6"/>
    <w:lvlOverride w:ilvl="7"/>
    <w:lvlOverride w:ilvl="8"/>
  </w:num>
  <w:num w:numId="27">
    <w:abstractNumId w:val="25"/>
  </w:num>
  <w:num w:numId="28">
    <w:abstractNumId w:val="4"/>
  </w:num>
  <w:num w:numId="29">
    <w:abstractNumId w:val="11"/>
  </w:num>
  <w:num w:numId="30">
    <w:abstractNumId w:val="1"/>
  </w:num>
  <w:num w:numId="31">
    <w:abstractNumId w:val="2"/>
  </w:num>
  <w:num w:numId="32">
    <w:abstractNumId w:val="14"/>
  </w:num>
  <w:num w:numId="33">
    <w:abstractNumId w:val="29"/>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8"/>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55"/>
    <w:rsid w:val="00001766"/>
    <w:rsid w:val="00001B05"/>
    <w:rsid w:val="00001F71"/>
    <w:rsid w:val="000054D7"/>
    <w:rsid w:val="00005DFF"/>
    <w:rsid w:val="0000665B"/>
    <w:rsid w:val="000106B0"/>
    <w:rsid w:val="0001155A"/>
    <w:rsid w:val="00011938"/>
    <w:rsid w:val="0001302A"/>
    <w:rsid w:val="000146A9"/>
    <w:rsid w:val="00014DB0"/>
    <w:rsid w:val="000151B6"/>
    <w:rsid w:val="00020919"/>
    <w:rsid w:val="00020A45"/>
    <w:rsid w:val="0002265B"/>
    <w:rsid w:val="00023907"/>
    <w:rsid w:val="0002729D"/>
    <w:rsid w:val="00031DFA"/>
    <w:rsid w:val="00032359"/>
    <w:rsid w:val="00033881"/>
    <w:rsid w:val="00035D5D"/>
    <w:rsid w:val="000454F4"/>
    <w:rsid w:val="00046062"/>
    <w:rsid w:val="0005094D"/>
    <w:rsid w:val="000514B2"/>
    <w:rsid w:val="000616EA"/>
    <w:rsid w:val="00062CB3"/>
    <w:rsid w:val="00064637"/>
    <w:rsid w:val="000657DA"/>
    <w:rsid w:val="000707E2"/>
    <w:rsid w:val="00070C80"/>
    <w:rsid w:val="00071D1F"/>
    <w:rsid w:val="00072834"/>
    <w:rsid w:val="000745FC"/>
    <w:rsid w:val="00080F3D"/>
    <w:rsid w:val="000813BE"/>
    <w:rsid w:val="0008258C"/>
    <w:rsid w:val="00083F67"/>
    <w:rsid w:val="00085674"/>
    <w:rsid w:val="00091F79"/>
    <w:rsid w:val="00093E6C"/>
    <w:rsid w:val="0009418E"/>
    <w:rsid w:val="00096A96"/>
    <w:rsid w:val="00097C35"/>
    <w:rsid w:val="000A07B9"/>
    <w:rsid w:val="000A0A0B"/>
    <w:rsid w:val="000A1791"/>
    <w:rsid w:val="000A495E"/>
    <w:rsid w:val="000A60B3"/>
    <w:rsid w:val="000A724D"/>
    <w:rsid w:val="000B0716"/>
    <w:rsid w:val="000B0B7D"/>
    <w:rsid w:val="000B15B0"/>
    <w:rsid w:val="000B2817"/>
    <w:rsid w:val="000C147C"/>
    <w:rsid w:val="000C29A5"/>
    <w:rsid w:val="000C507B"/>
    <w:rsid w:val="000C5736"/>
    <w:rsid w:val="000C6871"/>
    <w:rsid w:val="000D15E2"/>
    <w:rsid w:val="000D3172"/>
    <w:rsid w:val="000D6729"/>
    <w:rsid w:val="000E12FE"/>
    <w:rsid w:val="000E5283"/>
    <w:rsid w:val="000E5AFE"/>
    <w:rsid w:val="000E7389"/>
    <w:rsid w:val="000F203C"/>
    <w:rsid w:val="000F45B8"/>
    <w:rsid w:val="000F48F5"/>
    <w:rsid w:val="000F565A"/>
    <w:rsid w:val="000F7090"/>
    <w:rsid w:val="00100CD3"/>
    <w:rsid w:val="0010105F"/>
    <w:rsid w:val="00105EF7"/>
    <w:rsid w:val="00110ED3"/>
    <w:rsid w:val="00115A6B"/>
    <w:rsid w:val="0012064C"/>
    <w:rsid w:val="00121DFA"/>
    <w:rsid w:val="001223D6"/>
    <w:rsid w:val="00123E80"/>
    <w:rsid w:val="00126AA9"/>
    <w:rsid w:val="00127CB1"/>
    <w:rsid w:val="00133CF4"/>
    <w:rsid w:val="0013440B"/>
    <w:rsid w:val="00140EDF"/>
    <w:rsid w:val="00141EC8"/>
    <w:rsid w:val="00143269"/>
    <w:rsid w:val="00145755"/>
    <w:rsid w:val="00145FBF"/>
    <w:rsid w:val="001528A9"/>
    <w:rsid w:val="001561AB"/>
    <w:rsid w:val="00156330"/>
    <w:rsid w:val="0015654F"/>
    <w:rsid w:val="001600D0"/>
    <w:rsid w:val="00160F0B"/>
    <w:rsid w:val="001614AE"/>
    <w:rsid w:val="0016162F"/>
    <w:rsid w:val="001646EF"/>
    <w:rsid w:val="00167286"/>
    <w:rsid w:val="001679B4"/>
    <w:rsid w:val="001735B0"/>
    <w:rsid w:val="00173C00"/>
    <w:rsid w:val="00174FDC"/>
    <w:rsid w:val="001757DC"/>
    <w:rsid w:val="0018303D"/>
    <w:rsid w:val="00184A5C"/>
    <w:rsid w:val="0018665D"/>
    <w:rsid w:val="00186830"/>
    <w:rsid w:val="0019359E"/>
    <w:rsid w:val="001936FD"/>
    <w:rsid w:val="00194391"/>
    <w:rsid w:val="0019620D"/>
    <w:rsid w:val="001A0A8B"/>
    <w:rsid w:val="001A18C1"/>
    <w:rsid w:val="001B2F42"/>
    <w:rsid w:val="001B3A15"/>
    <w:rsid w:val="001C141C"/>
    <w:rsid w:val="001C6429"/>
    <w:rsid w:val="001D02B8"/>
    <w:rsid w:val="001D0433"/>
    <w:rsid w:val="001D488C"/>
    <w:rsid w:val="001D638D"/>
    <w:rsid w:val="001D7948"/>
    <w:rsid w:val="001E50CC"/>
    <w:rsid w:val="001F486A"/>
    <w:rsid w:val="001F4E9C"/>
    <w:rsid w:val="001F70ED"/>
    <w:rsid w:val="00202F93"/>
    <w:rsid w:val="002052E9"/>
    <w:rsid w:val="002069C0"/>
    <w:rsid w:val="00211158"/>
    <w:rsid w:val="00211977"/>
    <w:rsid w:val="002148C9"/>
    <w:rsid w:val="00216114"/>
    <w:rsid w:val="00223F95"/>
    <w:rsid w:val="00230060"/>
    <w:rsid w:val="00231025"/>
    <w:rsid w:val="002321D0"/>
    <w:rsid w:val="002334D3"/>
    <w:rsid w:val="00240820"/>
    <w:rsid w:val="00241747"/>
    <w:rsid w:val="00244B83"/>
    <w:rsid w:val="00244E11"/>
    <w:rsid w:val="00245591"/>
    <w:rsid w:val="00251AAA"/>
    <w:rsid w:val="00255934"/>
    <w:rsid w:val="0025755D"/>
    <w:rsid w:val="0026068D"/>
    <w:rsid w:val="0026086B"/>
    <w:rsid w:val="00261478"/>
    <w:rsid w:val="002626B5"/>
    <w:rsid w:val="00263020"/>
    <w:rsid w:val="002667BC"/>
    <w:rsid w:val="00270804"/>
    <w:rsid w:val="00273EF4"/>
    <w:rsid w:val="00276491"/>
    <w:rsid w:val="00277747"/>
    <w:rsid w:val="00280545"/>
    <w:rsid w:val="0028159A"/>
    <w:rsid w:val="00282DCC"/>
    <w:rsid w:val="002835AA"/>
    <w:rsid w:val="00283B26"/>
    <w:rsid w:val="002859ED"/>
    <w:rsid w:val="002874C9"/>
    <w:rsid w:val="00295AB2"/>
    <w:rsid w:val="00296104"/>
    <w:rsid w:val="002A1EDE"/>
    <w:rsid w:val="002A2C5D"/>
    <w:rsid w:val="002A381A"/>
    <w:rsid w:val="002A56B6"/>
    <w:rsid w:val="002A5FB9"/>
    <w:rsid w:val="002A6239"/>
    <w:rsid w:val="002A6EA7"/>
    <w:rsid w:val="002A7DB9"/>
    <w:rsid w:val="002B23D2"/>
    <w:rsid w:val="002C2582"/>
    <w:rsid w:val="002C3F8A"/>
    <w:rsid w:val="002C4ADA"/>
    <w:rsid w:val="002C4BC1"/>
    <w:rsid w:val="002C60DA"/>
    <w:rsid w:val="002C6C2B"/>
    <w:rsid w:val="002D09B3"/>
    <w:rsid w:val="002D132E"/>
    <w:rsid w:val="002D585E"/>
    <w:rsid w:val="002D7374"/>
    <w:rsid w:val="002E4585"/>
    <w:rsid w:val="002E55E0"/>
    <w:rsid w:val="002E61D8"/>
    <w:rsid w:val="002E6609"/>
    <w:rsid w:val="002F29AB"/>
    <w:rsid w:val="002F48C9"/>
    <w:rsid w:val="0030284F"/>
    <w:rsid w:val="00302E67"/>
    <w:rsid w:val="00305EEF"/>
    <w:rsid w:val="00310B51"/>
    <w:rsid w:val="00310B89"/>
    <w:rsid w:val="00311A65"/>
    <w:rsid w:val="003129AE"/>
    <w:rsid w:val="00312ADD"/>
    <w:rsid w:val="00312D19"/>
    <w:rsid w:val="00312D4D"/>
    <w:rsid w:val="00322858"/>
    <w:rsid w:val="00322DAB"/>
    <w:rsid w:val="00323C24"/>
    <w:rsid w:val="0032534C"/>
    <w:rsid w:val="003255E8"/>
    <w:rsid w:val="00326604"/>
    <w:rsid w:val="003300A6"/>
    <w:rsid w:val="003323D5"/>
    <w:rsid w:val="00333DCD"/>
    <w:rsid w:val="0034667C"/>
    <w:rsid w:val="00347A37"/>
    <w:rsid w:val="0035037C"/>
    <w:rsid w:val="00352F9B"/>
    <w:rsid w:val="00356831"/>
    <w:rsid w:val="0036131A"/>
    <w:rsid w:val="003650B6"/>
    <w:rsid w:val="00367BE2"/>
    <w:rsid w:val="0037193F"/>
    <w:rsid w:val="0037341D"/>
    <w:rsid w:val="0037362B"/>
    <w:rsid w:val="00382677"/>
    <w:rsid w:val="00384E6F"/>
    <w:rsid w:val="00385B63"/>
    <w:rsid w:val="00390027"/>
    <w:rsid w:val="003902C4"/>
    <w:rsid w:val="0039107E"/>
    <w:rsid w:val="003955BE"/>
    <w:rsid w:val="00395C75"/>
    <w:rsid w:val="00395D25"/>
    <w:rsid w:val="003A10F5"/>
    <w:rsid w:val="003A3588"/>
    <w:rsid w:val="003A65D9"/>
    <w:rsid w:val="003A7378"/>
    <w:rsid w:val="003A7BFF"/>
    <w:rsid w:val="003B4B29"/>
    <w:rsid w:val="003B4F36"/>
    <w:rsid w:val="003B52D4"/>
    <w:rsid w:val="003B6774"/>
    <w:rsid w:val="003B6D2B"/>
    <w:rsid w:val="003C0F76"/>
    <w:rsid w:val="003C2FD0"/>
    <w:rsid w:val="003D0BFA"/>
    <w:rsid w:val="003D17AE"/>
    <w:rsid w:val="003D2626"/>
    <w:rsid w:val="003D265E"/>
    <w:rsid w:val="003D41B4"/>
    <w:rsid w:val="003E163B"/>
    <w:rsid w:val="003E6288"/>
    <w:rsid w:val="003E7F8B"/>
    <w:rsid w:val="003F1176"/>
    <w:rsid w:val="003F38F0"/>
    <w:rsid w:val="003F5962"/>
    <w:rsid w:val="003F6403"/>
    <w:rsid w:val="003F7012"/>
    <w:rsid w:val="003F7813"/>
    <w:rsid w:val="00402A0E"/>
    <w:rsid w:val="004033E9"/>
    <w:rsid w:val="0040448D"/>
    <w:rsid w:val="00404515"/>
    <w:rsid w:val="00407726"/>
    <w:rsid w:val="0041074F"/>
    <w:rsid w:val="00410EE5"/>
    <w:rsid w:val="00412291"/>
    <w:rsid w:val="004153C3"/>
    <w:rsid w:val="004161B2"/>
    <w:rsid w:val="0041635A"/>
    <w:rsid w:val="00420238"/>
    <w:rsid w:val="00421579"/>
    <w:rsid w:val="00422BA0"/>
    <w:rsid w:val="00422D56"/>
    <w:rsid w:val="00424018"/>
    <w:rsid w:val="00427548"/>
    <w:rsid w:val="0042788F"/>
    <w:rsid w:val="00430101"/>
    <w:rsid w:val="00431CA4"/>
    <w:rsid w:val="00437145"/>
    <w:rsid w:val="00440F2C"/>
    <w:rsid w:val="00441704"/>
    <w:rsid w:val="004436F9"/>
    <w:rsid w:val="00444005"/>
    <w:rsid w:val="00450A35"/>
    <w:rsid w:val="00450D0C"/>
    <w:rsid w:val="00451B6E"/>
    <w:rsid w:val="00452D82"/>
    <w:rsid w:val="004555C7"/>
    <w:rsid w:val="00455EB1"/>
    <w:rsid w:val="00460FF8"/>
    <w:rsid w:val="00465486"/>
    <w:rsid w:val="00465DFA"/>
    <w:rsid w:val="00467781"/>
    <w:rsid w:val="00474C50"/>
    <w:rsid w:val="00476A7E"/>
    <w:rsid w:val="00477A06"/>
    <w:rsid w:val="00477E32"/>
    <w:rsid w:val="00482958"/>
    <w:rsid w:val="004934EB"/>
    <w:rsid w:val="00494EF5"/>
    <w:rsid w:val="004A0ABE"/>
    <w:rsid w:val="004A102F"/>
    <w:rsid w:val="004A372F"/>
    <w:rsid w:val="004A64A0"/>
    <w:rsid w:val="004A692B"/>
    <w:rsid w:val="004B01A6"/>
    <w:rsid w:val="004B1F92"/>
    <w:rsid w:val="004B2D67"/>
    <w:rsid w:val="004B3055"/>
    <w:rsid w:val="004B4500"/>
    <w:rsid w:val="004B532E"/>
    <w:rsid w:val="004C40E9"/>
    <w:rsid w:val="004D0999"/>
    <w:rsid w:val="004D1A6B"/>
    <w:rsid w:val="004D239D"/>
    <w:rsid w:val="004D4230"/>
    <w:rsid w:val="004D4D26"/>
    <w:rsid w:val="004D785F"/>
    <w:rsid w:val="004E0E4B"/>
    <w:rsid w:val="004E1999"/>
    <w:rsid w:val="004E46C4"/>
    <w:rsid w:val="004E4F5D"/>
    <w:rsid w:val="004E51FC"/>
    <w:rsid w:val="004E52D4"/>
    <w:rsid w:val="004E7EDF"/>
    <w:rsid w:val="004F22F4"/>
    <w:rsid w:val="004F3DF1"/>
    <w:rsid w:val="004F64B3"/>
    <w:rsid w:val="004F7702"/>
    <w:rsid w:val="00502AC8"/>
    <w:rsid w:val="0050344D"/>
    <w:rsid w:val="00504610"/>
    <w:rsid w:val="0050478F"/>
    <w:rsid w:val="00512FC3"/>
    <w:rsid w:val="00516613"/>
    <w:rsid w:val="00521701"/>
    <w:rsid w:val="0052273A"/>
    <w:rsid w:val="00524D74"/>
    <w:rsid w:val="00526A64"/>
    <w:rsid w:val="00530A77"/>
    <w:rsid w:val="00532AD0"/>
    <w:rsid w:val="00533728"/>
    <w:rsid w:val="005401DB"/>
    <w:rsid w:val="005418F4"/>
    <w:rsid w:val="00542AD4"/>
    <w:rsid w:val="00545044"/>
    <w:rsid w:val="00547467"/>
    <w:rsid w:val="00547CE8"/>
    <w:rsid w:val="00547E3A"/>
    <w:rsid w:val="005518EA"/>
    <w:rsid w:val="005551C6"/>
    <w:rsid w:val="00561616"/>
    <w:rsid w:val="00561BA3"/>
    <w:rsid w:val="00563460"/>
    <w:rsid w:val="00564EB7"/>
    <w:rsid w:val="00571B08"/>
    <w:rsid w:val="00572D15"/>
    <w:rsid w:val="00580581"/>
    <w:rsid w:val="0058105C"/>
    <w:rsid w:val="00582668"/>
    <w:rsid w:val="005834C4"/>
    <w:rsid w:val="00584595"/>
    <w:rsid w:val="005854F5"/>
    <w:rsid w:val="005867C9"/>
    <w:rsid w:val="00586A05"/>
    <w:rsid w:val="00592240"/>
    <w:rsid w:val="005952E9"/>
    <w:rsid w:val="005972E0"/>
    <w:rsid w:val="005A1060"/>
    <w:rsid w:val="005A11F2"/>
    <w:rsid w:val="005A148C"/>
    <w:rsid w:val="005A4386"/>
    <w:rsid w:val="005A54B5"/>
    <w:rsid w:val="005B015C"/>
    <w:rsid w:val="005B063C"/>
    <w:rsid w:val="005B3845"/>
    <w:rsid w:val="005B6CF4"/>
    <w:rsid w:val="005C4B1E"/>
    <w:rsid w:val="005C4DE4"/>
    <w:rsid w:val="005C60F6"/>
    <w:rsid w:val="005D00E9"/>
    <w:rsid w:val="005D016B"/>
    <w:rsid w:val="005D1C52"/>
    <w:rsid w:val="005D2745"/>
    <w:rsid w:val="005D5D5B"/>
    <w:rsid w:val="005D6256"/>
    <w:rsid w:val="005E217A"/>
    <w:rsid w:val="005E28CC"/>
    <w:rsid w:val="005E5B0D"/>
    <w:rsid w:val="005E794F"/>
    <w:rsid w:val="005F0796"/>
    <w:rsid w:val="005F11A2"/>
    <w:rsid w:val="005F6AAC"/>
    <w:rsid w:val="00603166"/>
    <w:rsid w:val="00604152"/>
    <w:rsid w:val="00605409"/>
    <w:rsid w:val="00610FD9"/>
    <w:rsid w:val="00611156"/>
    <w:rsid w:val="006137F1"/>
    <w:rsid w:val="00616F3E"/>
    <w:rsid w:val="00617C3B"/>
    <w:rsid w:val="00617D6B"/>
    <w:rsid w:val="00620FAA"/>
    <w:rsid w:val="00625AC8"/>
    <w:rsid w:val="00625EE6"/>
    <w:rsid w:val="00636FA3"/>
    <w:rsid w:val="00643F8B"/>
    <w:rsid w:val="0064687A"/>
    <w:rsid w:val="00647DC2"/>
    <w:rsid w:val="006526CE"/>
    <w:rsid w:val="006536C9"/>
    <w:rsid w:val="0065442E"/>
    <w:rsid w:val="006579BD"/>
    <w:rsid w:val="00661A0B"/>
    <w:rsid w:val="0066382A"/>
    <w:rsid w:val="00666704"/>
    <w:rsid w:val="0066674C"/>
    <w:rsid w:val="006677C4"/>
    <w:rsid w:val="00671741"/>
    <w:rsid w:val="006721D8"/>
    <w:rsid w:val="00674A1D"/>
    <w:rsid w:val="00680A8F"/>
    <w:rsid w:val="00682F77"/>
    <w:rsid w:val="0068369D"/>
    <w:rsid w:val="00684CF9"/>
    <w:rsid w:val="00685BCB"/>
    <w:rsid w:val="00691AE6"/>
    <w:rsid w:val="006933EC"/>
    <w:rsid w:val="00696874"/>
    <w:rsid w:val="006978FD"/>
    <w:rsid w:val="00697C4E"/>
    <w:rsid w:val="006A04B2"/>
    <w:rsid w:val="006A0AB0"/>
    <w:rsid w:val="006A0B61"/>
    <w:rsid w:val="006A149A"/>
    <w:rsid w:val="006A564B"/>
    <w:rsid w:val="006A73DC"/>
    <w:rsid w:val="006A7B61"/>
    <w:rsid w:val="006B113A"/>
    <w:rsid w:val="006B1253"/>
    <w:rsid w:val="006B1832"/>
    <w:rsid w:val="006B1C13"/>
    <w:rsid w:val="006B22A4"/>
    <w:rsid w:val="006B28F2"/>
    <w:rsid w:val="006B2BD1"/>
    <w:rsid w:val="006B3628"/>
    <w:rsid w:val="006B3EF0"/>
    <w:rsid w:val="006B79D3"/>
    <w:rsid w:val="006C0909"/>
    <w:rsid w:val="006C1C45"/>
    <w:rsid w:val="006C3D74"/>
    <w:rsid w:val="006C56FB"/>
    <w:rsid w:val="006C5FFB"/>
    <w:rsid w:val="006D0376"/>
    <w:rsid w:val="006D178D"/>
    <w:rsid w:val="006D3617"/>
    <w:rsid w:val="006D541A"/>
    <w:rsid w:val="006D6F98"/>
    <w:rsid w:val="006D7E68"/>
    <w:rsid w:val="006D7F97"/>
    <w:rsid w:val="006E1B0F"/>
    <w:rsid w:val="006E34A6"/>
    <w:rsid w:val="006E771A"/>
    <w:rsid w:val="006F0A25"/>
    <w:rsid w:val="006F2B73"/>
    <w:rsid w:val="006F45AE"/>
    <w:rsid w:val="007048DD"/>
    <w:rsid w:val="00707FC3"/>
    <w:rsid w:val="00713BA9"/>
    <w:rsid w:val="007179C9"/>
    <w:rsid w:val="00717BA8"/>
    <w:rsid w:val="00721746"/>
    <w:rsid w:val="00722065"/>
    <w:rsid w:val="0072708C"/>
    <w:rsid w:val="00735331"/>
    <w:rsid w:val="0073569D"/>
    <w:rsid w:val="00736F43"/>
    <w:rsid w:val="0073719F"/>
    <w:rsid w:val="00741120"/>
    <w:rsid w:val="0074243C"/>
    <w:rsid w:val="007430DB"/>
    <w:rsid w:val="00743C03"/>
    <w:rsid w:val="0074402E"/>
    <w:rsid w:val="0074524E"/>
    <w:rsid w:val="0074540A"/>
    <w:rsid w:val="00747380"/>
    <w:rsid w:val="007479B7"/>
    <w:rsid w:val="0075473A"/>
    <w:rsid w:val="00756F98"/>
    <w:rsid w:val="0075732C"/>
    <w:rsid w:val="00761611"/>
    <w:rsid w:val="00763406"/>
    <w:rsid w:val="007641B8"/>
    <w:rsid w:val="00765BC1"/>
    <w:rsid w:val="007719D4"/>
    <w:rsid w:val="00776722"/>
    <w:rsid w:val="00777839"/>
    <w:rsid w:val="00777A6D"/>
    <w:rsid w:val="007804C6"/>
    <w:rsid w:val="00781FA6"/>
    <w:rsid w:val="00784D8D"/>
    <w:rsid w:val="00785166"/>
    <w:rsid w:val="0078716F"/>
    <w:rsid w:val="0079090C"/>
    <w:rsid w:val="00790A6B"/>
    <w:rsid w:val="00790AC5"/>
    <w:rsid w:val="0079247E"/>
    <w:rsid w:val="007933FC"/>
    <w:rsid w:val="007934F1"/>
    <w:rsid w:val="0079446E"/>
    <w:rsid w:val="00795811"/>
    <w:rsid w:val="00796164"/>
    <w:rsid w:val="00796545"/>
    <w:rsid w:val="007A11DB"/>
    <w:rsid w:val="007A1E72"/>
    <w:rsid w:val="007A2754"/>
    <w:rsid w:val="007A2E98"/>
    <w:rsid w:val="007A36A3"/>
    <w:rsid w:val="007A3AB5"/>
    <w:rsid w:val="007A6981"/>
    <w:rsid w:val="007A6BCE"/>
    <w:rsid w:val="007B1E5B"/>
    <w:rsid w:val="007B2A0B"/>
    <w:rsid w:val="007B3EAD"/>
    <w:rsid w:val="007B4720"/>
    <w:rsid w:val="007B5FB7"/>
    <w:rsid w:val="007B799D"/>
    <w:rsid w:val="007C4758"/>
    <w:rsid w:val="007C7521"/>
    <w:rsid w:val="007C7E16"/>
    <w:rsid w:val="007D0977"/>
    <w:rsid w:val="007D3472"/>
    <w:rsid w:val="007D48BB"/>
    <w:rsid w:val="007E0404"/>
    <w:rsid w:val="007E37B4"/>
    <w:rsid w:val="007E46F6"/>
    <w:rsid w:val="007E773F"/>
    <w:rsid w:val="007E7E19"/>
    <w:rsid w:val="007F2F94"/>
    <w:rsid w:val="007F4500"/>
    <w:rsid w:val="007F64CA"/>
    <w:rsid w:val="007F75E2"/>
    <w:rsid w:val="008046F8"/>
    <w:rsid w:val="00804C9F"/>
    <w:rsid w:val="00804F50"/>
    <w:rsid w:val="0080517D"/>
    <w:rsid w:val="00807600"/>
    <w:rsid w:val="00807BC3"/>
    <w:rsid w:val="008105CA"/>
    <w:rsid w:val="008112B7"/>
    <w:rsid w:val="00811AC0"/>
    <w:rsid w:val="00811D00"/>
    <w:rsid w:val="00811E07"/>
    <w:rsid w:val="00813363"/>
    <w:rsid w:val="00814650"/>
    <w:rsid w:val="00815DE2"/>
    <w:rsid w:val="008212F3"/>
    <w:rsid w:val="0082312C"/>
    <w:rsid w:val="00823922"/>
    <w:rsid w:val="0083138B"/>
    <w:rsid w:val="00831688"/>
    <w:rsid w:val="008338F4"/>
    <w:rsid w:val="00835C81"/>
    <w:rsid w:val="008366E5"/>
    <w:rsid w:val="00836CF7"/>
    <w:rsid w:val="00840C9C"/>
    <w:rsid w:val="00842C70"/>
    <w:rsid w:val="00843646"/>
    <w:rsid w:val="00843BB7"/>
    <w:rsid w:val="008447D3"/>
    <w:rsid w:val="00846FCC"/>
    <w:rsid w:val="0086030F"/>
    <w:rsid w:val="008626F6"/>
    <w:rsid w:val="0086427E"/>
    <w:rsid w:val="00865F85"/>
    <w:rsid w:val="008666E8"/>
    <w:rsid w:val="0086756D"/>
    <w:rsid w:val="00867DB1"/>
    <w:rsid w:val="0087025D"/>
    <w:rsid w:val="008706ED"/>
    <w:rsid w:val="00872054"/>
    <w:rsid w:val="00872444"/>
    <w:rsid w:val="008747D7"/>
    <w:rsid w:val="00875188"/>
    <w:rsid w:val="008777D3"/>
    <w:rsid w:val="00877DD9"/>
    <w:rsid w:val="00880A2C"/>
    <w:rsid w:val="008818CC"/>
    <w:rsid w:val="008840EB"/>
    <w:rsid w:val="00885BF5"/>
    <w:rsid w:val="008862B1"/>
    <w:rsid w:val="00886D30"/>
    <w:rsid w:val="008915A9"/>
    <w:rsid w:val="0089265B"/>
    <w:rsid w:val="008928B1"/>
    <w:rsid w:val="00894319"/>
    <w:rsid w:val="0089562A"/>
    <w:rsid w:val="00895E6F"/>
    <w:rsid w:val="008A2A0D"/>
    <w:rsid w:val="008A3905"/>
    <w:rsid w:val="008A4593"/>
    <w:rsid w:val="008A46F9"/>
    <w:rsid w:val="008B0041"/>
    <w:rsid w:val="008B2331"/>
    <w:rsid w:val="008B3C43"/>
    <w:rsid w:val="008B41F6"/>
    <w:rsid w:val="008B58DA"/>
    <w:rsid w:val="008B6F09"/>
    <w:rsid w:val="008C0720"/>
    <w:rsid w:val="008C35C4"/>
    <w:rsid w:val="008C4944"/>
    <w:rsid w:val="008C5E4F"/>
    <w:rsid w:val="008C6F42"/>
    <w:rsid w:val="008C711D"/>
    <w:rsid w:val="008C738A"/>
    <w:rsid w:val="008D4370"/>
    <w:rsid w:val="008E0993"/>
    <w:rsid w:val="008E36B7"/>
    <w:rsid w:val="008E4017"/>
    <w:rsid w:val="008E4599"/>
    <w:rsid w:val="008E6028"/>
    <w:rsid w:val="008F1C4C"/>
    <w:rsid w:val="008F24B4"/>
    <w:rsid w:val="008F335F"/>
    <w:rsid w:val="008F3E6E"/>
    <w:rsid w:val="008F4BF7"/>
    <w:rsid w:val="00901CFF"/>
    <w:rsid w:val="00904121"/>
    <w:rsid w:val="00905433"/>
    <w:rsid w:val="00910E6F"/>
    <w:rsid w:val="0091285D"/>
    <w:rsid w:val="00912F5E"/>
    <w:rsid w:val="00914836"/>
    <w:rsid w:val="00916DF6"/>
    <w:rsid w:val="009204D4"/>
    <w:rsid w:val="00923E9A"/>
    <w:rsid w:val="00924411"/>
    <w:rsid w:val="00925DF5"/>
    <w:rsid w:val="00927926"/>
    <w:rsid w:val="00931514"/>
    <w:rsid w:val="00932213"/>
    <w:rsid w:val="00933EC4"/>
    <w:rsid w:val="00935991"/>
    <w:rsid w:val="0094013E"/>
    <w:rsid w:val="009405F8"/>
    <w:rsid w:val="00941B8A"/>
    <w:rsid w:val="0094518C"/>
    <w:rsid w:val="009475C2"/>
    <w:rsid w:val="00947AAE"/>
    <w:rsid w:val="009508A2"/>
    <w:rsid w:val="00950E51"/>
    <w:rsid w:val="00953D0C"/>
    <w:rsid w:val="009609C0"/>
    <w:rsid w:val="00960EB2"/>
    <w:rsid w:val="00961D67"/>
    <w:rsid w:val="00962F37"/>
    <w:rsid w:val="00963EFD"/>
    <w:rsid w:val="00964F1C"/>
    <w:rsid w:val="00966CB3"/>
    <w:rsid w:val="00980E83"/>
    <w:rsid w:val="00981B6C"/>
    <w:rsid w:val="009831D6"/>
    <w:rsid w:val="009858EE"/>
    <w:rsid w:val="00986440"/>
    <w:rsid w:val="00986F3D"/>
    <w:rsid w:val="0099002E"/>
    <w:rsid w:val="00990CFE"/>
    <w:rsid w:val="00992649"/>
    <w:rsid w:val="009932BB"/>
    <w:rsid w:val="009A01CB"/>
    <w:rsid w:val="009A2F7D"/>
    <w:rsid w:val="009A324F"/>
    <w:rsid w:val="009A4913"/>
    <w:rsid w:val="009A4EE0"/>
    <w:rsid w:val="009B0ED9"/>
    <w:rsid w:val="009B55B9"/>
    <w:rsid w:val="009B64CE"/>
    <w:rsid w:val="009B651A"/>
    <w:rsid w:val="009B657C"/>
    <w:rsid w:val="009B6BD0"/>
    <w:rsid w:val="009B72AD"/>
    <w:rsid w:val="009B7A2D"/>
    <w:rsid w:val="009C3F2D"/>
    <w:rsid w:val="009C46E2"/>
    <w:rsid w:val="009C49FD"/>
    <w:rsid w:val="009C5C74"/>
    <w:rsid w:val="009C7DF5"/>
    <w:rsid w:val="009D429D"/>
    <w:rsid w:val="009D5E56"/>
    <w:rsid w:val="009D616D"/>
    <w:rsid w:val="009D6292"/>
    <w:rsid w:val="009E28E5"/>
    <w:rsid w:val="009E2A2F"/>
    <w:rsid w:val="009E4841"/>
    <w:rsid w:val="009E6CB9"/>
    <w:rsid w:val="009E6F9F"/>
    <w:rsid w:val="009F4364"/>
    <w:rsid w:val="009F5AF8"/>
    <w:rsid w:val="00A00815"/>
    <w:rsid w:val="00A00D07"/>
    <w:rsid w:val="00A011BF"/>
    <w:rsid w:val="00A06010"/>
    <w:rsid w:val="00A0745F"/>
    <w:rsid w:val="00A1184D"/>
    <w:rsid w:val="00A11CE2"/>
    <w:rsid w:val="00A12B7F"/>
    <w:rsid w:val="00A17298"/>
    <w:rsid w:val="00A20859"/>
    <w:rsid w:val="00A225AF"/>
    <w:rsid w:val="00A25775"/>
    <w:rsid w:val="00A323EA"/>
    <w:rsid w:val="00A41369"/>
    <w:rsid w:val="00A425D1"/>
    <w:rsid w:val="00A42BFD"/>
    <w:rsid w:val="00A42E3D"/>
    <w:rsid w:val="00A43BD8"/>
    <w:rsid w:val="00A4718B"/>
    <w:rsid w:val="00A478A8"/>
    <w:rsid w:val="00A504C9"/>
    <w:rsid w:val="00A546C7"/>
    <w:rsid w:val="00A5525E"/>
    <w:rsid w:val="00A55DE0"/>
    <w:rsid w:val="00A56F33"/>
    <w:rsid w:val="00A579ED"/>
    <w:rsid w:val="00A66420"/>
    <w:rsid w:val="00A70D1D"/>
    <w:rsid w:val="00A71497"/>
    <w:rsid w:val="00A728A7"/>
    <w:rsid w:val="00A7491B"/>
    <w:rsid w:val="00A76876"/>
    <w:rsid w:val="00A77B7E"/>
    <w:rsid w:val="00A8032B"/>
    <w:rsid w:val="00A80BEC"/>
    <w:rsid w:val="00A82723"/>
    <w:rsid w:val="00A8293A"/>
    <w:rsid w:val="00A83797"/>
    <w:rsid w:val="00A83DE5"/>
    <w:rsid w:val="00A84944"/>
    <w:rsid w:val="00A869F6"/>
    <w:rsid w:val="00A86FCE"/>
    <w:rsid w:val="00A91FA6"/>
    <w:rsid w:val="00A93556"/>
    <w:rsid w:val="00A935C8"/>
    <w:rsid w:val="00A93806"/>
    <w:rsid w:val="00A945CF"/>
    <w:rsid w:val="00A948D4"/>
    <w:rsid w:val="00A95D60"/>
    <w:rsid w:val="00A9637A"/>
    <w:rsid w:val="00AB69F1"/>
    <w:rsid w:val="00AC07C8"/>
    <w:rsid w:val="00AC0DC9"/>
    <w:rsid w:val="00AC50D4"/>
    <w:rsid w:val="00AC5538"/>
    <w:rsid w:val="00AC66E7"/>
    <w:rsid w:val="00AC7542"/>
    <w:rsid w:val="00AD05B7"/>
    <w:rsid w:val="00AD2A6E"/>
    <w:rsid w:val="00AD4990"/>
    <w:rsid w:val="00AE05DC"/>
    <w:rsid w:val="00AE08B7"/>
    <w:rsid w:val="00AE1C4C"/>
    <w:rsid w:val="00AE3415"/>
    <w:rsid w:val="00AE5928"/>
    <w:rsid w:val="00AE5BE5"/>
    <w:rsid w:val="00AE7101"/>
    <w:rsid w:val="00AE7115"/>
    <w:rsid w:val="00AF5B8B"/>
    <w:rsid w:val="00AF694F"/>
    <w:rsid w:val="00AF7371"/>
    <w:rsid w:val="00B02786"/>
    <w:rsid w:val="00B037AE"/>
    <w:rsid w:val="00B04F0F"/>
    <w:rsid w:val="00B07F81"/>
    <w:rsid w:val="00B10111"/>
    <w:rsid w:val="00B10ABB"/>
    <w:rsid w:val="00B15759"/>
    <w:rsid w:val="00B15B3D"/>
    <w:rsid w:val="00B2072B"/>
    <w:rsid w:val="00B2146D"/>
    <w:rsid w:val="00B22153"/>
    <w:rsid w:val="00B22499"/>
    <w:rsid w:val="00B229EF"/>
    <w:rsid w:val="00B30CE6"/>
    <w:rsid w:val="00B31571"/>
    <w:rsid w:val="00B32B14"/>
    <w:rsid w:val="00B33346"/>
    <w:rsid w:val="00B343A2"/>
    <w:rsid w:val="00B34A49"/>
    <w:rsid w:val="00B363DF"/>
    <w:rsid w:val="00B42360"/>
    <w:rsid w:val="00B50ED6"/>
    <w:rsid w:val="00B52F02"/>
    <w:rsid w:val="00B536F6"/>
    <w:rsid w:val="00B53CD6"/>
    <w:rsid w:val="00B553E8"/>
    <w:rsid w:val="00B56347"/>
    <w:rsid w:val="00B57034"/>
    <w:rsid w:val="00B5736F"/>
    <w:rsid w:val="00B60643"/>
    <w:rsid w:val="00B63373"/>
    <w:rsid w:val="00B64789"/>
    <w:rsid w:val="00B64BD1"/>
    <w:rsid w:val="00B64F3A"/>
    <w:rsid w:val="00B652D8"/>
    <w:rsid w:val="00B67BC1"/>
    <w:rsid w:val="00B67E8C"/>
    <w:rsid w:val="00B71049"/>
    <w:rsid w:val="00B721C1"/>
    <w:rsid w:val="00B73CFC"/>
    <w:rsid w:val="00B74345"/>
    <w:rsid w:val="00B74DEE"/>
    <w:rsid w:val="00B76982"/>
    <w:rsid w:val="00B76F92"/>
    <w:rsid w:val="00B82B07"/>
    <w:rsid w:val="00B82F95"/>
    <w:rsid w:val="00B83E35"/>
    <w:rsid w:val="00B845F1"/>
    <w:rsid w:val="00B90924"/>
    <w:rsid w:val="00B90E68"/>
    <w:rsid w:val="00B9120F"/>
    <w:rsid w:val="00B91A34"/>
    <w:rsid w:val="00B9427A"/>
    <w:rsid w:val="00B94D8D"/>
    <w:rsid w:val="00B96BD9"/>
    <w:rsid w:val="00B9728A"/>
    <w:rsid w:val="00B97691"/>
    <w:rsid w:val="00B97E58"/>
    <w:rsid w:val="00BA01DB"/>
    <w:rsid w:val="00BA1867"/>
    <w:rsid w:val="00BA1C01"/>
    <w:rsid w:val="00BA2875"/>
    <w:rsid w:val="00BA36DA"/>
    <w:rsid w:val="00BA738D"/>
    <w:rsid w:val="00BB1D08"/>
    <w:rsid w:val="00BB2C4C"/>
    <w:rsid w:val="00BB320A"/>
    <w:rsid w:val="00BB52D8"/>
    <w:rsid w:val="00BB703B"/>
    <w:rsid w:val="00BB7B61"/>
    <w:rsid w:val="00BB7E5B"/>
    <w:rsid w:val="00BC2A9F"/>
    <w:rsid w:val="00BC308D"/>
    <w:rsid w:val="00BC69B4"/>
    <w:rsid w:val="00BC6B6B"/>
    <w:rsid w:val="00BC7C33"/>
    <w:rsid w:val="00BC7D82"/>
    <w:rsid w:val="00BD007B"/>
    <w:rsid w:val="00BD36C3"/>
    <w:rsid w:val="00BD6185"/>
    <w:rsid w:val="00BD66F2"/>
    <w:rsid w:val="00BE5D5B"/>
    <w:rsid w:val="00BE6151"/>
    <w:rsid w:val="00BF150C"/>
    <w:rsid w:val="00BF2294"/>
    <w:rsid w:val="00BF526E"/>
    <w:rsid w:val="00C0099D"/>
    <w:rsid w:val="00C03B3D"/>
    <w:rsid w:val="00C03E0F"/>
    <w:rsid w:val="00C102EB"/>
    <w:rsid w:val="00C149EF"/>
    <w:rsid w:val="00C1595B"/>
    <w:rsid w:val="00C220CD"/>
    <w:rsid w:val="00C22D83"/>
    <w:rsid w:val="00C2304E"/>
    <w:rsid w:val="00C257C0"/>
    <w:rsid w:val="00C279AA"/>
    <w:rsid w:val="00C31B89"/>
    <w:rsid w:val="00C31FD1"/>
    <w:rsid w:val="00C3238C"/>
    <w:rsid w:val="00C33B4F"/>
    <w:rsid w:val="00C33BD7"/>
    <w:rsid w:val="00C341D8"/>
    <w:rsid w:val="00C35E03"/>
    <w:rsid w:val="00C4030F"/>
    <w:rsid w:val="00C40F0D"/>
    <w:rsid w:val="00C43A1F"/>
    <w:rsid w:val="00C43E0D"/>
    <w:rsid w:val="00C451EC"/>
    <w:rsid w:val="00C45355"/>
    <w:rsid w:val="00C457C2"/>
    <w:rsid w:val="00C46A43"/>
    <w:rsid w:val="00C52CF2"/>
    <w:rsid w:val="00C600A5"/>
    <w:rsid w:val="00C62DEE"/>
    <w:rsid w:val="00C65B83"/>
    <w:rsid w:val="00C67F68"/>
    <w:rsid w:val="00C74615"/>
    <w:rsid w:val="00C748BB"/>
    <w:rsid w:val="00C750C5"/>
    <w:rsid w:val="00C80AB8"/>
    <w:rsid w:val="00C84B5A"/>
    <w:rsid w:val="00C863AF"/>
    <w:rsid w:val="00C86506"/>
    <w:rsid w:val="00C86928"/>
    <w:rsid w:val="00C8692C"/>
    <w:rsid w:val="00C869DE"/>
    <w:rsid w:val="00C92EEF"/>
    <w:rsid w:val="00C93566"/>
    <w:rsid w:val="00C95251"/>
    <w:rsid w:val="00C96C80"/>
    <w:rsid w:val="00CA1089"/>
    <w:rsid w:val="00CA2171"/>
    <w:rsid w:val="00CA2B4F"/>
    <w:rsid w:val="00CA5736"/>
    <w:rsid w:val="00CA5B66"/>
    <w:rsid w:val="00CA5E69"/>
    <w:rsid w:val="00CA6CBC"/>
    <w:rsid w:val="00CA7140"/>
    <w:rsid w:val="00CB12F8"/>
    <w:rsid w:val="00CB6F73"/>
    <w:rsid w:val="00CC1778"/>
    <w:rsid w:val="00CC1D6A"/>
    <w:rsid w:val="00CC2C38"/>
    <w:rsid w:val="00CC3874"/>
    <w:rsid w:val="00CC3CB7"/>
    <w:rsid w:val="00CC4B63"/>
    <w:rsid w:val="00CC5A51"/>
    <w:rsid w:val="00CD2E96"/>
    <w:rsid w:val="00CD38FE"/>
    <w:rsid w:val="00CD5DC7"/>
    <w:rsid w:val="00CE13A6"/>
    <w:rsid w:val="00CE2B51"/>
    <w:rsid w:val="00CE345C"/>
    <w:rsid w:val="00CE4376"/>
    <w:rsid w:val="00CE5B20"/>
    <w:rsid w:val="00CF270D"/>
    <w:rsid w:val="00CF32B5"/>
    <w:rsid w:val="00CF5A5B"/>
    <w:rsid w:val="00CF5ED2"/>
    <w:rsid w:val="00CF65AC"/>
    <w:rsid w:val="00CF77E1"/>
    <w:rsid w:val="00CF7A2E"/>
    <w:rsid w:val="00D00760"/>
    <w:rsid w:val="00D023DB"/>
    <w:rsid w:val="00D0432A"/>
    <w:rsid w:val="00D10DE4"/>
    <w:rsid w:val="00D16296"/>
    <w:rsid w:val="00D16A6D"/>
    <w:rsid w:val="00D16C78"/>
    <w:rsid w:val="00D172D3"/>
    <w:rsid w:val="00D1784B"/>
    <w:rsid w:val="00D200F6"/>
    <w:rsid w:val="00D20D67"/>
    <w:rsid w:val="00D2255C"/>
    <w:rsid w:val="00D229F2"/>
    <w:rsid w:val="00D22E72"/>
    <w:rsid w:val="00D233AB"/>
    <w:rsid w:val="00D249BA"/>
    <w:rsid w:val="00D24CF3"/>
    <w:rsid w:val="00D2752A"/>
    <w:rsid w:val="00D339BF"/>
    <w:rsid w:val="00D348AB"/>
    <w:rsid w:val="00D40DA0"/>
    <w:rsid w:val="00D40F8A"/>
    <w:rsid w:val="00D42054"/>
    <w:rsid w:val="00D42C4E"/>
    <w:rsid w:val="00D432DC"/>
    <w:rsid w:val="00D44163"/>
    <w:rsid w:val="00D50719"/>
    <w:rsid w:val="00D5326E"/>
    <w:rsid w:val="00D61166"/>
    <w:rsid w:val="00D61EA7"/>
    <w:rsid w:val="00D67980"/>
    <w:rsid w:val="00D72515"/>
    <w:rsid w:val="00D736FB"/>
    <w:rsid w:val="00D752BE"/>
    <w:rsid w:val="00D7662F"/>
    <w:rsid w:val="00D802C7"/>
    <w:rsid w:val="00D80ACA"/>
    <w:rsid w:val="00D81AD4"/>
    <w:rsid w:val="00D8262D"/>
    <w:rsid w:val="00D82CF5"/>
    <w:rsid w:val="00D85B75"/>
    <w:rsid w:val="00D930CE"/>
    <w:rsid w:val="00D954F5"/>
    <w:rsid w:val="00D95720"/>
    <w:rsid w:val="00D964F5"/>
    <w:rsid w:val="00D970E6"/>
    <w:rsid w:val="00DA0380"/>
    <w:rsid w:val="00DA4E56"/>
    <w:rsid w:val="00DA6519"/>
    <w:rsid w:val="00DA69B6"/>
    <w:rsid w:val="00DB08DC"/>
    <w:rsid w:val="00DB0DA7"/>
    <w:rsid w:val="00DB26A5"/>
    <w:rsid w:val="00DB3915"/>
    <w:rsid w:val="00DB3FC0"/>
    <w:rsid w:val="00DB5545"/>
    <w:rsid w:val="00DB79EB"/>
    <w:rsid w:val="00DC3ECB"/>
    <w:rsid w:val="00DC5E92"/>
    <w:rsid w:val="00DC698F"/>
    <w:rsid w:val="00DC760B"/>
    <w:rsid w:val="00DC7E4B"/>
    <w:rsid w:val="00DD1DC5"/>
    <w:rsid w:val="00DD594E"/>
    <w:rsid w:val="00DD6A8C"/>
    <w:rsid w:val="00DE0257"/>
    <w:rsid w:val="00DE0341"/>
    <w:rsid w:val="00DE0382"/>
    <w:rsid w:val="00DE0D61"/>
    <w:rsid w:val="00DE49C6"/>
    <w:rsid w:val="00DE53EF"/>
    <w:rsid w:val="00DE59A6"/>
    <w:rsid w:val="00DE77B2"/>
    <w:rsid w:val="00DE7B19"/>
    <w:rsid w:val="00DF0C7B"/>
    <w:rsid w:val="00DF6CF8"/>
    <w:rsid w:val="00E008EE"/>
    <w:rsid w:val="00E02343"/>
    <w:rsid w:val="00E10E18"/>
    <w:rsid w:val="00E13347"/>
    <w:rsid w:val="00E15735"/>
    <w:rsid w:val="00E17794"/>
    <w:rsid w:val="00E17ED6"/>
    <w:rsid w:val="00E20C16"/>
    <w:rsid w:val="00E20D4A"/>
    <w:rsid w:val="00E22074"/>
    <w:rsid w:val="00E223B8"/>
    <w:rsid w:val="00E237BB"/>
    <w:rsid w:val="00E2572B"/>
    <w:rsid w:val="00E2601D"/>
    <w:rsid w:val="00E30AA0"/>
    <w:rsid w:val="00E3178A"/>
    <w:rsid w:val="00E3276C"/>
    <w:rsid w:val="00E33414"/>
    <w:rsid w:val="00E33704"/>
    <w:rsid w:val="00E3510D"/>
    <w:rsid w:val="00E37B8E"/>
    <w:rsid w:val="00E41A85"/>
    <w:rsid w:val="00E430CF"/>
    <w:rsid w:val="00E462E0"/>
    <w:rsid w:val="00E51C2C"/>
    <w:rsid w:val="00E53877"/>
    <w:rsid w:val="00E538DE"/>
    <w:rsid w:val="00E54B12"/>
    <w:rsid w:val="00E54C01"/>
    <w:rsid w:val="00E55D37"/>
    <w:rsid w:val="00E56C39"/>
    <w:rsid w:val="00E60BB1"/>
    <w:rsid w:val="00E642A4"/>
    <w:rsid w:val="00E66F2B"/>
    <w:rsid w:val="00E6758D"/>
    <w:rsid w:val="00E729C3"/>
    <w:rsid w:val="00E74348"/>
    <w:rsid w:val="00E76531"/>
    <w:rsid w:val="00E76609"/>
    <w:rsid w:val="00E81E62"/>
    <w:rsid w:val="00E876AE"/>
    <w:rsid w:val="00E87FCC"/>
    <w:rsid w:val="00E91939"/>
    <w:rsid w:val="00E91F70"/>
    <w:rsid w:val="00E93072"/>
    <w:rsid w:val="00E93BC2"/>
    <w:rsid w:val="00E95887"/>
    <w:rsid w:val="00E96D76"/>
    <w:rsid w:val="00EA00A5"/>
    <w:rsid w:val="00EA1001"/>
    <w:rsid w:val="00EA4FA4"/>
    <w:rsid w:val="00EA69D9"/>
    <w:rsid w:val="00EB028F"/>
    <w:rsid w:val="00EB1691"/>
    <w:rsid w:val="00EB29E5"/>
    <w:rsid w:val="00EB602A"/>
    <w:rsid w:val="00EB6730"/>
    <w:rsid w:val="00EB6CA2"/>
    <w:rsid w:val="00EB7B7B"/>
    <w:rsid w:val="00EC284F"/>
    <w:rsid w:val="00EC3759"/>
    <w:rsid w:val="00EC615B"/>
    <w:rsid w:val="00ED06A9"/>
    <w:rsid w:val="00ED0D2C"/>
    <w:rsid w:val="00ED14F5"/>
    <w:rsid w:val="00ED1EB8"/>
    <w:rsid w:val="00ED31E7"/>
    <w:rsid w:val="00ED41E2"/>
    <w:rsid w:val="00ED559B"/>
    <w:rsid w:val="00ED5DB2"/>
    <w:rsid w:val="00ED6AF9"/>
    <w:rsid w:val="00EE064C"/>
    <w:rsid w:val="00EE0685"/>
    <w:rsid w:val="00EE17E9"/>
    <w:rsid w:val="00EE1873"/>
    <w:rsid w:val="00EE25CC"/>
    <w:rsid w:val="00EE34C4"/>
    <w:rsid w:val="00EE451D"/>
    <w:rsid w:val="00EF0766"/>
    <w:rsid w:val="00EF4216"/>
    <w:rsid w:val="00EF5620"/>
    <w:rsid w:val="00F00ADA"/>
    <w:rsid w:val="00F0197D"/>
    <w:rsid w:val="00F01DCE"/>
    <w:rsid w:val="00F04E8A"/>
    <w:rsid w:val="00F053B8"/>
    <w:rsid w:val="00F06611"/>
    <w:rsid w:val="00F10357"/>
    <w:rsid w:val="00F20694"/>
    <w:rsid w:val="00F207FF"/>
    <w:rsid w:val="00F226DD"/>
    <w:rsid w:val="00F22A85"/>
    <w:rsid w:val="00F26F67"/>
    <w:rsid w:val="00F31415"/>
    <w:rsid w:val="00F32311"/>
    <w:rsid w:val="00F324E1"/>
    <w:rsid w:val="00F32BC0"/>
    <w:rsid w:val="00F3301F"/>
    <w:rsid w:val="00F33740"/>
    <w:rsid w:val="00F35A93"/>
    <w:rsid w:val="00F40B4F"/>
    <w:rsid w:val="00F41A63"/>
    <w:rsid w:val="00F45208"/>
    <w:rsid w:val="00F4545B"/>
    <w:rsid w:val="00F46FF9"/>
    <w:rsid w:val="00F54DC8"/>
    <w:rsid w:val="00F550AA"/>
    <w:rsid w:val="00F61A89"/>
    <w:rsid w:val="00F62BC5"/>
    <w:rsid w:val="00F63558"/>
    <w:rsid w:val="00F63882"/>
    <w:rsid w:val="00F666AB"/>
    <w:rsid w:val="00F66D06"/>
    <w:rsid w:val="00F66F5F"/>
    <w:rsid w:val="00F72C76"/>
    <w:rsid w:val="00F73411"/>
    <w:rsid w:val="00F74AF5"/>
    <w:rsid w:val="00F76AF0"/>
    <w:rsid w:val="00F828AA"/>
    <w:rsid w:val="00F83613"/>
    <w:rsid w:val="00F864CD"/>
    <w:rsid w:val="00F870A7"/>
    <w:rsid w:val="00F915CF"/>
    <w:rsid w:val="00F92DB4"/>
    <w:rsid w:val="00F97A5B"/>
    <w:rsid w:val="00FA098F"/>
    <w:rsid w:val="00FA15E3"/>
    <w:rsid w:val="00FA2B7E"/>
    <w:rsid w:val="00FA33F6"/>
    <w:rsid w:val="00FA4552"/>
    <w:rsid w:val="00FA736B"/>
    <w:rsid w:val="00FB2215"/>
    <w:rsid w:val="00FB2B09"/>
    <w:rsid w:val="00FB5336"/>
    <w:rsid w:val="00FB6B0B"/>
    <w:rsid w:val="00FC099B"/>
    <w:rsid w:val="00FC452C"/>
    <w:rsid w:val="00FC4711"/>
    <w:rsid w:val="00FC61AF"/>
    <w:rsid w:val="00FD27A3"/>
    <w:rsid w:val="00FE12E0"/>
    <w:rsid w:val="00FE16EA"/>
    <w:rsid w:val="00FE1CA6"/>
    <w:rsid w:val="00FE3A81"/>
    <w:rsid w:val="00FE3C2A"/>
    <w:rsid w:val="00FE42AA"/>
    <w:rsid w:val="00FE5A83"/>
    <w:rsid w:val="00FE70D4"/>
    <w:rsid w:val="00FE742E"/>
    <w:rsid w:val="00FF070D"/>
    <w:rsid w:val="00FF230C"/>
    <w:rsid w:val="00FF5BCB"/>
    <w:rsid w:val="00FF75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D775"/>
  <w15:docId w15:val="{19519381-C754-481E-B223-000FB915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5DC7"/>
  </w:style>
  <w:style w:type="paragraph" w:styleId="Nagwek1">
    <w:name w:val="heading 1"/>
    <w:basedOn w:val="Normalny"/>
    <w:next w:val="Normalny"/>
    <w:link w:val="Nagwek1Znak"/>
    <w:uiPriority w:val="9"/>
    <w:qFormat/>
    <w:rsid w:val="00CD5DC7"/>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CD5DC7"/>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CD5DC7"/>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CD5DC7"/>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CD5DC7"/>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CD5DC7"/>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CD5DC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D5DC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D5DC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D5DC7"/>
    <w:rPr>
      <w:rFonts w:asciiTheme="majorHAnsi" w:eastAsiaTheme="majorEastAsia" w:hAnsiTheme="majorHAnsi" w:cstheme="majorBidi"/>
      <w:b/>
      <w:bCs/>
      <w:smallCaps/>
      <w:color w:val="000000" w:themeColor="text1"/>
      <w:sz w:val="28"/>
      <w:szCs w:val="28"/>
    </w:rPr>
  </w:style>
  <w:style w:type="character" w:customStyle="1" w:styleId="Nagwek4Znak">
    <w:name w:val="Nagłówek 4 Znak"/>
    <w:basedOn w:val="Domylnaczcionkaakapitu"/>
    <w:link w:val="Nagwek4"/>
    <w:uiPriority w:val="9"/>
    <w:rsid w:val="00CD5DC7"/>
    <w:rPr>
      <w:rFonts w:asciiTheme="majorHAnsi" w:eastAsiaTheme="majorEastAsia" w:hAnsiTheme="majorHAnsi" w:cstheme="majorBidi"/>
      <w:b/>
      <w:bCs/>
      <w:i/>
      <w:iCs/>
      <w:color w:val="000000" w:themeColor="text1"/>
    </w:rPr>
  </w:style>
  <w:style w:type="character" w:styleId="Hipercze">
    <w:name w:val="Hyperlink"/>
    <w:basedOn w:val="Domylnaczcionkaakapitu"/>
    <w:uiPriority w:val="99"/>
    <w:unhideWhenUsed/>
    <w:rsid w:val="00115A6B"/>
    <w:rPr>
      <w:strike w:val="0"/>
      <w:dstrike w:val="0"/>
      <w:color w:val="0000FF"/>
      <w:u w:val="none"/>
      <w:effect w:val="none"/>
    </w:rPr>
  </w:style>
  <w:style w:type="character" w:styleId="Pogrubienie">
    <w:name w:val="Strong"/>
    <w:basedOn w:val="Domylnaczcionkaakapitu"/>
    <w:uiPriority w:val="22"/>
    <w:qFormat/>
    <w:rsid w:val="00CD5DC7"/>
    <w:rPr>
      <w:b/>
      <w:bCs/>
      <w:color w:val="000000" w:themeColor="text1"/>
    </w:rPr>
  </w:style>
  <w:style w:type="paragraph" w:styleId="NormalnyWeb">
    <w:name w:val="Normal (Web)"/>
    <w:aliases w:val="webb"/>
    <w:basedOn w:val="Normalny"/>
    <w:uiPriority w:val="99"/>
    <w:semiHidden/>
    <w:unhideWhenUsed/>
    <w:rsid w:val="00115A6B"/>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D5DC7"/>
    <w:rPr>
      <w:i/>
      <w:iCs/>
      <w:color w:val="auto"/>
    </w:rPr>
  </w:style>
  <w:style w:type="paragraph" w:styleId="Bezodstpw">
    <w:name w:val="No Spacing"/>
    <w:uiPriority w:val="1"/>
    <w:qFormat/>
    <w:rsid w:val="00CD5DC7"/>
    <w:pPr>
      <w:spacing w:after="0" w:line="240" w:lineRule="auto"/>
    </w:p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8C711D"/>
    <w:pPr>
      <w:ind w:left="720"/>
      <w:contextualSpacing/>
    </w:pPr>
  </w:style>
  <w:style w:type="paragraph" w:styleId="Tekstprzypisudolnego">
    <w:name w:val="footnote text"/>
    <w:basedOn w:val="Normalny"/>
    <w:link w:val="TekstprzypisudolnegoZnak"/>
    <w:uiPriority w:val="99"/>
    <w:semiHidden/>
    <w:unhideWhenUsed/>
    <w:rsid w:val="000B15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B15B0"/>
    <w:rPr>
      <w:sz w:val="20"/>
      <w:szCs w:val="20"/>
    </w:rPr>
  </w:style>
  <w:style w:type="character" w:styleId="Odwoanieprzypisudolnego">
    <w:name w:val="footnote reference"/>
    <w:basedOn w:val="Domylnaczcionkaakapitu"/>
    <w:uiPriority w:val="99"/>
    <w:semiHidden/>
    <w:unhideWhenUsed/>
    <w:rsid w:val="000B15B0"/>
    <w:rPr>
      <w:vertAlign w:val="superscript"/>
    </w:rPr>
  </w:style>
  <w:style w:type="table" w:styleId="Tabela-Siatka">
    <w:name w:val="Table Grid"/>
    <w:basedOn w:val="Standardowy"/>
    <w:uiPriority w:val="39"/>
    <w:rsid w:val="00EE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C2A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2A9F"/>
    <w:rPr>
      <w:rFonts w:ascii="Segoe UI" w:hAnsi="Segoe UI" w:cs="Segoe UI"/>
      <w:sz w:val="18"/>
      <w:szCs w:val="18"/>
    </w:rPr>
  </w:style>
  <w:style w:type="paragraph" w:customStyle="1" w:styleId="articlebodyblock">
    <w:name w:val="articlebodyblock"/>
    <w:basedOn w:val="Normalny"/>
    <w:rsid w:val="00FE3A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ordsection1">
    <w:name w:val="wordsection1"/>
    <w:basedOn w:val="Normalny"/>
    <w:link w:val="NormalWebChar5"/>
    <w:uiPriority w:val="99"/>
    <w:rsid w:val="00B5736F"/>
    <w:pPr>
      <w:spacing w:before="100" w:beforeAutospacing="1" w:after="100" w:afterAutospacing="1" w:line="240" w:lineRule="auto"/>
    </w:pPr>
    <w:rPr>
      <w:rFonts w:ascii="Calibri" w:hAnsi="Calibri" w:cs="Calibri"/>
      <w:lang w:eastAsia="pl-PL"/>
    </w:rPr>
  </w:style>
  <w:style w:type="character" w:customStyle="1" w:styleId="s1">
    <w:name w:val="s1"/>
    <w:basedOn w:val="Domylnaczcionkaakapitu"/>
    <w:rsid w:val="00CC1778"/>
  </w:style>
  <w:style w:type="character" w:customStyle="1" w:styleId="Nagwek1Znak">
    <w:name w:val="Nagłówek 1 Znak"/>
    <w:basedOn w:val="Domylnaczcionkaakapitu"/>
    <w:link w:val="Nagwek1"/>
    <w:uiPriority w:val="9"/>
    <w:rsid w:val="00CD5DC7"/>
    <w:rPr>
      <w:rFonts w:asciiTheme="majorHAnsi" w:eastAsiaTheme="majorEastAsia" w:hAnsiTheme="majorHAnsi" w:cstheme="majorBidi"/>
      <w:b/>
      <w:bCs/>
      <w:smallCaps/>
      <w:color w:val="000000" w:themeColor="text1"/>
      <w:sz w:val="36"/>
      <w:szCs w:val="36"/>
    </w:rPr>
  </w:style>
  <w:style w:type="character" w:customStyle="1" w:styleId="Nagwek3Znak">
    <w:name w:val="Nagłówek 3 Znak"/>
    <w:basedOn w:val="Domylnaczcionkaakapitu"/>
    <w:link w:val="Nagwek3"/>
    <w:uiPriority w:val="9"/>
    <w:semiHidden/>
    <w:rsid w:val="00CD5DC7"/>
    <w:rPr>
      <w:rFonts w:asciiTheme="majorHAnsi" w:eastAsiaTheme="majorEastAsia" w:hAnsiTheme="majorHAnsi" w:cstheme="majorBidi"/>
      <w:b/>
      <w:bCs/>
      <w:color w:val="000000" w:themeColor="text1"/>
    </w:rPr>
  </w:style>
  <w:style w:type="character" w:styleId="UyteHipercze">
    <w:name w:val="FollowedHyperlink"/>
    <w:basedOn w:val="Domylnaczcionkaakapitu"/>
    <w:uiPriority w:val="99"/>
    <w:semiHidden/>
    <w:unhideWhenUsed/>
    <w:rsid w:val="000B2817"/>
    <w:rPr>
      <w:color w:val="954F72" w:themeColor="followedHyperlink"/>
      <w:u w:val="single"/>
    </w:rPr>
  </w:style>
  <w:style w:type="character" w:customStyle="1" w:styleId="y2iqfc">
    <w:name w:val="y2iqfc"/>
    <w:basedOn w:val="Domylnaczcionkaakapitu"/>
    <w:rsid w:val="00CD38FE"/>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BA738D"/>
  </w:style>
  <w:style w:type="character" w:customStyle="1" w:styleId="Nagwek5Znak">
    <w:name w:val="Nagłówek 5 Znak"/>
    <w:basedOn w:val="Domylnaczcionkaakapitu"/>
    <w:link w:val="Nagwek5"/>
    <w:uiPriority w:val="9"/>
    <w:semiHidden/>
    <w:rsid w:val="00CD5DC7"/>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CD5DC7"/>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CD5DC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CD5DC7"/>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CD5DC7"/>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CD5DC7"/>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CD5DC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CD5DC7"/>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CD5DC7"/>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CD5DC7"/>
    <w:rPr>
      <w:color w:val="5A5A5A" w:themeColor="text1" w:themeTint="A5"/>
      <w:spacing w:val="10"/>
    </w:rPr>
  </w:style>
  <w:style w:type="paragraph" w:styleId="Cytat">
    <w:name w:val="Quote"/>
    <w:basedOn w:val="Normalny"/>
    <w:next w:val="Normalny"/>
    <w:link w:val="CytatZnak"/>
    <w:uiPriority w:val="29"/>
    <w:qFormat/>
    <w:rsid w:val="00CD5DC7"/>
    <w:pPr>
      <w:spacing w:before="160"/>
      <w:ind w:left="720" w:right="720"/>
    </w:pPr>
    <w:rPr>
      <w:i/>
      <w:iCs/>
      <w:color w:val="000000" w:themeColor="text1"/>
    </w:rPr>
  </w:style>
  <w:style w:type="character" w:customStyle="1" w:styleId="CytatZnak">
    <w:name w:val="Cytat Znak"/>
    <w:basedOn w:val="Domylnaczcionkaakapitu"/>
    <w:link w:val="Cytat"/>
    <w:uiPriority w:val="29"/>
    <w:rsid w:val="00CD5DC7"/>
    <w:rPr>
      <w:i/>
      <w:iCs/>
      <w:color w:val="000000" w:themeColor="text1"/>
    </w:rPr>
  </w:style>
  <w:style w:type="paragraph" w:styleId="Cytatintensywny">
    <w:name w:val="Intense Quote"/>
    <w:basedOn w:val="Normalny"/>
    <w:next w:val="Normalny"/>
    <w:link w:val="CytatintensywnyZnak"/>
    <w:uiPriority w:val="30"/>
    <w:qFormat/>
    <w:rsid w:val="00CD5DC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CD5DC7"/>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CD5DC7"/>
    <w:rPr>
      <w:i/>
      <w:iCs/>
      <w:color w:val="404040" w:themeColor="text1" w:themeTint="BF"/>
    </w:rPr>
  </w:style>
  <w:style w:type="character" w:styleId="Wyrnienieintensywne">
    <w:name w:val="Intense Emphasis"/>
    <w:basedOn w:val="Domylnaczcionkaakapitu"/>
    <w:uiPriority w:val="21"/>
    <w:qFormat/>
    <w:rsid w:val="00CD5DC7"/>
    <w:rPr>
      <w:b/>
      <w:bCs/>
      <w:i/>
      <w:iCs/>
      <w:caps/>
    </w:rPr>
  </w:style>
  <w:style w:type="character" w:styleId="Odwoaniedelikatne">
    <w:name w:val="Subtle Reference"/>
    <w:basedOn w:val="Domylnaczcionkaakapitu"/>
    <w:uiPriority w:val="31"/>
    <w:qFormat/>
    <w:rsid w:val="00CD5DC7"/>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CD5DC7"/>
    <w:rPr>
      <w:b/>
      <w:bCs/>
      <w:smallCaps/>
      <w:u w:val="single"/>
    </w:rPr>
  </w:style>
  <w:style w:type="character" w:styleId="Tytuksiki">
    <w:name w:val="Book Title"/>
    <w:basedOn w:val="Domylnaczcionkaakapitu"/>
    <w:uiPriority w:val="33"/>
    <w:qFormat/>
    <w:rsid w:val="00CD5DC7"/>
    <w:rPr>
      <w:b w:val="0"/>
      <w:bCs w:val="0"/>
      <w:smallCaps/>
      <w:spacing w:val="5"/>
    </w:rPr>
  </w:style>
  <w:style w:type="paragraph" w:styleId="Nagwekspisutreci">
    <w:name w:val="TOC Heading"/>
    <w:basedOn w:val="Nagwek1"/>
    <w:next w:val="Normalny"/>
    <w:uiPriority w:val="39"/>
    <w:semiHidden/>
    <w:unhideWhenUsed/>
    <w:qFormat/>
    <w:rsid w:val="00CD5DC7"/>
    <w:pPr>
      <w:outlineLvl w:val="9"/>
    </w:pPr>
  </w:style>
  <w:style w:type="paragraph" w:styleId="Tekstprzypisukocowego">
    <w:name w:val="endnote text"/>
    <w:basedOn w:val="Normalny"/>
    <w:link w:val="TekstprzypisukocowegoZnak"/>
    <w:uiPriority w:val="99"/>
    <w:semiHidden/>
    <w:unhideWhenUsed/>
    <w:rsid w:val="00B536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36F6"/>
    <w:rPr>
      <w:sz w:val="20"/>
      <w:szCs w:val="20"/>
    </w:rPr>
  </w:style>
  <w:style w:type="character" w:styleId="Odwoanieprzypisukocowego">
    <w:name w:val="endnote reference"/>
    <w:basedOn w:val="Domylnaczcionkaakapitu"/>
    <w:uiPriority w:val="99"/>
    <w:semiHidden/>
    <w:unhideWhenUsed/>
    <w:rsid w:val="00B536F6"/>
    <w:rPr>
      <w:vertAlign w:val="superscript"/>
    </w:rPr>
  </w:style>
  <w:style w:type="table" w:customStyle="1" w:styleId="Tabela-Siatka1">
    <w:name w:val="Tabela - Siatka1"/>
    <w:basedOn w:val="Standardowy"/>
    <w:next w:val="Tabela-Siatka"/>
    <w:uiPriority w:val="39"/>
    <w:rsid w:val="007F2F9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C1D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5">
    <w:name w:val="Normal (Web) Char5"/>
    <w:aliases w:val="Normal (Web) Char Char4"/>
    <w:basedOn w:val="Domylnaczcionkaakapitu"/>
    <w:link w:val="wordsection1"/>
    <w:locked/>
    <w:rsid w:val="004B1F92"/>
    <w:rPr>
      <w:rFonts w:ascii="Calibri" w:hAnsi="Calibri" w:cs="Calibri"/>
      <w:lang w:eastAsia="pl-PL"/>
    </w:rPr>
  </w:style>
  <w:style w:type="table" w:styleId="Tabelasiatki1jasna">
    <w:name w:val="Grid Table 1 Light"/>
    <w:basedOn w:val="Standardowy"/>
    <w:uiPriority w:val="46"/>
    <w:rsid w:val="00616F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616F3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Zwykatabela3">
    <w:name w:val="Plain Table 3"/>
    <w:basedOn w:val="Standardowy"/>
    <w:uiPriority w:val="43"/>
    <w:rsid w:val="00616F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2">
    <w:name w:val="Plain Table 2"/>
    <w:basedOn w:val="Standardowy"/>
    <w:uiPriority w:val="42"/>
    <w:rsid w:val="00616F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gwek">
    <w:name w:val="header"/>
    <w:basedOn w:val="Normalny"/>
    <w:link w:val="NagwekZnak"/>
    <w:uiPriority w:val="99"/>
    <w:unhideWhenUsed/>
    <w:rsid w:val="000C29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29A5"/>
  </w:style>
  <w:style w:type="paragraph" w:styleId="Stopka">
    <w:name w:val="footer"/>
    <w:basedOn w:val="Normalny"/>
    <w:link w:val="StopkaZnak"/>
    <w:uiPriority w:val="99"/>
    <w:unhideWhenUsed/>
    <w:rsid w:val="000C29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29A5"/>
  </w:style>
  <w:style w:type="character" w:customStyle="1" w:styleId="series-meta-value">
    <w:name w:val="series-meta-value"/>
    <w:basedOn w:val="Domylnaczcionkaakapitu"/>
    <w:rsid w:val="002C4ADA"/>
  </w:style>
  <w:style w:type="character" w:customStyle="1" w:styleId="series-meta-observation-value">
    <w:name w:val="series-meta-observation-value"/>
    <w:basedOn w:val="Domylnaczcionkaakapitu"/>
    <w:rsid w:val="002C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231">
      <w:bodyDiv w:val="1"/>
      <w:marLeft w:val="0"/>
      <w:marRight w:val="0"/>
      <w:marTop w:val="0"/>
      <w:marBottom w:val="0"/>
      <w:divBdr>
        <w:top w:val="none" w:sz="0" w:space="0" w:color="auto"/>
        <w:left w:val="none" w:sz="0" w:space="0" w:color="auto"/>
        <w:bottom w:val="none" w:sz="0" w:space="0" w:color="auto"/>
        <w:right w:val="none" w:sz="0" w:space="0" w:color="auto"/>
      </w:divBdr>
    </w:div>
    <w:div w:id="27872573">
      <w:bodyDiv w:val="1"/>
      <w:marLeft w:val="0"/>
      <w:marRight w:val="0"/>
      <w:marTop w:val="0"/>
      <w:marBottom w:val="0"/>
      <w:divBdr>
        <w:top w:val="none" w:sz="0" w:space="0" w:color="auto"/>
        <w:left w:val="none" w:sz="0" w:space="0" w:color="auto"/>
        <w:bottom w:val="none" w:sz="0" w:space="0" w:color="auto"/>
        <w:right w:val="none" w:sz="0" w:space="0" w:color="auto"/>
      </w:divBdr>
    </w:div>
    <w:div w:id="37055473">
      <w:bodyDiv w:val="1"/>
      <w:marLeft w:val="0"/>
      <w:marRight w:val="0"/>
      <w:marTop w:val="0"/>
      <w:marBottom w:val="0"/>
      <w:divBdr>
        <w:top w:val="none" w:sz="0" w:space="0" w:color="auto"/>
        <w:left w:val="none" w:sz="0" w:space="0" w:color="auto"/>
        <w:bottom w:val="none" w:sz="0" w:space="0" w:color="auto"/>
        <w:right w:val="none" w:sz="0" w:space="0" w:color="auto"/>
      </w:divBdr>
    </w:div>
    <w:div w:id="52430232">
      <w:bodyDiv w:val="1"/>
      <w:marLeft w:val="0"/>
      <w:marRight w:val="0"/>
      <w:marTop w:val="0"/>
      <w:marBottom w:val="0"/>
      <w:divBdr>
        <w:top w:val="none" w:sz="0" w:space="0" w:color="auto"/>
        <w:left w:val="none" w:sz="0" w:space="0" w:color="auto"/>
        <w:bottom w:val="none" w:sz="0" w:space="0" w:color="auto"/>
        <w:right w:val="none" w:sz="0" w:space="0" w:color="auto"/>
      </w:divBdr>
    </w:div>
    <w:div w:id="64575693">
      <w:bodyDiv w:val="1"/>
      <w:marLeft w:val="0"/>
      <w:marRight w:val="0"/>
      <w:marTop w:val="0"/>
      <w:marBottom w:val="0"/>
      <w:divBdr>
        <w:top w:val="none" w:sz="0" w:space="0" w:color="auto"/>
        <w:left w:val="none" w:sz="0" w:space="0" w:color="auto"/>
        <w:bottom w:val="none" w:sz="0" w:space="0" w:color="auto"/>
        <w:right w:val="none" w:sz="0" w:space="0" w:color="auto"/>
      </w:divBdr>
    </w:div>
    <w:div w:id="139032488">
      <w:bodyDiv w:val="1"/>
      <w:marLeft w:val="0"/>
      <w:marRight w:val="0"/>
      <w:marTop w:val="0"/>
      <w:marBottom w:val="0"/>
      <w:divBdr>
        <w:top w:val="none" w:sz="0" w:space="0" w:color="auto"/>
        <w:left w:val="none" w:sz="0" w:space="0" w:color="auto"/>
        <w:bottom w:val="none" w:sz="0" w:space="0" w:color="auto"/>
        <w:right w:val="none" w:sz="0" w:space="0" w:color="auto"/>
      </w:divBdr>
    </w:div>
    <w:div w:id="195582949">
      <w:bodyDiv w:val="1"/>
      <w:marLeft w:val="0"/>
      <w:marRight w:val="0"/>
      <w:marTop w:val="0"/>
      <w:marBottom w:val="0"/>
      <w:divBdr>
        <w:top w:val="none" w:sz="0" w:space="0" w:color="auto"/>
        <w:left w:val="none" w:sz="0" w:space="0" w:color="auto"/>
        <w:bottom w:val="none" w:sz="0" w:space="0" w:color="auto"/>
        <w:right w:val="none" w:sz="0" w:space="0" w:color="auto"/>
      </w:divBdr>
    </w:div>
    <w:div w:id="208340302">
      <w:bodyDiv w:val="1"/>
      <w:marLeft w:val="0"/>
      <w:marRight w:val="0"/>
      <w:marTop w:val="0"/>
      <w:marBottom w:val="0"/>
      <w:divBdr>
        <w:top w:val="none" w:sz="0" w:space="0" w:color="auto"/>
        <w:left w:val="none" w:sz="0" w:space="0" w:color="auto"/>
        <w:bottom w:val="none" w:sz="0" w:space="0" w:color="auto"/>
        <w:right w:val="none" w:sz="0" w:space="0" w:color="auto"/>
      </w:divBdr>
    </w:div>
    <w:div w:id="266735020">
      <w:bodyDiv w:val="1"/>
      <w:marLeft w:val="0"/>
      <w:marRight w:val="0"/>
      <w:marTop w:val="0"/>
      <w:marBottom w:val="0"/>
      <w:divBdr>
        <w:top w:val="none" w:sz="0" w:space="0" w:color="auto"/>
        <w:left w:val="none" w:sz="0" w:space="0" w:color="auto"/>
        <w:bottom w:val="none" w:sz="0" w:space="0" w:color="auto"/>
        <w:right w:val="none" w:sz="0" w:space="0" w:color="auto"/>
      </w:divBdr>
    </w:div>
    <w:div w:id="279990817">
      <w:bodyDiv w:val="1"/>
      <w:marLeft w:val="0"/>
      <w:marRight w:val="0"/>
      <w:marTop w:val="0"/>
      <w:marBottom w:val="0"/>
      <w:divBdr>
        <w:top w:val="none" w:sz="0" w:space="0" w:color="auto"/>
        <w:left w:val="none" w:sz="0" w:space="0" w:color="auto"/>
        <w:bottom w:val="none" w:sz="0" w:space="0" w:color="auto"/>
        <w:right w:val="none" w:sz="0" w:space="0" w:color="auto"/>
      </w:divBdr>
    </w:div>
    <w:div w:id="349913885">
      <w:bodyDiv w:val="1"/>
      <w:marLeft w:val="0"/>
      <w:marRight w:val="0"/>
      <w:marTop w:val="0"/>
      <w:marBottom w:val="0"/>
      <w:divBdr>
        <w:top w:val="none" w:sz="0" w:space="0" w:color="auto"/>
        <w:left w:val="none" w:sz="0" w:space="0" w:color="auto"/>
        <w:bottom w:val="none" w:sz="0" w:space="0" w:color="auto"/>
        <w:right w:val="none" w:sz="0" w:space="0" w:color="auto"/>
      </w:divBdr>
    </w:div>
    <w:div w:id="366106247">
      <w:bodyDiv w:val="1"/>
      <w:marLeft w:val="0"/>
      <w:marRight w:val="0"/>
      <w:marTop w:val="0"/>
      <w:marBottom w:val="0"/>
      <w:divBdr>
        <w:top w:val="none" w:sz="0" w:space="0" w:color="auto"/>
        <w:left w:val="none" w:sz="0" w:space="0" w:color="auto"/>
        <w:bottom w:val="none" w:sz="0" w:space="0" w:color="auto"/>
        <w:right w:val="none" w:sz="0" w:space="0" w:color="auto"/>
      </w:divBdr>
      <w:divsChild>
        <w:div w:id="840848534">
          <w:marLeft w:val="0"/>
          <w:marRight w:val="0"/>
          <w:marTop w:val="0"/>
          <w:marBottom w:val="0"/>
          <w:divBdr>
            <w:top w:val="none" w:sz="0" w:space="0" w:color="auto"/>
            <w:left w:val="none" w:sz="0" w:space="0" w:color="auto"/>
            <w:bottom w:val="none" w:sz="0" w:space="0" w:color="auto"/>
            <w:right w:val="none" w:sz="0" w:space="0" w:color="auto"/>
          </w:divBdr>
        </w:div>
      </w:divsChild>
    </w:div>
    <w:div w:id="445933057">
      <w:bodyDiv w:val="1"/>
      <w:marLeft w:val="0"/>
      <w:marRight w:val="0"/>
      <w:marTop w:val="0"/>
      <w:marBottom w:val="0"/>
      <w:divBdr>
        <w:top w:val="none" w:sz="0" w:space="0" w:color="auto"/>
        <w:left w:val="none" w:sz="0" w:space="0" w:color="auto"/>
        <w:bottom w:val="none" w:sz="0" w:space="0" w:color="auto"/>
        <w:right w:val="none" w:sz="0" w:space="0" w:color="auto"/>
      </w:divBdr>
    </w:div>
    <w:div w:id="449858849">
      <w:bodyDiv w:val="1"/>
      <w:marLeft w:val="0"/>
      <w:marRight w:val="0"/>
      <w:marTop w:val="0"/>
      <w:marBottom w:val="0"/>
      <w:divBdr>
        <w:top w:val="none" w:sz="0" w:space="0" w:color="auto"/>
        <w:left w:val="none" w:sz="0" w:space="0" w:color="auto"/>
        <w:bottom w:val="none" w:sz="0" w:space="0" w:color="auto"/>
        <w:right w:val="none" w:sz="0" w:space="0" w:color="auto"/>
      </w:divBdr>
    </w:div>
    <w:div w:id="460610109">
      <w:bodyDiv w:val="1"/>
      <w:marLeft w:val="0"/>
      <w:marRight w:val="0"/>
      <w:marTop w:val="0"/>
      <w:marBottom w:val="0"/>
      <w:divBdr>
        <w:top w:val="none" w:sz="0" w:space="0" w:color="auto"/>
        <w:left w:val="none" w:sz="0" w:space="0" w:color="auto"/>
        <w:bottom w:val="none" w:sz="0" w:space="0" w:color="auto"/>
        <w:right w:val="none" w:sz="0" w:space="0" w:color="auto"/>
      </w:divBdr>
    </w:div>
    <w:div w:id="496191100">
      <w:bodyDiv w:val="1"/>
      <w:marLeft w:val="0"/>
      <w:marRight w:val="0"/>
      <w:marTop w:val="0"/>
      <w:marBottom w:val="0"/>
      <w:divBdr>
        <w:top w:val="none" w:sz="0" w:space="0" w:color="auto"/>
        <w:left w:val="none" w:sz="0" w:space="0" w:color="auto"/>
        <w:bottom w:val="none" w:sz="0" w:space="0" w:color="auto"/>
        <w:right w:val="none" w:sz="0" w:space="0" w:color="auto"/>
      </w:divBdr>
    </w:div>
    <w:div w:id="534856612">
      <w:bodyDiv w:val="1"/>
      <w:marLeft w:val="0"/>
      <w:marRight w:val="0"/>
      <w:marTop w:val="0"/>
      <w:marBottom w:val="0"/>
      <w:divBdr>
        <w:top w:val="none" w:sz="0" w:space="0" w:color="auto"/>
        <w:left w:val="none" w:sz="0" w:space="0" w:color="auto"/>
        <w:bottom w:val="none" w:sz="0" w:space="0" w:color="auto"/>
        <w:right w:val="none" w:sz="0" w:space="0" w:color="auto"/>
      </w:divBdr>
    </w:div>
    <w:div w:id="558173238">
      <w:bodyDiv w:val="1"/>
      <w:marLeft w:val="0"/>
      <w:marRight w:val="0"/>
      <w:marTop w:val="0"/>
      <w:marBottom w:val="0"/>
      <w:divBdr>
        <w:top w:val="none" w:sz="0" w:space="0" w:color="auto"/>
        <w:left w:val="none" w:sz="0" w:space="0" w:color="auto"/>
        <w:bottom w:val="none" w:sz="0" w:space="0" w:color="auto"/>
        <w:right w:val="none" w:sz="0" w:space="0" w:color="auto"/>
      </w:divBdr>
    </w:div>
    <w:div w:id="568224731">
      <w:bodyDiv w:val="1"/>
      <w:marLeft w:val="0"/>
      <w:marRight w:val="0"/>
      <w:marTop w:val="0"/>
      <w:marBottom w:val="0"/>
      <w:divBdr>
        <w:top w:val="none" w:sz="0" w:space="0" w:color="auto"/>
        <w:left w:val="none" w:sz="0" w:space="0" w:color="auto"/>
        <w:bottom w:val="none" w:sz="0" w:space="0" w:color="auto"/>
        <w:right w:val="none" w:sz="0" w:space="0" w:color="auto"/>
      </w:divBdr>
    </w:div>
    <w:div w:id="587884971">
      <w:bodyDiv w:val="1"/>
      <w:marLeft w:val="0"/>
      <w:marRight w:val="0"/>
      <w:marTop w:val="0"/>
      <w:marBottom w:val="0"/>
      <w:divBdr>
        <w:top w:val="none" w:sz="0" w:space="0" w:color="auto"/>
        <w:left w:val="none" w:sz="0" w:space="0" w:color="auto"/>
        <w:bottom w:val="none" w:sz="0" w:space="0" w:color="auto"/>
        <w:right w:val="none" w:sz="0" w:space="0" w:color="auto"/>
      </w:divBdr>
    </w:div>
    <w:div w:id="605187573">
      <w:bodyDiv w:val="1"/>
      <w:marLeft w:val="0"/>
      <w:marRight w:val="0"/>
      <w:marTop w:val="0"/>
      <w:marBottom w:val="0"/>
      <w:divBdr>
        <w:top w:val="none" w:sz="0" w:space="0" w:color="auto"/>
        <w:left w:val="none" w:sz="0" w:space="0" w:color="auto"/>
        <w:bottom w:val="none" w:sz="0" w:space="0" w:color="auto"/>
        <w:right w:val="none" w:sz="0" w:space="0" w:color="auto"/>
      </w:divBdr>
      <w:divsChild>
        <w:div w:id="1383096014">
          <w:marLeft w:val="300"/>
          <w:marRight w:val="0"/>
          <w:marTop w:val="75"/>
          <w:marBottom w:val="150"/>
          <w:divBdr>
            <w:top w:val="none" w:sz="0" w:space="0" w:color="auto"/>
            <w:left w:val="none" w:sz="0" w:space="0" w:color="auto"/>
            <w:bottom w:val="none" w:sz="0" w:space="0" w:color="auto"/>
            <w:right w:val="none" w:sz="0" w:space="0" w:color="auto"/>
          </w:divBdr>
          <w:divsChild>
            <w:div w:id="1232734117">
              <w:marLeft w:val="0"/>
              <w:marRight w:val="0"/>
              <w:marTop w:val="0"/>
              <w:marBottom w:val="0"/>
              <w:divBdr>
                <w:top w:val="none" w:sz="0" w:space="0" w:color="auto"/>
                <w:left w:val="none" w:sz="0" w:space="0" w:color="auto"/>
                <w:bottom w:val="none" w:sz="0" w:space="0" w:color="auto"/>
                <w:right w:val="none" w:sz="0" w:space="0" w:color="auto"/>
              </w:divBdr>
            </w:div>
            <w:div w:id="1591543116">
              <w:marLeft w:val="0"/>
              <w:marRight w:val="0"/>
              <w:marTop w:val="0"/>
              <w:marBottom w:val="0"/>
              <w:divBdr>
                <w:top w:val="none" w:sz="0" w:space="0" w:color="auto"/>
                <w:left w:val="none" w:sz="0" w:space="0" w:color="auto"/>
                <w:bottom w:val="none" w:sz="0" w:space="0" w:color="auto"/>
                <w:right w:val="none" w:sz="0" w:space="0" w:color="auto"/>
              </w:divBdr>
            </w:div>
            <w:div w:id="16181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6152">
      <w:bodyDiv w:val="1"/>
      <w:marLeft w:val="0"/>
      <w:marRight w:val="0"/>
      <w:marTop w:val="0"/>
      <w:marBottom w:val="0"/>
      <w:divBdr>
        <w:top w:val="none" w:sz="0" w:space="0" w:color="auto"/>
        <w:left w:val="none" w:sz="0" w:space="0" w:color="auto"/>
        <w:bottom w:val="none" w:sz="0" w:space="0" w:color="auto"/>
        <w:right w:val="none" w:sz="0" w:space="0" w:color="auto"/>
      </w:divBdr>
    </w:div>
    <w:div w:id="695665541">
      <w:bodyDiv w:val="1"/>
      <w:marLeft w:val="0"/>
      <w:marRight w:val="0"/>
      <w:marTop w:val="0"/>
      <w:marBottom w:val="0"/>
      <w:divBdr>
        <w:top w:val="none" w:sz="0" w:space="0" w:color="auto"/>
        <w:left w:val="none" w:sz="0" w:space="0" w:color="auto"/>
        <w:bottom w:val="none" w:sz="0" w:space="0" w:color="auto"/>
        <w:right w:val="none" w:sz="0" w:space="0" w:color="auto"/>
      </w:divBdr>
    </w:div>
    <w:div w:id="772551769">
      <w:bodyDiv w:val="1"/>
      <w:marLeft w:val="0"/>
      <w:marRight w:val="0"/>
      <w:marTop w:val="0"/>
      <w:marBottom w:val="0"/>
      <w:divBdr>
        <w:top w:val="none" w:sz="0" w:space="0" w:color="auto"/>
        <w:left w:val="none" w:sz="0" w:space="0" w:color="auto"/>
        <w:bottom w:val="none" w:sz="0" w:space="0" w:color="auto"/>
        <w:right w:val="none" w:sz="0" w:space="0" w:color="auto"/>
      </w:divBdr>
    </w:div>
    <w:div w:id="789207009">
      <w:bodyDiv w:val="1"/>
      <w:marLeft w:val="0"/>
      <w:marRight w:val="0"/>
      <w:marTop w:val="0"/>
      <w:marBottom w:val="0"/>
      <w:divBdr>
        <w:top w:val="none" w:sz="0" w:space="0" w:color="auto"/>
        <w:left w:val="none" w:sz="0" w:space="0" w:color="auto"/>
        <w:bottom w:val="none" w:sz="0" w:space="0" w:color="auto"/>
        <w:right w:val="none" w:sz="0" w:space="0" w:color="auto"/>
      </w:divBdr>
      <w:divsChild>
        <w:div w:id="238639552">
          <w:marLeft w:val="0"/>
          <w:marRight w:val="0"/>
          <w:marTop w:val="0"/>
          <w:marBottom w:val="0"/>
          <w:divBdr>
            <w:top w:val="none" w:sz="0" w:space="0" w:color="auto"/>
            <w:left w:val="none" w:sz="0" w:space="0" w:color="auto"/>
            <w:bottom w:val="none" w:sz="0" w:space="0" w:color="auto"/>
            <w:right w:val="none" w:sz="0" w:space="0" w:color="auto"/>
          </w:divBdr>
        </w:div>
        <w:div w:id="549004268">
          <w:marLeft w:val="0"/>
          <w:marRight w:val="0"/>
          <w:marTop w:val="0"/>
          <w:marBottom w:val="0"/>
          <w:divBdr>
            <w:top w:val="none" w:sz="0" w:space="0" w:color="auto"/>
            <w:left w:val="none" w:sz="0" w:space="0" w:color="auto"/>
            <w:bottom w:val="none" w:sz="0" w:space="0" w:color="auto"/>
            <w:right w:val="none" w:sz="0" w:space="0" w:color="auto"/>
          </w:divBdr>
        </w:div>
        <w:div w:id="749540236">
          <w:marLeft w:val="0"/>
          <w:marRight w:val="0"/>
          <w:marTop w:val="0"/>
          <w:marBottom w:val="0"/>
          <w:divBdr>
            <w:top w:val="none" w:sz="0" w:space="0" w:color="auto"/>
            <w:left w:val="none" w:sz="0" w:space="0" w:color="auto"/>
            <w:bottom w:val="none" w:sz="0" w:space="0" w:color="auto"/>
            <w:right w:val="none" w:sz="0" w:space="0" w:color="auto"/>
          </w:divBdr>
        </w:div>
      </w:divsChild>
    </w:div>
    <w:div w:id="791365893">
      <w:bodyDiv w:val="1"/>
      <w:marLeft w:val="0"/>
      <w:marRight w:val="0"/>
      <w:marTop w:val="0"/>
      <w:marBottom w:val="0"/>
      <w:divBdr>
        <w:top w:val="none" w:sz="0" w:space="0" w:color="auto"/>
        <w:left w:val="none" w:sz="0" w:space="0" w:color="auto"/>
        <w:bottom w:val="none" w:sz="0" w:space="0" w:color="auto"/>
        <w:right w:val="none" w:sz="0" w:space="0" w:color="auto"/>
      </w:divBdr>
    </w:div>
    <w:div w:id="798455408">
      <w:bodyDiv w:val="1"/>
      <w:marLeft w:val="0"/>
      <w:marRight w:val="0"/>
      <w:marTop w:val="0"/>
      <w:marBottom w:val="0"/>
      <w:divBdr>
        <w:top w:val="none" w:sz="0" w:space="0" w:color="auto"/>
        <w:left w:val="none" w:sz="0" w:space="0" w:color="auto"/>
        <w:bottom w:val="none" w:sz="0" w:space="0" w:color="auto"/>
        <w:right w:val="none" w:sz="0" w:space="0" w:color="auto"/>
      </w:divBdr>
    </w:div>
    <w:div w:id="808984524">
      <w:bodyDiv w:val="1"/>
      <w:marLeft w:val="0"/>
      <w:marRight w:val="0"/>
      <w:marTop w:val="0"/>
      <w:marBottom w:val="0"/>
      <w:divBdr>
        <w:top w:val="none" w:sz="0" w:space="0" w:color="auto"/>
        <w:left w:val="none" w:sz="0" w:space="0" w:color="auto"/>
        <w:bottom w:val="none" w:sz="0" w:space="0" w:color="auto"/>
        <w:right w:val="none" w:sz="0" w:space="0" w:color="auto"/>
      </w:divBdr>
    </w:div>
    <w:div w:id="822507226">
      <w:bodyDiv w:val="1"/>
      <w:marLeft w:val="0"/>
      <w:marRight w:val="0"/>
      <w:marTop w:val="0"/>
      <w:marBottom w:val="0"/>
      <w:divBdr>
        <w:top w:val="none" w:sz="0" w:space="0" w:color="auto"/>
        <w:left w:val="none" w:sz="0" w:space="0" w:color="auto"/>
        <w:bottom w:val="none" w:sz="0" w:space="0" w:color="auto"/>
        <w:right w:val="none" w:sz="0" w:space="0" w:color="auto"/>
      </w:divBdr>
    </w:div>
    <w:div w:id="832187582">
      <w:bodyDiv w:val="1"/>
      <w:marLeft w:val="0"/>
      <w:marRight w:val="0"/>
      <w:marTop w:val="0"/>
      <w:marBottom w:val="0"/>
      <w:divBdr>
        <w:top w:val="none" w:sz="0" w:space="0" w:color="auto"/>
        <w:left w:val="none" w:sz="0" w:space="0" w:color="auto"/>
        <w:bottom w:val="none" w:sz="0" w:space="0" w:color="auto"/>
        <w:right w:val="none" w:sz="0" w:space="0" w:color="auto"/>
      </w:divBdr>
    </w:div>
    <w:div w:id="838890570">
      <w:bodyDiv w:val="1"/>
      <w:marLeft w:val="0"/>
      <w:marRight w:val="0"/>
      <w:marTop w:val="0"/>
      <w:marBottom w:val="0"/>
      <w:divBdr>
        <w:top w:val="none" w:sz="0" w:space="0" w:color="auto"/>
        <w:left w:val="none" w:sz="0" w:space="0" w:color="auto"/>
        <w:bottom w:val="none" w:sz="0" w:space="0" w:color="auto"/>
        <w:right w:val="none" w:sz="0" w:space="0" w:color="auto"/>
      </w:divBdr>
    </w:div>
    <w:div w:id="842207980">
      <w:bodyDiv w:val="1"/>
      <w:marLeft w:val="0"/>
      <w:marRight w:val="0"/>
      <w:marTop w:val="0"/>
      <w:marBottom w:val="0"/>
      <w:divBdr>
        <w:top w:val="none" w:sz="0" w:space="0" w:color="auto"/>
        <w:left w:val="none" w:sz="0" w:space="0" w:color="auto"/>
        <w:bottom w:val="none" w:sz="0" w:space="0" w:color="auto"/>
        <w:right w:val="none" w:sz="0" w:space="0" w:color="auto"/>
      </w:divBdr>
    </w:div>
    <w:div w:id="860439562">
      <w:bodyDiv w:val="1"/>
      <w:marLeft w:val="0"/>
      <w:marRight w:val="0"/>
      <w:marTop w:val="0"/>
      <w:marBottom w:val="0"/>
      <w:divBdr>
        <w:top w:val="none" w:sz="0" w:space="0" w:color="auto"/>
        <w:left w:val="none" w:sz="0" w:space="0" w:color="auto"/>
        <w:bottom w:val="none" w:sz="0" w:space="0" w:color="auto"/>
        <w:right w:val="none" w:sz="0" w:space="0" w:color="auto"/>
      </w:divBdr>
    </w:div>
    <w:div w:id="880827018">
      <w:bodyDiv w:val="1"/>
      <w:marLeft w:val="0"/>
      <w:marRight w:val="0"/>
      <w:marTop w:val="0"/>
      <w:marBottom w:val="0"/>
      <w:divBdr>
        <w:top w:val="none" w:sz="0" w:space="0" w:color="auto"/>
        <w:left w:val="none" w:sz="0" w:space="0" w:color="auto"/>
        <w:bottom w:val="none" w:sz="0" w:space="0" w:color="auto"/>
        <w:right w:val="none" w:sz="0" w:space="0" w:color="auto"/>
      </w:divBdr>
    </w:div>
    <w:div w:id="885794561">
      <w:bodyDiv w:val="1"/>
      <w:marLeft w:val="0"/>
      <w:marRight w:val="0"/>
      <w:marTop w:val="0"/>
      <w:marBottom w:val="0"/>
      <w:divBdr>
        <w:top w:val="none" w:sz="0" w:space="0" w:color="auto"/>
        <w:left w:val="none" w:sz="0" w:space="0" w:color="auto"/>
        <w:bottom w:val="none" w:sz="0" w:space="0" w:color="auto"/>
        <w:right w:val="none" w:sz="0" w:space="0" w:color="auto"/>
      </w:divBdr>
    </w:div>
    <w:div w:id="887952863">
      <w:bodyDiv w:val="1"/>
      <w:marLeft w:val="0"/>
      <w:marRight w:val="0"/>
      <w:marTop w:val="0"/>
      <w:marBottom w:val="0"/>
      <w:divBdr>
        <w:top w:val="none" w:sz="0" w:space="0" w:color="auto"/>
        <w:left w:val="none" w:sz="0" w:space="0" w:color="auto"/>
        <w:bottom w:val="none" w:sz="0" w:space="0" w:color="auto"/>
        <w:right w:val="none" w:sz="0" w:space="0" w:color="auto"/>
      </w:divBdr>
    </w:div>
    <w:div w:id="901601427">
      <w:bodyDiv w:val="1"/>
      <w:marLeft w:val="0"/>
      <w:marRight w:val="0"/>
      <w:marTop w:val="0"/>
      <w:marBottom w:val="0"/>
      <w:divBdr>
        <w:top w:val="none" w:sz="0" w:space="0" w:color="auto"/>
        <w:left w:val="none" w:sz="0" w:space="0" w:color="auto"/>
        <w:bottom w:val="none" w:sz="0" w:space="0" w:color="auto"/>
        <w:right w:val="none" w:sz="0" w:space="0" w:color="auto"/>
      </w:divBdr>
    </w:div>
    <w:div w:id="945502779">
      <w:bodyDiv w:val="1"/>
      <w:marLeft w:val="0"/>
      <w:marRight w:val="0"/>
      <w:marTop w:val="0"/>
      <w:marBottom w:val="0"/>
      <w:divBdr>
        <w:top w:val="none" w:sz="0" w:space="0" w:color="auto"/>
        <w:left w:val="none" w:sz="0" w:space="0" w:color="auto"/>
        <w:bottom w:val="none" w:sz="0" w:space="0" w:color="auto"/>
        <w:right w:val="none" w:sz="0" w:space="0" w:color="auto"/>
      </w:divBdr>
    </w:div>
    <w:div w:id="949899926">
      <w:bodyDiv w:val="1"/>
      <w:marLeft w:val="0"/>
      <w:marRight w:val="0"/>
      <w:marTop w:val="0"/>
      <w:marBottom w:val="0"/>
      <w:divBdr>
        <w:top w:val="none" w:sz="0" w:space="0" w:color="auto"/>
        <w:left w:val="none" w:sz="0" w:space="0" w:color="auto"/>
        <w:bottom w:val="none" w:sz="0" w:space="0" w:color="auto"/>
        <w:right w:val="none" w:sz="0" w:space="0" w:color="auto"/>
      </w:divBdr>
    </w:div>
    <w:div w:id="998580130">
      <w:bodyDiv w:val="1"/>
      <w:marLeft w:val="0"/>
      <w:marRight w:val="0"/>
      <w:marTop w:val="0"/>
      <w:marBottom w:val="0"/>
      <w:divBdr>
        <w:top w:val="none" w:sz="0" w:space="0" w:color="auto"/>
        <w:left w:val="none" w:sz="0" w:space="0" w:color="auto"/>
        <w:bottom w:val="none" w:sz="0" w:space="0" w:color="auto"/>
        <w:right w:val="none" w:sz="0" w:space="0" w:color="auto"/>
      </w:divBdr>
    </w:div>
    <w:div w:id="1081172007">
      <w:bodyDiv w:val="1"/>
      <w:marLeft w:val="0"/>
      <w:marRight w:val="0"/>
      <w:marTop w:val="0"/>
      <w:marBottom w:val="0"/>
      <w:divBdr>
        <w:top w:val="none" w:sz="0" w:space="0" w:color="auto"/>
        <w:left w:val="none" w:sz="0" w:space="0" w:color="auto"/>
        <w:bottom w:val="none" w:sz="0" w:space="0" w:color="auto"/>
        <w:right w:val="none" w:sz="0" w:space="0" w:color="auto"/>
      </w:divBdr>
    </w:div>
    <w:div w:id="1092820873">
      <w:bodyDiv w:val="1"/>
      <w:marLeft w:val="0"/>
      <w:marRight w:val="0"/>
      <w:marTop w:val="0"/>
      <w:marBottom w:val="0"/>
      <w:divBdr>
        <w:top w:val="none" w:sz="0" w:space="0" w:color="auto"/>
        <w:left w:val="none" w:sz="0" w:space="0" w:color="auto"/>
        <w:bottom w:val="none" w:sz="0" w:space="0" w:color="auto"/>
        <w:right w:val="none" w:sz="0" w:space="0" w:color="auto"/>
      </w:divBdr>
      <w:divsChild>
        <w:div w:id="937380">
          <w:marLeft w:val="75"/>
          <w:marRight w:val="75"/>
          <w:marTop w:val="75"/>
          <w:marBottom w:val="225"/>
          <w:divBdr>
            <w:top w:val="single" w:sz="6" w:space="4" w:color="990033"/>
            <w:left w:val="single" w:sz="6" w:space="4" w:color="990033"/>
            <w:bottom w:val="single" w:sz="6" w:space="4" w:color="990033"/>
            <w:right w:val="single" w:sz="6" w:space="4" w:color="990033"/>
          </w:divBdr>
        </w:div>
        <w:div w:id="537819446">
          <w:marLeft w:val="75"/>
          <w:marRight w:val="75"/>
          <w:marTop w:val="75"/>
          <w:marBottom w:val="225"/>
          <w:divBdr>
            <w:top w:val="single" w:sz="6" w:space="4" w:color="990033"/>
            <w:left w:val="single" w:sz="6" w:space="4" w:color="990033"/>
            <w:bottom w:val="single" w:sz="6" w:space="4" w:color="990033"/>
            <w:right w:val="single" w:sz="6" w:space="4" w:color="990033"/>
          </w:divBdr>
        </w:div>
        <w:div w:id="1814180062">
          <w:marLeft w:val="75"/>
          <w:marRight w:val="75"/>
          <w:marTop w:val="75"/>
          <w:marBottom w:val="225"/>
          <w:divBdr>
            <w:top w:val="single" w:sz="6" w:space="4" w:color="990033"/>
            <w:left w:val="single" w:sz="6" w:space="4" w:color="990033"/>
            <w:bottom w:val="single" w:sz="6" w:space="4" w:color="990033"/>
            <w:right w:val="single" w:sz="6" w:space="4" w:color="990033"/>
          </w:divBdr>
        </w:div>
      </w:divsChild>
    </w:div>
    <w:div w:id="1098331992">
      <w:bodyDiv w:val="1"/>
      <w:marLeft w:val="0"/>
      <w:marRight w:val="0"/>
      <w:marTop w:val="0"/>
      <w:marBottom w:val="0"/>
      <w:divBdr>
        <w:top w:val="none" w:sz="0" w:space="0" w:color="auto"/>
        <w:left w:val="none" w:sz="0" w:space="0" w:color="auto"/>
        <w:bottom w:val="none" w:sz="0" w:space="0" w:color="auto"/>
        <w:right w:val="none" w:sz="0" w:space="0" w:color="auto"/>
      </w:divBdr>
      <w:divsChild>
        <w:div w:id="643585592">
          <w:marLeft w:val="0"/>
          <w:marRight w:val="0"/>
          <w:marTop w:val="0"/>
          <w:marBottom w:val="0"/>
          <w:divBdr>
            <w:top w:val="none" w:sz="0" w:space="0" w:color="auto"/>
            <w:left w:val="none" w:sz="0" w:space="0" w:color="auto"/>
            <w:bottom w:val="none" w:sz="0" w:space="0" w:color="auto"/>
            <w:right w:val="none" w:sz="0" w:space="0" w:color="auto"/>
          </w:divBdr>
          <w:divsChild>
            <w:div w:id="1202862742">
              <w:marLeft w:val="0"/>
              <w:marRight w:val="0"/>
              <w:marTop w:val="0"/>
              <w:marBottom w:val="0"/>
              <w:divBdr>
                <w:top w:val="none" w:sz="0" w:space="0" w:color="auto"/>
                <w:left w:val="none" w:sz="0" w:space="0" w:color="auto"/>
                <w:bottom w:val="none" w:sz="0" w:space="0" w:color="auto"/>
                <w:right w:val="none" w:sz="0" w:space="0" w:color="auto"/>
              </w:divBdr>
              <w:divsChild>
                <w:div w:id="479885172">
                  <w:marLeft w:val="0"/>
                  <w:marRight w:val="0"/>
                  <w:marTop w:val="0"/>
                  <w:marBottom w:val="0"/>
                  <w:divBdr>
                    <w:top w:val="none" w:sz="0" w:space="0" w:color="auto"/>
                    <w:left w:val="none" w:sz="0" w:space="0" w:color="auto"/>
                    <w:bottom w:val="none" w:sz="0" w:space="0" w:color="auto"/>
                    <w:right w:val="none" w:sz="0" w:space="0" w:color="auto"/>
                  </w:divBdr>
                  <w:divsChild>
                    <w:div w:id="388921837">
                      <w:marLeft w:val="0"/>
                      <w:marRight w:val="0"/>
                      <w:marTop w:val="0"/>
                      <w:marBottom w:val="0"/>
                      <w:divBdr>
                        <w:top w:val="none" w:sz="0" w:space="0" w:color="auto"/>
                        <w:left w:val="none" w:sz="0" w:space="0" w:color="auto"/>
                        <w:bottom w:val="none" w:sz="0" w:space="0" w:color="auto"/>
                        <w:right w:val="none" w:sz="0" w:space="0" w:color="auto"/>
                      </w:divBdr>
                      <w:divsChild>
                        <w:div w:id="1040276510">
                          <w:marLeft w:val="0"/>
                          <w:marRight w:val="0"/>
                          <w:marTop w:val="0"/>
                          <w:marBottom w:val="0"/>
                          <w:divBdr>
                            <w:top w:val="none" w:sz="0" w:space="0" w:color="auto"/>
                            <w:left w:val="none" w:sz="0" w:space="0" w:color="auto"/>
                            <w:bottom w:val="none" w:sz="0" w:space="0" w:color="auto"/>
                            <w:right w:val="none" w:sz="0" w:space="0" w:color="auto"/>
                          </w:divBdr>
                          <w:divsChild>
                            <w:div w:id="242223413">
                              <w:marLeft w:val="0"/>
                              <w:marRight w:val="0"/>
                              <w:marTop w:val="0"/>
                              <w:marBottom w:val="0"/>
                              <w:divBdr>
                                <w:top w:val="none" w:sz="0" w:space="0" w:color="auto"/>
                                <w:left w:val="none" w:sz="0" w:space="0" w:color="auto"/>
                                <w:bottom w:val="none" w:sz="0" w:space="0" w:color="auto"/>
                                <w:right w:val="none" w:sz="0" w:space="0" w:color="auto"/>
                              </w:divBdr>
                              <w:divsChild>
                                <w:div w:id="1442872966">
                                  <w:marLeft w:val="0"/>
                                  <w:marRight w:val="0"/>
                                  <w:marTop w:val="0"/>
                                  <w:marBottom w:val="0"/>
                                  <w:divBdr>
                                    <w:top w:val="none" w:sz="0" w:space="0" w:color="auto"/>
                                    <w:left w:val="none" w:sz="0" w:space="0" w:color="auto"/>
                                    <w:bottom w:val="none" w:sz="0" w:space="0" w:color="auto"/>
                                    <w:right w:val="none" w:sz="0" w:space="0" w:color="auto"/>
                                  </w:divBdr>
                                  <w:divsChild>
                                    <w:div w:id="1760713303">
                                      <w:marLeft w:val="0"/>
                                      <w:marRight w:val="0"/>
                                      <w:marTop w:val="0"/>
                                      <w:marBottom w:val="0"/>
                                      <w:divBdr>
                                        <w:top w:val="none" w:sz="0" w:space="0" w:color="auto"/>
                                        <w:left w:val="none" w:sz="0" w:space="0" w:color="auto"/>
                                        <w:bottom w:val="none" w:sz="0" w:space="0" w:color="auto"/>
                                        <w:right w:val="none" w:sz="0" w:space="0" w:color="auto"/>
                                      </w:divBdr>
                                      <w:divsChild>
                                        <w:div w:id="110974474">
                                          <w:marLeft w:val="0"/>
                                          <w:marRight w:val="0"/>
                                          <w:marTop w:val="0"/>
                                          <w:marBottom w:val="0"/>
                                          <w:divBdr>
                                            <w:top w:val="none" w:sz="0" w:space="0" w:color="auto"/>
                                            <w:left w:val="none" w:sz="0" w:space="0" w:color="auto"/>
                                            <w:bottom w:val="none" w:sz="0" w:space="0" w:color="auto"/>
                                            <w:right w:val="none" w:sz="0" w:space="0" w:color="auto"/>
                                          </w:divBdr>
                                          <w:divsChild>
                                            <w:div w:id="210968421">
                                              <w:marLeft w:val="0"/>
                                              <w:marRight w:val="0"/>
                                              <w:marTop w:val="0"/>
                                              <w:marBottom w:val="0"/>
                                              <w:divBdr>
                                                <w:top w:val="none" w:sz="0" w:space="0" w:color="auto"/>
                                                <w:left w:val="none" w:sz="0" w:space="0" w:color="auto"/>
                                                <w:bottom w:val="none" w:sz="0" w:space="0" w:color="auto"/>
                                                <w:right w:val="none" w:sz="0" w:space="0" w:color="auto"/>
                                              </w:divBdr>
                                              <w:divsChild>
                                                <w:div w:id="552620620">
                                                  <w:marLeft w:val="0"/>
                                                  <w:marRight w:val="0"/>
                                                  <w:marTop w:val="0"/>
                                                  <w:marBottom w:val="0"/>
                                                  <w:divBdr>
                                                    <w:top w:val="none" w:sz="0" w:space="0" w:color="auto"/>
                                                    <w:left w:val="none" w:sz="0" w:space="0" w:color="auto"/>
                                                    <w:bottom w:val="none" w:sz="0" w:space="0" w:color="auto"/>
                                                    <w:right w:val="none" w:sz="0" w:space="0" w:color="auto"/>
                                                  </w:divBdr>
                                                </w:div>
                                                <w:div w:id="933705872">
                                                  <w:marLeft w:val="0"/>
                                                  <w:marRight w:val="0"/>
                                                  <w:marTop w:val="0"/>
                                                  <w:marBottom w:val="0"/>
                                                  <w:divBdr>
                                                    <w:top w:val="none" w:sz="0" w:space="0" w:color="auto"/>
                                                    <w:left w:val="none" w:sz="0" w:space="0" w:color="auto"/>
                                                    <w:bottom w:val="none" w:sz="0" w:space="0" w:color="auto"/>
                                                    <w:right w:val="none" w:sz="0" w:space="0" w:color="auto"/>
                                                  </w:divBdr>
                                                </w:div>
                                                <w:div w:id="1230575044">
                                                  <w:marLeft w:val="0"/>
                                                  <w:marRight w:val="0"/>
                                                  <w:marTop w:val="0"/>
                                                  <w:marBottom w:val="0"/>
                                                  <w:divBdr>
                                                    <w:top w:val="none" w:sz="0" w:space="0" w:color="auto"/>
                                                    <w:left w:val="none" w:sz="0" w:space="0" w:color="auto"/>
                                                    <w:bottom w:val="none" w:sz="0" w:space="0" w:color="auto"/>
                                                    <w:right w:val="none" w:sz="0" w:space="0" w:color="auto"/>
                                                  </w:divBdr>
                                                </w:div>
                                                <w:div w:id="12816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721466">
                              <w:marLeft w:val="0"/>
                              <w:marRight w:val="0"/>
                              <w:marTop w:val="0"/>
                              <w:marBottom w:val="0"/>
                              <w:divBdr>
                                <w:top w:val="none" w:sz="0" w:space="0" w:color="auto"/>
                                <w:left w:val="none" w:sz="0" w:space="0" w:color="auto"/>
                                <w:bottom w:val="none" w:sz="0" w:space="0" w:color="auto"/>
                                <w:right w:val="none" w:sz="0" w:space="0" w:color="auto"/>
                              </w:divBdr>
                              <w:divsChild>
                                <w:div w:id="1334143404">
                                  <w:marLeft w:val="0"/>
                                  <w:marRight w:val="0"/>
                                  <w:marTop w:val="0"/>
                                  <w:marBottom w:val="0"/>
                                  <w:divBdr>
                                    <w:top w:val="none" w:sz="0" w:space="0" w:color="auto"/>
                                    <w:left w:val="none" w:sz="0" w:space="0" w:color="auto"/>
                                    <w:bottom w:val="none" w:sz="0" w:space="0" w:color="auto"/>
                                    <w:right w:val="none" w:sz="0" w:space="0" w:color="auto"/>
                                  </w:divBdr>
                                  <w:divsChild>
                                    <w:div w:id="1539050085">
                                      <w:marLeft w:val="0"/>
                                      <w:marRight w:val="0"/>
                                      <w:marTop w:val="0"/>
                                      <w:marBottom w:val="0"/>
                                      <w:divBdr>
                                        <w:top w:val="none" w:sz="0" w:space="0" w:color="auto"/>
                                        <w:left w:val="none" w:sz="0" w:space="0" w:color="auto"/>
                                        <w:bottom w:val="none" w:sz="0" w:space="0" w:color="auto"/>
                                        <w:right w:val="none" w:sz="0" w:space="0" w:color="auto"/>
                                      </w:divBdr>
                                      <w:divsChild>
                                        <w:div w:id="1254702166">
                                          <w:marLeft w:val="0"/>
                                          <w:marRight w:val="0"/>
                                          <w:marTop w:val="0"/>
                                          <w:marBottom w:val="0"/>
                                          <w:divBdr>
                                            <w:top w:val="none" w:sz="0" w:space="0" w:color="auto"/>
                                            <w:left w:val="none" w:sz="0" w:space="0" w:color="auto"/>
                                            <w:bottom w:val="none" w:sz="0" w:space="0" w:color="auto"/>
                                            <w:right w:val="none" w:sz="0" w:space="0" w:color="auto"/>
                                          </w:divBdr>
                                          <w:divsChild>
                                            <w:div w:id="6919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31196">
                              <w:marLeft w:val="0"/>
                              <w:marRight w:val="0"/>
                              <w:marTop w:val="0"/>
                              <w:marBottom w:val="0"/>
                              <w:divBdr>
                                <w:top w:val="none" w:sz="0" w:space="0" w:color="auto"/>
                                <w:left w:val="none" w:sz="0" w:space="0" w:color="auto"/>
                                <w:bottom w:val="none" w:sz="0" w:space="0" w:color="auto"/>
                                <w:right w:val="none" w:sz="0" w:space="0" w:color="auto"/>
                              </w:divBdr>
                              <w:divsChild>
                                <w:div w:id="1844736592">
                                  <w:marLeft w:val="0"/>
                                  <w:marRight w:val="0"/>
                                  <w:marTop w:val="0"/>
                                  <w:marBottom w:val="0"/>
                                  <w:divBdr>
                                    <w:top w:val="none" w:sz="0" w:space="0" w:color="auto"/>
                                    <w:left w:val="none" w:sz="0" w:space="0" w:color="auto"/>
                                    <w:bottom w:val="none" w:sz="0" w:space="0" w:color="auto"/>
                                    <w:right w:val="none" w:sz="0" w:space="0" w:color="auto"/>
                                  </w:divBdr>
                                  <w:divsChild>
                                    <w:div w:id="163513230">
                                      <w:marLeft w:val="0"/>
                                      <w:marRight w:val="0"/>
                                      <w:marTop w:val="0"/>
                                      <w:marBottom w:val="0"/>
                                      <w:divBdr>
                                        <w:top w:val="none" w:sz="0" w:space="0" w:color="auto"/>
                                        <w:left w:val="none" w:sz="0" w:space="0" w:color="auto"/>
                                        <w:bottom w:val="none" w:sz="0" w:space="0" w:color="auto"/>
                                        <w:right w:val="none" w:sz="0" w:space="0" w:color="auto"/>
                                      </w:divBdr>
                                      <w:divsChild>
                                        <w:div w:id="63843695">
                                          <w:marLeft w:val="0"/>
                                          <w:marRight w:val="0"/>
                                          <w:marTop w:val="0"/>
                                          <w:marBottom w:val="0"/>
                                          <w:divBdr>
                                            <w:top w:val="none" w:sz="0" w:space="0" w:color="auto"/>
                                            <w:left w:val="none" w:sz="0" w:space="0" w:color="auto"/>
                                            <w:bottom w:val="none" w:sz="0" w:space="0" w:color="auto"/>
                                            <w:right w:val="none" w:sz="0" w:space="0" w:color="auto"/>
                                          </w:divBdr>
                                          <w:divsChild>
                                            <w:div w:id="801381568">
                                              <w:marLeft w:val="0"/>
                                              <w:marRight w:val="0"/>
                                              <w:marTop w:val="0"/>
                                              <w:marBottom w:val="0"/>
                                              <w:divBdr>
                                                <w:top w:val="none" w:sz="0" w:space="0" w:color="auto"/>
                                                <w:left w:val="none" w:sz="0" w:space="0" w:color="auto"/>
                                                <w:bottom w:val="none" w:sz="0" w:space="0" w:color="auto"/>
                                                <w:right w:val="none" w:sz="0" w:space="0" w:color="auto"/>
                                              </w:divBdr>
                                              <w:divsChild>
                                                <w:div w:id="142161331">
                                                  <w:marLeft w:val="0"/>
                                                  <w:marRight w:val="0"/>
                                                  <w:marTop w:val="0"/>
                                                  <w:marBottom w:val="0"/>
                                                  <w:divBdr>
                                                    <w:top w:val="none" w:sz="0" w:space="0" w:color="auto"/>
                                                    <w:left w:val="none" w:sz="0" w:space="0" w:color="auto"/>
                                                    <w:bottom w:val="none" w:sz="0" w:space="0" w:color="auto"/>
                                                    <w:right w:val="none" w:sz="0" w:space="0" w:color="auto"/>
                                                  </w:divBdr>
                                                  <w:divsChild>
                                                    <w:div w:id="1978756017">
                                                      <w:marLeft w:val="0"/>
                                                      <w:marRight w:val="0"/>
                                                      <w:marTop w:val="0"/>
                                                      <w:marBottom w:val="0"/>
                                                      <w:divBdr>
                                                        <w:top w:val="none" w:sz="0" w:space="0" w:color="auto"/>
                                                        <w:left w:val="none" w:sz="0" w:space="0" w:color="auto"/>
                                                        <w:bottom w:val="none" w:sz="0" w:space="0" w:color="auto"/>
                                                        <w:right w:val="none" w:sz="0" w:space="0" w:color="auto"/>
                                                      </w:divBdr>
                                                    </w:div>
                                                  </w:divsChild>
                                                </w:div>
                                                <w:div w:id="164445862">
                                                  <w:marLeft w:val="0"/>
                                                  <w:marRight w:val="0"/>
                                                  <w:marTop w:val="0"/>
                                                  <w:marBottom w:val="0"/>
                                                  <w:divBdr>
                                                    <w:top w:val="none" w:sz="0" w:space="0" w:color="auto"/>
                                                    <w:left w:val="none" w:sz="0" w:space="0" w:color="auto"/>
                                                    <w:bottom w:val="none" w:sz="0" w:space="0" w:color="auto"/>
                                                    <w:right w:val="none" w:sz="0" w:space="0" w:color="auto"/>
                                                  </w:divBdr>
                                                </w:div>
                                                <w:div w:id="1644967062">
                                                  <w:marLeft w:val="0"/>
                                                  <w:marRight w:val="0"/>
                                                  <w:marTop w:val="0"/>
                                                  <w:marBottom w:val="0"/>
                                                  <w:divBdr>
                                                    <w:top w:val="none" w:sz="0" w:space="0" w:color="auto"/>
                                                    <w:left w:val="none" w:sz="0" w:space="0" w:color="auto"/>
                                                    <w:bottom w:val="none" w:sz="0" w:space="0" w:color="auto"/>
                                                    <w:right w:val="none" w:sz="0" w:space="0" w:color="auto"/>
                                                  </w:divBdr>
                                                </w:div>
                                                <w:div w:id="1829706547">
                                                  <w:marLeft w:val="0"/>
                                                  <w:marRight w:val="0"/>
                                                  <w:marTop w:val="0"/>
                                                  <w:marBottom w:val="0"/>
                                                  <w:divBdr>
                                                    <w:top w:val="none" w:sz="0" w:space="0" w:color="auto"/>
                                                    <w:left w:val="none" w:sz="0" w:space="0" w:color="auto"/>
                                                    <w:bottom w:val="none" w:sz="0" w:space="0" w:color="auto"/>
                                                    <w:right w:val="none" w:sz="0" w:space="0" w:color="auto"/>
                                                  </w:divBdr>
                                                </w:div>
                                                <w:div w:id="18546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523832">
                              <w:marLeft w:val="0"/>
                              <w:marRight w:val="0"/>
                              <w:marTop w:val="0"/>
                              <w:marBottom w:val="0"/>
                              <w:divBdr>
                                <w:top w:val="none" w:sz="0" w:space="0" w:color="auto"/>
                                <w:left w:val="none" w:sz="0" w:space="0" w:color="auto"/>
                                <w:bottom w:val="none" w:sz="0" w:space="0" w:color="auto"/>
                                <w:right w:val="none" w:sz="0" w:space="0" w:color="auto"/>
                              </w:divBdr>
                              <w:divsChild>
                                <w:div w:id="1864635498">
                                  <w:marLeft w:val="0"/>
                                  <w:marRight w:val="0"/>
                                  <w:marTop w:val="0"/>
                                  <w:marBottom w:val="0"/>
                                  <w:divBdr>
                                    <w:top w:val="none" w:sz="0" w:space="0" w:color="auto"/>
                                    <w:left w:val="none" w:sz="0" w:space="0" w:color="auto"/>
                                    <w:bottom w:val="none" w:sz="0" w:space="0" w:color="auto"/>
                                    <w:right w:val="none" w:sz="0" w:space="0" w:color="auto"/>
                                  </w:divBdr>
                                  <w:divsChild>
                                    <w:div w:id="559942823">
                                      <w:marLeft w:val="0"/>
                                      <w:marRight w:val="0"/>
                                      <w:marTop w:val="0"/>
                                      <w:marBottom w:val="0"/>
                                      <w:divBdr>
                                        <w:top w:val="none" w:sz="0" w:space="0" w:color="auto"/>
                                        <w:left w:val="none" w:sz="0" w:space="0" w:color="auto"/>
                                        <w:bottom w:val="none" w:sz="0" w:space="0" w:color="auto"/>
                                        <w:right w:val="none" w:sz="0" w:space="0" w:color="auto"/>
                                      </w:divBdr>
                                      <w:divsChild>
                                        <w:div w:id="376903209">
                                          <w:marLeft w:val="0"/>
                                          <w:marRight w:val="0"/>
                                          <w:marTop w:val="0"/>
                                          <w:marBottom w:val="0"/>
                                          <w:divBdr>
                                            <w:top w:val="none" w:sz="0" w:space="0" w:color="auto"/>
                                            <w:left w:val="none" w:sz="0" w:space="0" w:color="auto"/>
                                            <w:bottom w:val="none" w:sz="0" w:space="0" w:color="auto"/>
                                            <w:right w:val="none" w:sz="0" w:space="0" w:color="auto"/>
                                          </w:divBdr>
                                          <w:divsChild>
                                            <w:div w:id="308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0063">
                              <w:marLeft w:val="0"/>
                              <w:marRight w:val="0"/>
                              <w:marTop w:val="0"/>
                              <w:marBottom w:val="0"/>
                              <w:divBdr>
                                <w:top w:val="none" w:sz="0" w:space="0" w:color="auto"/>
                                <w:left w:val="none" w:sz="0" w:space="0" w:color="auto"/>
                                <w:bottom w:val="none" w:sz="0" w:space="0" w:color="auto"/>
                                <w:right w:val="none" w:sz="0" w:space="0" w:color="auto"/>
                              </w:divBdr>
                              <w:divsChild>
                                <w:div w:id="602541125">
                                  <w:marLeft w:val="0"/>
                                  <w:marRight w:val="0"/>
                                  <w:marTop w:val="0"/>
                                  <w:marBottom w:val="0"/>
                                  <w:divBdr>
                                    <w:top w:val="none" w:sz="0" w:space="0" w:color="auto"/>
                                    <w:left w:val="none" w:sz="0" w:space="0" w:color="auto"/>
                                    <w:bottom w:val="none" w:sz="0" w:space="0" w:color="auto"/>
                                    <w:right w:val="none" w:sz="0" w:space="0" w:color="auto"/>
                                  </w:divBdr>
                                  <w:divsChild>
                                    <w:div w:id="84617653">
                                      <w:marLeft w:val="0"/>
                                      <w:marRight w:val="0"/>
                                      <w:marTop w:val="0"/>
                                      <w:marBottom w:val="0"/>
                                      <w:divBdr>
                                        <w:top w:val="none" w:sz="0" w:space="0" w:color="auto"/>
                                        <w:left w:val="none" w:sz="0" w:space="0" w:color="auto"/>
                                        <w:bottom w:val="none" w:sz="0" w:space="0" w:color="auto"/>
                                        <w:right w:val="none" w:sz="0" w:space="0" w:color="auto"/>
                                      </w:divBdr>
                                      <w:divsChild>
                                        <w:div w:id="921838975">
                                          <w:marLeft w:val="0"/>
                                          <w:marRight w:val="0"/>
                                          <w:marTop w:val="0"/>
                                          <w:marBottom w:val="0"/>
                                          <w:divBdr>
                                            <w:top w:val="none" w:sz="0" w:space="0" w:color="auto"/>
                                            <w:left w:val="none" w:sz="0" w:space="0" w:color="auto"/>
                                            <w:bottom w:val="none" w:sz="0" w:space="0" w:color="auto"/>
                                            <w:right w:val="none" w:sz="0" w:space="0" w:color="auto"/>
                                          </w:divBdr>
                                          <w:divsChild>
                                            <w:div w:id="47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97526">
                              <w:marLeft w:val="0"/>
                              <w:marRight w:val="0"/>
                              <w:marTop w:val="0"/>
                              <w:marBottom w:val="0"/>
                              <w:divBdr>
                                <w:top w:val="none" w:sz="0" w:space="0" w:color="auto"/>
                                <w:left w:val="none" w:sz="0" w:space="0" w:color="auto"/>
                                <w:bottom w:val="none" w:sz="0" w:space="0" w:color="auto"/>
                                <w:right w:val="none" w:sz="0" w:space="0" w:color="auto"/>
                              </w:divBdr>
                              <w:divsChild>
                                <w:div w:id="749735465">
                                  <w:marLeft w:val="0"/>
                                  <w:marRight w:val="0"/>
                                  <w:marTop w:val="0"/>
                                  <w:marBottom w:val="0"/>
                                  <w:divBdr>
                                    <w:top w:val="none" w:sz="0" w:space="0" w:color="auto"/>
                                    <w:left w:val="none" w:sz="0" w:space="0" w:color="auto"/>
                                    <w:bottom w:val="none" w:sz="0" w:space="0" w:color="auto"/>
                                    <w:right w:val="none" w:sz="0" w:space="0" w:color="auto"/>
                                  </w:divBdr>
                                  <w:divsChild>
                                    <w:div w:id="1841967095">
                                      <w:marLeft w:val="0"/>
                                      <w:marRight w:val="0"/>
                                      <w:marTop w:val="0"/>
                                      <w:marBottom w:val="0"/>
                                      <w:divBdr>
                                        <w:top w:val="none" w:sz="0" w:space="0" w:color="auto"/>
                                        <w:left w:val="none" w:sz="0" w:space="0" w:color="auto"/>
                                        <w:bottom w:val="none" w:sz="0" w:space="0" w:color="auto"/>
                                        <w:right w:val="none" w:sz="0" w:space="0" w:color="auto"/>
                                      </w:divBdr>
                                      <w:divsChild>
                                        <w:div w:id="2168066">
                                          <w:marLeft w:val="0"/>
                                          <w:marRight w:val="0"/>
                                          <w:marTop w:val="0"/>
                                          <w:marBottom w:val="0"/>
                                          <w:divBdr>
                                            <w:top w:val="none" w:sz="0" w:space="0" w:color="auto"/>
                                            <w:left w:val="none" w:sz="0" w:space="0" w:color="auto"/>
                                            <w:bottom w:val="none" w:sz="0" w:space="0" w:color="auto"/>
                                            <w:right w:val="none" w:sz="0" w:space="0" w:color="auto"/>
                                          </w:divBdr>
                                          <w:divsChild>
                                            <w:div w:id="12656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02366">
                              <w:marLeft w:val="0"/>
                              <w:marRight w:val="0"/>
                              <w:marTop w:val="0"/>
                              <w:marBottom w:val="0"/>
                              <w:divBdr>
                                <w:top w:val="none" w:sz="0" w:space="0" w:color="auto"/>
                                <w:left w:val="none" w:sz="0" w:space="0" w:color="auto"/>
                                <w:bottom w:val="none" w:sz="0" w:space="0" w:color="auto"/>
                                <w:right w:val="none" w:sz="0" w:space="0" w:color="auto"/>
                              </w:divBdr>
                              <w:divsChild>
                                <w:div w:id="127280376">
                                  <w:marLeft w:val="0"/>
                                  <w:marRight w:val="0"/>
                                  <w:marTop w:val="0"/>
                                  <w:marBottom w:val="0"/>
                                  <w:divBdr>
                                    <w:top w:val="none" w:sz="0" w:space="0" w:color="auto"/>
                                    <w:left w:val="none" w:sz="0" w:space="0" w:color="auto"/>
                                    <w:bottom w:val="none" w:sz="0" w:space="0" w:color="auto"/>
                                    <w:right w:val="none" w:sz="0" w:space="0" w:color="auto"/>
                                  </w:divBdr>
                                  <w:divsChild>
                                    <w:div w:id="600452172">
                                      <w:marLeft w:val="0"/>
                                      <w:marRight w:val="0"/>
                                      <w:marTop w:val="0"/>
                                      <w:marBottom w:val="0"/>
                                      <w:divBdr>
                                        <w:top w:val="none" w:sz="0" w:space="0" w:color="auto"/>
                                        <w:left w:val="none" w:sz="0" w:space="0" w:color="auto"/>
                                        <w:bottom w:val="none" w:sz="0" w:space="0" w:color="auto"/>
                                        <w:right w:val="none" w:sz="0" w:space="0" w:color="auto"/>
                                      </w:divBdr>
                                      <w:divsChild>
                                        <w:div w:id="2098860414">
                                          <w:marLeft w:val="0"/>
                                          <w:marRight w:val="0"/>
                                          <w:marTop w:val="0"/>
                                          <w:marBottom w:val="0"/>
                                          <w:divBdr>
                                            <w:top w:val="none" w:sz="0" w:space="0" w:color="auto"/>
                                            <w:left w:val="none" w:sz="0" w:space="0" w:color="auto"/>
                                            <w:bottom w:val="none" w:sz="0" w:space="0" w:color="auto"/>
                                            <w:right w:val="none" w:sz="0" w:space="0" w:color="auto"/>
                                          </w:divBdr>
                                          <w:divsChild>
                                            <w:div w:id="5349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90469">
                              <w:marLeft w:val="0"/>
                              <w:marRight w:val="0"/>
                              <w:marTop w:val="0"/>
                              <w:marBottom w:val="0"/>
                              <w:divBdr>
                                <w:top w:val="none" w:sz="0" w:space="0" w:color="auto"/>
                                <w:left w:val="none" w:sz="0" w:space="0" w:color="auto"/>
                                <w:bottom w:val="none" w:sz="0" w:space="0" w:color="auto"/>
                                <w:right w:val="none" w:sz="0" w:space="0" w:color="auto"/>
                              </w:divBdr>
                              <w:divsChild>
                                <w:div w:id="1484859023">
                                  <w:marLeft w:val="0"/>
                                  <w:marRight w:val="0"/>
                                  <w:marTop w:val="0"/>
                                  <w:marBottom w:val="0"/>
                                  <w:divBdr>
                                    <w:top w:val="none" w:sz="0" w:space="0" w:color="auto"/>
                                    <w:left w:val="none" w:sz="0" w:space="0" w:color="auto"/>
                                    <w:bottom w:val="none" w:sz="0" w:space="0" w:color="auto"/>
                                    <w:right w:val="none" w:sz="0" w:space="0" w:color="auto"/>
                                  </w:divBdr>
                                  <w:divsChild>
                                    <w:div w:id="160393019">
                                      <w:marLeft w:val="0"/>
                                      <w:marRight w:val="0"/>
                                      <w:marTop w:val="0"/>
                                      <w:marBottom w:val="0"/>
                                      <w:divBdr>
                                        <w:top w:val="none" w:sz="0" w:space="0" w:color="auto"/>
                                        <w:left w:val="none" w:sz="0" w:space="0" w:color="auto"/>
                                        <w:bottom w:val="none" w:sz="0" w:space="0" w:color="auto"/>
                                        <w:right w:val="none" w:sz="0" w:space="0" w:color="auto"/>
                                      </w:divBdr>
                                      <w:divsChild>
                                        <w:div w:id="1139034864">
                                          <w:marLeft w:val="0"/>
                                          <w:marRight w:val="0"/>
                                          <w:marTop w:val="0"/>
                                          <w:marBottom w:val="0"/>
                                          <w:divBdr>
                                            <w:top w:val="none" w:sz="0" w:space="0" w:color="auto"/>
                                            <w:left w:val="none" w:sz="0" w:space="0" w:color="auto"/>
                                            <w:bottom w:val="none" w:sz="0" w:space="0" w:color="auto"/>
                                            <w:right w:val="none" w:sz="0" w:space="0" w:color="auto"/>
                                          </w:divBdr>
                                          <w:divsChild>
                                            <w:div w:id="2083717582">
                                              <w:marLeft w:val="0"/>
                                              <w:marRight w:val="0"/>
                                              <w:marTop w:val="0"/>
                                              <w:marBottom w:val="0"/>
                                              <w:divBdr>
                                                <w:top w:val="none" w:sz="0" w:space="0" w:color="auto"/>
                                                <w:left w:val="none" w:sz="0" w:space="0" w:color="auto"/>
                                                <w:bottom w:val="none" w:sz="0" w:space="0" w:color="auto"/>
                                                <w:right w:val="none" w:sz="0" w:space="0" w:color="auto"/>
                                              </w:divBdr>
                                              <w:divsChild>
                                                <w:div w:id="908341610">
                                                  <w:marLeft w:val="0"/>
                                                  <w:marRight w:val="0"/>
                                                  <w:marTop w:val="0"/>
                                                  <w:marBottom w:val="0"/>
                                                  <w:divBdr>
                                                    <w:top w:val="none" w:sz="0" w:space="0" w:color="auto"/>
                                                    <w:left w:val="none" w:sz="0" w:space="0" w:color="auto"/>
                                                    <w:bottom w:val="none" w:sz="0" w:space="0" w:color="auto"/>
                                                    <w:right w:val="none" w:sz="0" w:space="0" w:color="auto"/>
                                                  </w:divBdr>
                                                </w:div>
                                                <w:div w:id="911699737">
                                                  <w:marLeft w:val="0"/>
                                                  <w:marRight w:val="0"/>
                                                  <w:marTop w:val="0"/>
                                                  <w:marBottom w:val="0"/>
                                                  <w:divBdr>
                                                    <w:top w:val="none" w:sz="0" w:space="0" w:color="auto"/>
                                                    <w:left w:val="none" w:sz="0" w:space="0" w:color="auto"/>
                                                    <w:bottom w:val="none" w:sz="0" w:space="0" w:color="auto"/>
                                                    <w:right w:val="none" w:sz="0" w:space="0" w:color="auto"/>
                                                  </w:divBdr>
                                                </w:div>
                                                <w:div w:id="978994909">
                                                  <w:marLeft w:val="0"/>
                                                  <w:marRight w:val="0"/>
                                                  <w:marTop w:val="0"/>
                                                  <w:marBottom w:val="0"/>
                                                  <w:divBdr>
                                                    <w:top w:val="none" w:sz="0" w:space="0" w:color="auto"/>
                                                    <w:left w:val="none" w:sz="0" w:space="0" w:color="auto"/>
                                                    <w:bottom w:val="none" w:sz="0" w:space="0" w:color="auto"/>
                                                    <w:right w:val="none" w:sz="0" w:space="0" w:color="auto"/>
                                                  </w:divBdr>
                                                </w:div>
                                                <w:div w:id="992177550">
                                                  <w:marLeft w:val="0"/>
                                                  <w:marRight w:val="0"/>
                                                  <w:marTop w:val="0"/>
                                                  <w:marBottom w:val="0"/>
                                                  <w:divBdr>
                                                    <w:top w:val="none" w:sz="0" w:space="0" w:color="auto"/>
                                                    <w:left w:val="none" w:sz="0" w:space="0" w:color="auto"/>
                                                    <w:bottom w:val="none" w:sz="0" w:space="0" w:color="auto"/>
                                                    <w:right w:val="none" w:sz="0" w:space="0" w:color="auto"/>
                                                  </w:divBdr>
                                                </w:div>
                                                <w:div w:id="20964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500965">
                              <w:marLeft w:val="0"/>
                              <w:marRight w:val="0"/>
                              <w:marTop w:val="0"/>
                              <w:marBottom w:val="0"/>
                              <w:divBdr>
                                <w:top w:val="none" w:sz="0" w:space="0" w:color="auto"/>
                                <w:left w:val="none" w:sz="0" w:space="0" w:color="auto"/>
                                <w:bottom w:val="none" w:sz="0" w:space="0" w:color="auto"/>
                                <w:right w:val="none" w:sz="0" w:space="0" w:color="auto"/>
                              </w:divBdr>
                              <w:divsChild>
                                <w:div w:id="389427199">
                                  <w:marLeft w:val="0"/>
                                  <w:marRight w:val="0"/>
                                  <w:marTop w:val="0"/>
                                  <w:marBottom w:val="0"/>
                                  <w:divBdr>
                                    <w:top w:val="none" w:sz="0" w:space="0" w:color="auto"/>
                                    <w:left w:val="none" w:sz="0" w:space="0" w:color="auto"/>
                                    <w:bottom w:val="none" w:sz="0" w:space="0" w:color="auto"/>
                                    <w:right w:val="none" w:sz="0" w:space="0" w:color="auto"/>
                                  </w:divBdr>
                                  <w:divsChild>
                                    <w:div w:id="2012636097">
                                      <w:marLeft w:val="0"/>
                                      <w:marRight w:val="0"/>
                                      <w:marTop w:val="0"/>
                                      <w:marBottom w:val="0"/>
                                      <w:divBdr>
                                        <w:top w:val="none" w:sz="0" w:space="0" w:color="auto"/>
                                        <w:left w:val="none" w:sz="0" w:space="0" w:color="auto"/>
                                        <w:bottom w:val="none" w:sz="0" w:space="0" w:color="auto"/>
                                        <w:right w:val="none" w:sz="0" w:space="0" w:color="auto"/>
                                      </w:divBdr>
                                      <w:divsChild>
                                        <w:div w:id="1226263547">
                                          <w:marLeft w:val="0"/>
                                          <w:marRight w:val="0"/>
                                          <w:marTop w:val="0"/>
                                          <w:marBottom w:val="0"/>
                                          <w:divBdr>
                                            <w:top w:val="none" w:sz="0" w:space="0" w:color="auto"/>
                                            <w:left w:val="none" w:sz="0" w:space="0" w:color="auto"/>
                                            <w:bottom w:val="none" w:sz="0" w:space="0" w:color="auto"/>
                                            <w:right w:val="none" w:sz="0" w:space="0" w:color="auto"/>
                                          </w:divBdr>
                                          <w:divsChild>
                                            <w:div w:id="17610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52283">
                              <w:marLeft w:val="0"/>
                              <w:marRight w:val="0"/>
                              <w:marTop w:val="0"/>
                              <w:marBottom w:val="0"/>
                              <w:divBdr>
                                <w:top w:val="none" w:sz="0" w:space="0" w:color="auto"/>
                                <w:left w:val="none" w:sz="0" w:space="0" w:color="auto"/>
                                <w:bottom w:val="none" w:sz="0" w:space="0" w:color="auto"/>
                                <w:right w:val="none" w:sz="0" w:space="0" w:color="auto"/>
                              </w:divBdr>
                              <w:divsChild>
                                <w:div w:id="652609195">
                                  <w:marLeft w:val="0"/>
                                  <w:marRight w:val="0"/>
                                  <w:marTop w:val="0"/>
                                  <w:marBottom w:val="0"/>
                                  <w:divBdr>
                                    <w:top w:val="none" w:sz="0" w:space="0" w:color="auto"/>
                                    <w:left w:val="none" w:sz="0" w:space="0" w:color="auto"/>
                                    <w:bottom w:val="none" w:sz="0" w:space="0" w:color="auto"/>
                                    <w:right w:val="none" w:sz="0" w:space="0" w:color="auto"/>
                                  </w:divBdr>
                                  <w:divsChild>
                                    <w:div w:id="1058437339">
                                      <w:marLeft w:val="0"/>
                                      <w:marRight w:val="0"/>
                                      <w:marTop w:val="0"/>
                                      <w:marBottom w:val="0"/>
                                      <w:divBdr>
                                        <w:top w:val="none" w:sz="0" w:space="0" w:color="auto"/>
                                        <w:left w:val="none" w:sz="0" w:space="0" w:color="auto"/>
                                        <w:bottom w:val="none" w:sz="0" w:space="0" w:color="auto"/>
                                        <w:right w:val="none" w:sz="0" w:space="0" w:color="auto"/>
                                      </w:divBdr>
                                      <w:divsChild>
                                        <w:div w:id="771783063">
                                          <w:marLeft w:val="0"/>
                                          <w:marRight w:val="0"/>
                                          <w:marTop w:val="0"/>
                                          <w:marBottom w:val="0"/>
                                          <w:divBdr>
                                            <w:top w:val="none" w:sz="0" w:space="0" w:color="auto"/>
                                            <w:left w:val="none" w:sz="0" w:space="0" w:color="auto"/>
                                            <w:bottom w:val="none" w:sz="0" w:space="0" w:color="auto"/>
                                            <w:right w:val="none" w:sz="0" w:space="0" w:color="auto"/>
                                          </w:divBdr>
                                          <w:divsChild>
                                            <w:div w:id="1233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2279">
                              <w:marLeft w:val="0"/>
                              <w:marRight w:val="0"/>
                              <w:marTop w:val="0"/>
                              <w:marBottom w:val="0"/>
                              <w:divBdr>
                                <w:top w:val="none" w:sz="0" w:space="0" w:color="auto"/>
                                <w:left w:val="none" w:sz="0" w:space="0" w:color="auto"/>
                                <w:bottom w:val="none" w:sz="0" w:space="0" w:color="auto"/>
                                <w:right w:val="none" w:sz="0" w:space="0" w:color="auto"/>
                              </w:divBdr>
                              <w:divsChild>
                                <w:div w:id="1079400123">
                                  <w:marLeft w:val="0"/>
                                  <w:marRight w:val="0"/>
                                  <w:marTop w:val="0"/>
                                  <w:marBottom w:val="0"/>
                                  <w:divBdr>
                                    <w:top w:val="none" w:sz="0" w:space="0" w:color="auto"/>
                                    <w:left w:val="none" w:sz="0" w:space="0" w:color="auto"/>
                                    <w:bottom w:val="none" w:sz="0" w:space="0" w:color="auto"/>
                                    <w:right w:val="none" w:sz="0" w:space="0" w:color="auto"/>
                                  </w:divBdr>
                                  <w:divsChild>
                                    <w:div w:id="589116801">
                                      <w:marLeft w:val="0"/>
                                      <w:marRight w:val="0"/>
                                      <w:marTop w:val="0"/>
                                      <w:marBottom w:val="0"/>
                                      <w:divBdr>
                                        <w:top w:val="none" w:sz="0" w:space="0" w:color="auto"/>
                                        <w:left w:val="none" w:sz="0" w:space="0" w:color="auto"/>
                                        <w:bottom w:val="none" w:sz="0" w:space="0" w:color="auto"/>
                                        <w:right w:val="none" w:sz="0" w:space="0" w:color="auto"/>
                                      </w:divBdr>
                                      <w:divsChild>
                                        <w:div w:id="2146972806">
                                          <w:marLeft w:val="0"/>
                                          <w:marRight w:val="0"/>
                                          <w:marTop w:val="0"/>
                                          <w:marBottom w:val="0"/>
                                          <w:divBdr>
                                            <w:top w:val="none" w:sz="0" w:space="0" w:color="auto"/>
                                            <w:left w:val="none" w:sz="0" w:space="0" w:color="auto"/>
                                            <w:bottom w:val="none" w:sz="0" w:space="0" w:color="auto"/>
                                            <w:right w:val="none" w:sz="0" w:space="0" w:color="auto"/>
                                          </w:divBdr>
                                          <w:divsChild>
                                            <w:div w:id="694884073">
                                              <w:marLeft w:val="0"/>
                                              <w:marRight w:val="0"/>
                                              <w:marTop w:val="0"/>
                                              <w:marBottom w:val="0"/>
                                              <w:divBdr>
                                                <w:top w:val="none" w:sz="0" w:space="0" w:color="auto"/>
                                                <w:left w:val="none" w:sz="0" w:space="0" w:color="auto"/>
                                                <w:bottom w:val="none" w:sz="0" w:space="0" w:color="auto"/>
                                                <w:right w:val="none" w:sz="0" w:space="0" w:color="auto"/>
                                              </w:divBdr>
                                              <w:divsChild>
                                                <w:div w:id="552813926">
                                                  <w:marLeft w:val="0"/>
                                                  <w:marRight w:val="0"/>
                                                  <w:marTop w:val="0"/>
                                                  <w:marBottom w:val="0"/>
                                                  <w:divBdr>
                                                    <w:top w:val="none" w:sz="0" w:space="0" w:color="auto"/>
                                                    <w:left w:val="none" w:sz="0" w:space="0" w:color="auto"/>
                                                    <w:bottom w:val="none" w:sz="0" w:space="0" w:color="auto"/>
                                                    <w:right w:val="none" w:sz="0" w:space="0" w:color="auto"/>
                                                  </w:divBdr>
                                                </w:div>
                                                <w:div w:id="1314915763">
                                                  <w:marLeft w:val="0"/>
                                                  <w:marRight w:val="0"/>
                                                  <w:marTop w:val="0"/>
                                                  <w:marBottom w:val="0"/>
                                                  <w:divBdr>
                                                    <w:top w:val="none" w:sz="0" w:space="0" w:color="auto"/>
                                                    <w:left w:val="none" w:sz="0" w:space="0" w:color="auto"/>
                                                    <w:bottom w:val="none" w:sz="0" w:space="0" w:color="auto"/>
                                                    <w:right w:val="none" w:sz="0" w:space="0" w:color="auto"/>
                                                  </w:divBdr>
                                                </w:div>
                                                <w:div w:id="1360617871">
                                                  <w:marLeft w:val="0"/>
                                                  <w:marRight w:val="0"/>
                                                  <w:marTop w:val="0"/>
                                                  <w:marBottom w:val="0"/>
                                                  <w:divBdr>
                                                    <w:top w:val="none" w:sz="0" w:space="0" w:color="auto"/>
                                                    <w:left w:val="none" w:sz="0" w:space="0" w:color="auto"/>
                                                    <w:bottom w:val="none" w:sz="0" w:space="0" w:color="auto"/>
                                                    <w:right w:val="none" w:sz="0" w:space="0" w:color="auto"/>
                                                  </w:divBdr>
                                                  <w:divsChild>
                                                    <w:div w:id="2114781573">
                                                      <w:marLeft w:val="0"/>
                                                      <w:marRight w:val="0"/>
                                                      <w:marTop w:val="0"/>
                                                      <w:marBottom w:val="0"/>
                                                      <w:divBdr>
                                                        <w:top w:val="none" w:sz="0" w:space="0" w:color="auto"/>
                                                        <w:left w:val="none" w:sz="0" w:space="0" w:color="auto"/>
                                                        <w:bottom w:val="none" w:sz="0" w:space="0" w:color="auto"/>
                                                        <w:right w:val="none" w:sz="0" w:space="0" w:color="auto"/>
                                                      </w:divBdr>
                                                    </w:div>
                                                  </w:divsChild>
                                                </w:div>
                                                <w:div w:id="1521357718">
                                                  <w:marLeft w:val="0"/>
                                                  <w:marRight w:val="0"/>
                                                  <w:marTop w:val="0"/>
                                                  <w:marBottom w:val="0"/>
                                                  <w:divBdr>
                                                    <w:top w:val="none" w:sz="0" w:space="0" w:color="auto"/>
                                                    <w:left w:val="none" w:sz="0" w:space="0" w:color="auto"/>
                                                    <w:bottom w:val="none" w:sz="0" w:space="0" w:color="auto"/>
                                                    <w:right w:val="none" w:sz="0" w:space="0" w:color="auto"/>
                                                  </w:divBdr>
                                                </w:div>
                                                <w:div w:id="1791126945">
                                                  <w:marLeft w:val="0"/>
                                                  <w:marRight w:val="0"/>
                                                  <w:marTop w:val="0"/>
                                                  <w:marBottom w:val="0"/>
                                                  <w:divBdr>
                                                    <w:top w:val="none" w:sz="0" w:space="0" w:color="auto"/>
                                                    <w:left w:val="none" w:sz="0" w:space="0" w:color="auto"/>
                                                    <w:bottom w:val="none" w:sz="0" w:space="0" w:color="auto"/>
                                                    <w:right w:val="none" w:sz="0" w:space="0" w:color="auto"/>
                                                  </w:divBdr>
                                                </w:div>
                                                <w:div w:id="18982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88768">
                              <w:marLeft w:val="0"/>
                              <w:marRight w:val="0"/>
                              <w:marTop w:val="0"/>
                              <w:marBottom w:val="0"/>
                              <w:divBdr>
                                <w:top w:val="none" w:sz="0" w:space="0" w:color="auto"/>
                                <w:left w:val="none" w:sz="0" w:space="0" w:color="auto"/>
                                <w:bottom w:val="none" w:sz="0" w:space="0" w:color="auto"/>
                                <w:right w:val="none" w:sz="0" w:space="0" w:color="auto"/>
                              </w:divBdr>
                              <w:divsChild>
                                <w:div w:id="1095246123">
                                  <w:marLeft w:val="0"/>
                                  <w:marRight w:val="0"/>
                                  <w:marTop w:val="0"/>
                                  <w:marBottom w:val="0"/>
                                  <w:divBdr>
                                    <w:top w:val="none" w:sz="0" w:space="0" w:color="auto"/>
                                    <w:left w:val="none" w:sz="0" w:space="0" w:color="auto"/>
                                    <w:bottom w:val="none" w:sz="0" w:space="0" w:color="auto"/>
                                    <w:right w:val="none" w:sz="0" w:space="0" w:color="auto"/>
                                  </w:divBdr>
                                  <w:divsChild>
                                    <w:div w:id="1639451237">
                                      <w:marLeft w:val="0"/>
                                      <w:marRight w:val="0"/>
                                      <w:marTop w:val="0"/>
                                      <w:marBottom w:val="0"/>
                                      <w:divBdr>
                                        <w:top w:val="none" w:sz="0" w:space="0" w:color="auto"/>
                                        <w:left w:val="none" w:sz="0" w:space="0" w:color="auto"/>
                                        <w:bottom w:val="none" w:sz="0" w:space="0" w:color="auto"/>
                                        <w:right w:val="none" w:sz="0" w:space="0" w:color="auto"/>
                                      </w:divBdr>
                                      <w:divsChild>
                                        <w:div w:id="2027712969">
                                          <w:marLeft w:val="0"/>
                                          <w:marRight w:val="0"/>
                                          <w:marTop w:val="0"/>
                                          <w:marBottom w:val="0"/>
                                          <w:divBdr>
                                            <w:top w:val="none" w:sz="0" w:space="0" w:color="auto"/>
                                            <w:left w:val="none" w:sz="0" w:space="0" w:color="auto"/>
                                            <w:bottom w:val="none" w:sz="0" w:space="0" w:color="auto"/>
                                            <w:right w:val="none" w:sz="0" w:space="0" w:color="auto"/>
                                          </w:divBdr>
                                          <w:divsChild>
                                            <w:div w:id="17092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4078960">
      <w:bodyDiv w:val="1"/>
      <w:marLeft w:val="0"/>
      <w:marRight w:val="0"/>
      <w:marTop w:val="0"/>
      <w:marBottom w:val="0"/>
      <w:divBdr>
        <w:top w:val="none" w:sz="0" w:space="0" w:color="auto"/>
        <w:left w:val="none" w:sz="0" w:space="0" w:color="auto"/>
        <w:bottom w:val="none" w:sz="0" w:space="0" w:color="auto"/>
        <w:right w:val="none" w:sz="0" w:space="0" w:color="auto"/>
      </w:divBdr>
    </w:div>
    <w:div w:id="1143159708">
      <w:bodyDiv w:val="1"/>
      <w:marLeft w:val="0"/>
      <w:marRight w:val="0"/>
      <w:marTop w:val="0"/>
      <w:marBottom w:val="0"/>
      <w:divBdr>
        <w:top w:val="none" w:sz="0" w:space="0" w:color="auto"/>
        <w:left w:val="none" w:sz="0" w:space="0" w:color="auto"/>
        <w:bottom w:val="none" w:sz="0" w:space="0" w:color="auto"/>
        <w:right w:val="none" w:sz="0" w:space="0" w:color="auto"/>
      </w:divBdr>
    </w:div>
    <w:div w:id="1164129372">
      <w:bodyDiv w:val="1"/>
      <w:marLeft w:val="0"/>
      <w:marRight w:val="0"/>
      <w:marTop w:val="0"/>
      <w:marBottom w:val="0"/>
      <w:divBdr>
        <w:top w:val="none" w:sz="0" w:space="0" w:color="auto"/>
        <w:left w:val="none" w:sz="0" w:space="0" w:color="auto"/>
        <w:bottom w:val="none" w:sz="0" w:space="0" w:color="auto"/>
        <w:right w:val="none" w:sz="0" w:space="0" w:color="auto"/>
      </w:divBdr>
    </w:div>
    <w:div w:id="1178009751">
      <w:bodyDiv w:val="1"/>
      <w:marLeft w:val="0"/>
      <w:marRight w:val="0"/>
      <w:marTop w:val="0"/>
      <w:marBottom w:val="0"/>
      <w:divBdr>
        <w:top w:val="none" w:sz="0" w:space="0" w:color="auto"/>
        <w:left w:val="none" w:sz="0" w:space="0" w:color="auto"/>
        <w:bottom w:val="none" w:sz="0" w:space="0" w:color="auto"/>
        <w:right w:val="none" w:sz="0" w:space="0" w:color="auto"/>
      </w:divBdr>
    </w:div>
    <w:div w:id="1178886328">
      <w:bodyDiv w:val="1"/>
      <w:marLeft w:val="0"/>
      <w:marRight w:val="0"/>
      <w:marTop w:val="0"/>
      <w:marBottom w:val="0"/>
      <w:divBdr>
        <w:top w:val="none" w:sz="0" w:space="0" w:color="auto"/>
        <w:left w:val="none" w:sz="0" w:space="0" w:color="auto"/>
        <w:bottom w:val="none" w:sz="0" w:space="0" w:color="auto"/>
        <w:right w:val="none" w:sz="0" w:space="0" w:color="auto"/>
      </w:divBdr>
    </w:div>
    <w:div w:id="1181165728">
      <w:bodyDiv w:val="1"/>
      <w:marLeft w:val="0"/>
      <w:marRight w:val="0"/>
      <w:marTop w:val="0"/>
      <w:marBottom w:val="0"/>
      <w:divBdr>
        <w:top w:val="none" w:sz="0" w:space="0" w:color="auto"/>
        <w:left w:val="none" w:sz="0" w:space="0" w:color="auto"/>
        <w:bottom w:val="none" w:sz="0" w:space="0" w:color="auto"/>
        <w:right w:val="none" w:sz="0" w:space="0" w:color="auto"/>
      </w:divBdr>
    </w:div>
    <w:div w:id="1190029503">
      <w:bodyDiv w:val="1"/>
      <w:marLeft w:val="0"/>
      <w:marRight w:val="0"/>
      <w:marTop w:val="0"/>
      <w:marBottom w:val="0"/>
      <w:divBdr>
        <w:top w:val="none" w:sz="0" w:space="0" w:color="auto"/>
        <w:left w:val="none" w:sz="0" w:space="0" w:color="auto"/>
        <w:bottom w:val="none" w:sz="0" w:space="0" w:color="auto"/>
        <w:right w:val="none" w:sz="0" w:space="0" w:color="auto"/>
      </w:divBdr>
    </w:div>
    <w:div w:id="1254781495">
      <w:bodyDiv w:val="1"/>
      <w:marLeft w:val="0"/>
      <w:marRight w:val="0"/>
      <w:marTop w:val="0"/>
      <w:marBottom w:val="0"/>
      <w:divBdr>
        <w:top w:val="none" w:sz="0" w:space="0" w:color="auto"/>
        <w:left w:val="none" w:sz="0" w:space="0" w:color="auto"/>
        <w:bottom w:val="none" w:sz="0" w:space="0" w:color="auto"/>
        <w:right w:val="none" w:sz="0" w:space="0" w:color="auto"/>
      </w:divBdr>
    </w:div>
    <w:div w:id="1268855673">
      <w:bodyDiv w:val="1"/>
      <w:marLeft w:val="0"/>
      <w:marRight w:val="0"/>
      <w:marTop w:val="0"/>
      <w:marBottom w:val="0"/>
      <w:divBdr>
        <w:top w:val="none" w:sz="0" w:space="0" w:color="auto"/>
        <w:left w:val="none" w:sz="0" w:space="0" w:color="auto"/>
        <w:bottom w:val="none" w:sz="0" w:space="0" w:color="auto"/>
        <w:right w:val="none" w:sz="0" w:space="0" w:color="auto"/>
      </w:divBdr>
      <w:divsChild>
        <w:div w:id="521671823">
          <w:marLeft w:val="0"/>
          <w:marRight w:val="0"/>
          <w:marTop w:val="0"/>
          <w:marBottom w:val="0"/>
          <w:divBdr>
            <w:top w:val="none" w:sz="0" w:space="0" w:color="auto"/>
            <w:left w:val="none" w:sz="0" w:space="0" w:color="auto"/>
            <w:bottom w:val="none" w:sz="0" w:space="0" w:color="auto"/>
            <w:right w:val="none" w:sz="0" w:space="0" w:color="auto"/>
          </w:divBdr>
        </w:div>
      </w:divsChild>
    </w:div>
    <w:div w:id="1319771637">
      <w:bodyDiv w:val="1"/>
      <w:marLeft w:val="0"/>
      <w:marRight w:val="0"/>
      <w:marTop w:val="0"/>
      <w:marBottom w:val="0"/>
      <w:divBdr>
        <w:top w:val="none" w:sz="0" w:space="0" w:color="auto"/>
        <w:left w:val="none" w:sz="0" w:space="0" w:color="auto"/>
        <w:bottom w:val="none" w:sz="0" w:space="0" w:color="auto"/>
        <w:right w:val="none" w:sz="0" w:space="0" w:color="auto"/>
      </w:divBdr>
      <w:divsChild>
        <w:div w:id="113328146">
          <w:marLeft w:val="0"/>
          <w:marRight w:val="0"/>
          <w:marTop w:val="0"/>
          <w:marBottom w:val="0"/>
          <w:divBdr>
            <w:top w:val="single" w:sz="2" w:space="0" w:color="E5E7EB"/>
            <w:left w:val="single" w:sz="2" w:space="0" w:color="E5E7EB"/>
            <w:bottom w:val="single" w:sz="2" w:space="0" w:color="E5E7EB"/>
            <w:right w:val="single" w:sz="2" w:space="0" w:color="E5E7EB"/>
          </w:divBdr>
        </w:div>
        <w:div w:id="201677691">
          <w:marLeft w:val="0"/>
          <w:marRight w:val="0"/>
          <w:marTop w:val="0"/>
          <w:marBottom w:val="0"/>
          <w:divBdr>
            <w:top w:val="single" w:sz="2" w:space="0" w:color="E5E7EB"/>
            <w:left w:val="single" w:sz="2" w:space="0" w:color="E5E7EB"/>
            <w:bottom w:val="single" w:sz="2" w:space="0" w:color="E5E7EB"/>
            <w:right w:val="single" w:sz="2" w:space="0" w:color="E5E7EB"/>
          </w:divBdr>
        </w:div>
        <w:div w:id="859466931">
          <w:marLeft w:val="0"/>
          <w:marRight w:val="0"/>
          <w:marTop w:val="0"/>
          <w:marBottom w:val="0"/>
          <w:divBdr>
            <w:top w:val="single" w:sz="2" w:space="0" w:color="E5E7EB"/>
            <w:left w:val="single" w:sz="2" w:space="0" w:color="E5E7EB"/>
            <w:bottom w:val="single" w:sz="2" w:space="0" w:color="E5E7EB"/>
            <w:right w:val="single" w:sz="2" w:space="0" w:color="E5E7EB"/>
          </w:divBdr>
        </w:div>
        <w:div w:id="954869181">
          <w:marLeft w:val="0"/>
          <w:marRight w:val="0"/>
          <w:marTop w:val="0"/>
          <w:marBottom w:val="0"/>
          <w:divBdr>
            <w:top w:val="single" w:sz="2" w:space="0" w:color="E5E7EB"/>
            <w:left w:val="single" w:sz="2" w:space="0" w:color="E5E7EB"/>
            <w:bottom w:val="single" w:sz="2" w:space="0" w:color="E5E7EB"/>
            <w:right w:val="single" w:sz="2" w:space="0" w:color="E5E7EB"/>
          </w:divBdr>
        </w:div>
        <w:div w:id="1162503248">
          <w:marLeft w:val="0"/>
          <w:marRight w:val="0"/>
          <w:marTop w:val="0"/>
          <w:marBottom w:val="0"/>
          <w:divBdr>
            <w:top w:val="single" w:sz="2" w:space="0" w:color="E5E7EB"/>
            <w:left w:val="single" w:sz="2" w:space="0" w:color="E5E7EB"/>
            <w:bottom w:val="single" w:sz="2" w:space="0" w:color="E5E7EB"/>
            <w:right w:val="single" w:sz="2" w:space="0" w:color="E5E7EB"/>
          </w:divBdr>
        </w:div>
        <w:div w:id="1313563948">
          <w:marLeft w:val="0"/>
          <w:marRight w:val="0"/>
          <w:marTop w:val="0"/>
          <w:marBottom w:val="0"/>
          <w:divBdr>
            <w:top w:val="single" w:sz="2" w:space="0" w:color="E5E7EB"/>
            <w:left w:val="single" w:sz="2" w:space="0" w:color="E5E7EB"/>
            <w:bottom w:val="single" w:sz="2" w:space="0" w:color="E5E7EB"/>
            <w:right w:val="single" w:sz="2" w:space="0" w:color="E5E7EB"/>
          </w:divBdr>
          <w:divsChild>
            <w:div w:id="2028827232">
              <w:marLeft w:val="0"/>
              <w:marRight w:val="0"/>
              <w:marTop w:val="0"/>
              <w:marBottom w:val="0"/>
              <w:divBdr>
                <w:top w:val="single" w:sz="2" w:space="0" w:color="E5E7EB"/>
                <w:left w:val="single" w:sz="2" w:space="0" w:color="E5E7EB"/>
                <w:bottom w:val="single" w:sz="2" w:space="0" w:color="E5E7EB"/>
                <w:right w:val="single" w:sz="2" w:space="0" w:color="E5E7EB"/>
              </w:divBdr>
            </w:div>
            <w:div w:id="2144998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0544745">
          <w:marLeft w:val="0"/>
          <w:marRight w:val="0"/>
          <w:marTop w:val="0"/>
          <w:marBottom w:val="0"/>
          <w:divBdr>
            <w:top w:val="single" w:sz="2" w:space="0" w:color="E5E7EB"/>
            <w:left w:val="single" w:sz="2" w:space="0" w:color="E5E7EB"/>
            <w:bottom w:val="single" w:sz="2" w:space="0" w:color="E5E7EB"/>
            <w:right w:val="single" w:sz="2" w:space="0" w:color="E5E7EB"/>
          </w:divBdr>
        </w:div>
        <w:div w:id="1801534848">
          <w:marLeft w:val="0"/>
          <w:marRight w:val="0"/>
          <w:marTop w:val="0"/>
          <w:marBottom w:val="0"/>
          <w:divBdr>
            <w:top w:val="single" w:sz="2" w:space="0" w:color="E5E7EB"/>
            <w:left w:val="single" w:sz="2" w:space="0" w:color="E5E7EB"/>
            <w:bottom w:val="single" w:sz="2" w:space="0" w:color="E5E7EB"/>
            <w:right w:val="single" w:sz="2" w:space="0" w:color="E5E7EB"/>
          </w:divBdr>
          <w:divsChild>
            <w:div w:id="698631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292525">
      <w:bodyDiv w:val="1"/>
      <w:marLeft w:val="0"/>
      <w:marRight w:val="0"/>
      <w:marTop w:val="0"/>
      <w:marBottom w:val="0"/>
      <w:divBdr>
        <w:top w:val="none" w:sz="0" w:space="0" w:color="auto"/>
        <w:left w:val="none" w:sz="0" w:space="0" w:color="auto"/>
        <w:bottom w:val="none" w:sz="0" w:space="0" w:color="auto"/>
        <w:right w:val="none" w:sz="0" w:space="0" w:color="auto"/>
      </w:divBdr>
    </w:div>
    <w:div w:id="1349869920">
      <w:bodyDiv w:val="1"/>
      <w:marLeft w:val="0"/>
      <w:marRight w:val="0"/>
      <w:marTop w:val="0"/>
      <w:marBottom w:val="0"/>
      <w:divBdr>
        <w:top w:val="none" w:sz="0" w:space="0" w:color="auto"/>
        <w:left w:val="none" w:sz="0" w:space="0" w:color="auto"/>
        <w:bottom w:val="none" w:sz="0" w:space="0" w:color="auto"/>
        <w:right w:val="none" w:sz="0" w:space="0" w:color="auto"/>
      </w:divBdr>
    </w:div>
    <w:div w:id="1350719681">
      <w:bodyDiv w:val="1"/>
      <w:marLeft w:val="0"/>
      <w:marRight w:val="0"/>
      <w:marTop w:val="0"/>
      <w:marBottom w:val="0"/>
      <w:divBdr>
        <w:top w:val="none" w:sz="0" w:space="0" w:color="auto"/>
        <w:left w:val="none" w:sz="0" w:space="0" w:color="auto"/>
        <w:bottom w:val="none" w:sz="0" w:space="0" w:color="auto"/>
        <w:right w:val="none" w:sz="0" w:space="0" w:color="auto"/>
      </w:divBdr>
    </w:div>
    <w:div w:id="1353726463">
      <w:bodyDiv w:val="1"/>
      <w:marLeft w:val="0"/>
      <w:marRight w:val="0"/>
      <w:marTop w:val="0"/>
      <w:marBottom w:val="0"/>
      <w:divBdr>
        <w:top w:val="none" w:sz="0" w:space="0" w:color="auto"/>
        <w:left w:val="none" w:sz="0" w:space="0" w:color="auto"/>
        <w:bottom w:val="none" w:sz="0" w:space="0" w:color="auto"/>
        <w:right w:val="none" w:sz="0" w:space="0" w:color="auto"/>
      </w:divBdr>
    </w:div>
    <w:div w:id="1361005548">
      <w:bodyDiv w:val="1"/>
      <w:marLeft w:val="0"/>
      <w:marRight w:val="0"/>
      <w:marTop w:val="0"/>
      <w:marBottom w:val="0"/>
      <w:divBdr>
        <w:top w:val="none" w:sz="0" w:space="0" w:color="auto"/>
        <w:left w:val="none" w:sz="0" w:space="0" w:color="auto"/>
        <w:bottom w:val="none" w:sz="0" w:space="0" w:color="auto"/>
        <w:right w:val="none" w:sz="0" w:space="0" w:color="auto"/>
      </w:divBdr>
    </w:div>
    <w:div w:id="1371149830">
      <w:bodyDiv w:val="1"/>
      <w:marLeft w:val="0"/>
      <w:marRight w:val="0"/>
      <w:marTop w:val="0"/>
      <w:marBottom w:val="0"/>
      <w:divBdr>
        <w:top w:val="none" w:sz="0" w:space="0" w:color="auto"/>
        <w:left w:val="none" w:sz="0" w:space="0" w:color="auto"/>
        <w:bottom w:val="none" w:sz="0" w:space="0" w:color="auto"/>
        <w:right w:val="none" w:sz="0" w:space="0" w:color="auto"/>
      </w:divBdr>
    </w:div>
    <w:div w:id="1401639712">
      <w:bodyDiv w:val="1"/>
      <w:marLeft w:val="0"/>
      <w:marRight w:val="0"/>
      <w:marTop w:val="0"/>
      <w:marBottom w:val="0"/>
      <w:divBdr>
        <w:top w:val="none" w:sz="0" w:space="0" w:color="auto"/>
        <w:left w:val="none" w:sz="0" w:space="0" w:color="auto"/>
        <w:bottom w:val="none" w:sz="0" w:space="0" w:color="auto"/>
        <w:right w:val="none" w:sz="0" w:space="0" w:color="auto"/>
      </w:divBdr>
    </w:div>
    <w:div w:id="1466385671">
      <w:bodyDiv w:val="1"/>
      <w:marLeft w:val="0"/>
      <w:marRight w:val="0"/>
      <w:marTop w:val="0"/>
      <w:marBottom w:val="0"/>
      <w:divBdr>
        <w:top w:val="none" w:sz="0" w:space="0" w:color="auto"/>
        <w:left w:val="none" w:sz="0" w:space="0" w:color="auto"/>
        <w:bottom w:val="none" w:sz="0" w:space="0" w:color="auto"/>
        <w:right w:val="none" w:sz="0" w:space="0" w:color="auto"/>
      </w:divBdr>
      <w:divsChild>
        <w:div w:id="492254938">
          <w:marLeft w:val="0"/>
          <w:marRight w:val="0"/>
          <w:marTop w:val="0"/>
          <w:marBottom w:val="0"/>
          <w:divBdr>
            <w:top w:val="none" w:sz="0" w:space="0" w:color="auto"/>
            <w:left w:val="none" w:sz="0" w:space="0" w:color="auto"/>
            <w:bottom w:val="none" w:sz="0" w:space="0" w:color="auto"/>
            <w:right w:val="none" w:sz="0" w:space="0" w:color="auto"/>
          </w:divBdr>
          <w:divsChild>
            <w:div w:id="1842888612">
              <w:marLeft w:val="0"/>
              <w:marRight w:val="0"/>
              <w:marTop w:val="0"/>
              <w:marBottom w:val="0"/>
              <w:divBdr>
                <w:top w:val="none" w:sz="0" w:space="0" w:color="auto"/>
                <w:left w:val="none" w:sz="0" w:space="0" w:color="auto"/>
                <w:bottom w:val="none" w:sz="0" w:space="0" w:color="auto"/>
                <w:right w:val="none" w:sz="0" w:space="0" w:color="auto"/>
              </w:divBdr>
            </w:div>
          </w:divsChild>
        </w:div>
        <w:div w:id="2002076663">
          <w:marLeft w:val="0"/>
          <w:marRight w:val="0"/>
          <w:marTop w:val="0"/>
          <w:marBottom w:val="270"/>
          <w:divBdr>
            <w:top w:val="none" w:sz="0" w:space="0" w:color="auto"/>
            <w:left w:val="none" w:sz="0" w:space="0" w:color="auto"/>
            <w:bottom w:val="none" w:sz="0" w:space="0" w:color="auto"/>
            <w:right w:val="none" w:sz="0" w:space="0" w:color="auto"/>
          </w:divBdr>
        </w:div>
      </w:divsChild>
    </w:div>
    <w:div w:id="1512065869">
      <w:bodyDiv w:val="1"/>
      <w:marLeft w:val="0"/>
      <w:marRight w:val="0"/>
      <w:marTop w:val="0"/>
      <w:marBottom w:val="0"/>
      <w:divBdr>
        <w:top w:val="none" w:sz="0" w:space="0" w:color="auto"/>
        <w:left w:val="none" w:sz="0" w:space="0" w:color="auto"/>
        <w:bottom w:val="none" w:sz="0" w:space="0" w:color="auto"/>
        <w:right w:val="none" w:sz="0" w:space="0" w:color="auto"/>
      </w:divBdr>
    </w:div>
    <w:div w:id="1576089680">
      <w:bodyDiv w:val="1"/>
      <w:marLeft w:val="0"/>
      <w:marRight w:val="0"/>
      <w:marTop w:val="0"/>
      <w:marBottom w:val="0"/>
      <w:divBdr>
        <w:top w:val="none" w:sz="0" w:space="0" w:color="auto"/>
        <w:left w:val="none" w:sz="0" w:space="0" w:color="auto"/>
        <w:bottom w:val="none" w:sz="0" w:space="0" w:color="auto"/>
        <w:right w:val="none" w:sz="0" w:space="0" w:color="auto"/>
      </w:divBdr>
    </w:div>
    <w:div w:id="1577284627">
      <w:bodyDiv w:val="1"/>
      <w:marLeft w:val="0"/>
      <w:marRight w:val="0"/>
      <w:marTop w:val="0"/>
      <w:marBottom w:val="0"/>
      <w:divBdr>
        <w:top w:val="none" w:sz="0" w:space="0" w:color="auto"/>
        <w:left w:val="none" w:sz="0" w:space="0" w:color="auto"/>
        <w:bottom w:val="none" w:sz="0" w:space="0" w:color="auto"/>
        <w:right w:val="none" w:sz="0" w:space="0" w:color="auto"/>
      </w:divBdr>
    </w:div>
    <w:div w:id="1578053497">
      <w:bodyDiv w:val="1"/>
      <w:marLeft w:val="0"/>
      <w:marRight w:val="0"/>
      <w:marTop w:val="0"/>
      <w:marBottom w:val="0"/>
      <w:divBdr>
        <w:top w:val="none" w:sz="0" w:space="0" w:color="auto"/>
        <w:left w:val="none" w:sz="0" w:space="0" w:color="auto"/>
        <w:bottom w:val="none" w:sz="0" w:space="0" w:color="auto"/>
        <w:right w:val="none" w:sz="0" w:space="0" w:color="auto"/>
      </w:divBdr>
    </w:div>
    <w:div w:id="1594431410">
      <w:bodyDiv w:val="1"/>
      <w:marLeft w:val="0"/>
      <w:marRight w:val="0"/>
      <w:marTop w:val="0"/>
      <w:marBottom w:val="0"/>
      <w:divBdr>
        <w:top w:val="none" w:sz="0" w:space="0" w:color="auto"/>
        <w:left w:val="none" w:sz="0" w:space="0" w:color="auto"/>
        <w:bottom w:val="none" w:sz="0" w:space="0" w:color="auto"/>
        <w:right w:val="none" w:sz="0" w:space="0" w:color="auto"/>
      </w:divBdr>
    </w:div>
    <w:div w:id="1595435581">
      <w:bodyDiv w:val="1"/>
      <w:marLeft w:val="0"/>
      <w:marRight w:val="0"/>
      <w:marTop w:val="0"/>
      <w:marBottom w:val="0"/>
      <w:divBdr>
        <w:top w:val="none" w:sz="0" w:space="0" w:color="auto"/>
        <w:left w:val="none" w:sz="0" w:space="0" w:color="auto"/>
        <w:bottom w:val="none" w:sz="0" w:space="0" w:color="auto"/>
        <w:right w:val="none" w:sz="0" w:space="0" w:color="auto"/>
      </w:divBdr>
    </w:div>
    <w:div w:id="1595936794">
      <w:bodyDiv w:val="1"/>
      <w:marLeft w:val="0"/>
      <w:marRight w:val="0"/>
      <w:marTop w:val="0"/>
      <w:marBottom w:val="0"/>
      <w:divBdr>
        <w:top w:val="none" w:sz="0" w:space="0" w:color="auto"/>
        <w:left w:val="none" w:sz="0" w:space="0" w:color="auto"/>
        <w:bottom w:val="none" w:sz="0" w:space="0" w:color="auto"/>
        <w:right w:val="none" w:sz="0" w:space="0" w:color="auto"/>
      </w:divBdr>
    </w:div>
    <w:div w:id="1605304630">
      <w:bodyDiv w:val="1"/>
      <w:marLeft w:val="0"/>
      <w:marRight w:val="0"/>
      <w:marTop w:val="0"/>
      <w:marBottom w:val="0"/>
      <w:divBdr>
        <w:top w:val="none" w:sz="0" w:space="0" w:color="auto"/>
        <w:left w:val="none" w:sz="0" w:space="0" w:color="auto"/>
        <w:bottom w:val="none" w:sz="0" w:space="0" w:color="auto"/>
        <w:right w:val="none" w:sz="0" w:space="0" w:color="auto"/>
      </w:divBdr>
    </w:div>
    <w:div w:id="1628776142">
      <w:bodyDiv w:val="1"/>
      <w:marLeft w:val="0"/>
      <w:marRight w:val="0"/>
      <w:marTop w:val="0"/>
      <w:marBottom w:val="0"/>
      <w:divBdr>
        <w:top w:val="none" w:sz="0" w:space="0" w:color="auto"/>
        <w:left w:val="none" w:sz="0" w:space="0" w:color="auto"/>
        <w:bottom w:val="none" w:sz="0" w:space="0" w:color="auto"/>
        <w:right w:val="none" w:sz="0" w:space="0" w:color="auto"/>
      </w:divBdr>
    </w:div>
    <w:div w:id="1689914673">
      <w:bodyDiv w:val="1"/>
      <w:marLeft w:val="0"/>
      <w:marRight w:val="0"/>
      <w:marTop w:val="0"/>
      <w:marBottom w:val="0"/>
      <w:divBdr>
        <w:top w:val="none" w:sz="0" w:space="0" w:color="auto"/>
        <w:left w:val="none" w:sz="0" w:space="0" w:color="auto"/>
        <w:bottom w:val="none" w:sz="0" w:space="0" w:color="auto"/>
        <w:right w:val="none" w:sz="0" w:space="0" w:color="auto"/>
      </w:divBdr>
    </w:div>
    <w:div w:id="1692880075">
      <w:bodyDiv w:val="1"/>
      <w:marLeft w:val="0"/>
      <w:marRight w:val="0"/>
      <w:marTop w:val="0"/>
      <w:marBottom w:val="0"/>
      <w:divBdr>
        <w:top w:val="none" w:sz="0" w:space="0" w:color="auto"/>
        <w:left w:val="none" w:sz="0" w:space="0" w:color="auto"/>
        <w:bottom w:val="none" w:sz="0" w:space="0" w:color="auto"/>
        <w:right w:val="none" w:sz="0" w:space="0" w:color="auto"/>
      </w:divBdr>
    </w:div>
    <w:div w:id="1707826522">
      <w:bodyDiv w:val="1"/>
      <w:marLeft w:val="0"/>
      <w:marRight w:val="0"/>
      <w:marTop w:val="0"/>
      <w:marBottom w:val="0"/>
      <w:divBdr>
        <w:top w:val="none" w:sz="0" w:space="0" w:color="auto"/>
        <w:left w:val="none" w:sz="0" w:space="0" w:color="auto"/>
        <w:bottom w:val="none" w:sz="0" w:space="0" w:color="auto"/>
        <w:right w:val="none" w:sz="0" w:space="0" w:color="auto"/>
      </w:divBdr>
    </w:div>
    <w:div w:id="1743942512">
      <w:bodyDiv w:val="1"/>
      <w:marLeft w:val="0"/>
      <w:marRight w:val="0"/>
      <w:marTop w:val="0"/>
      <w:marBottom w:val="0"/>
      <w:divBdr>
        <w:top w:val="none" w:sz="0" w:space="0" w:color="auto"/>
        <w:left w:val="none" w:sz="0" w:space="0" w:color="auto"/>
        <w:bottom w:val="none" w:sz="0" w:space="0" w:color="auto"/>
        <w:right w:val="none" w:sz="0" w:space="0" w:color="auto"/>
      </w:divBdr>
    </w:div>
    <w:div w:id="1780297627">
      <w:bodyDiv w:val="1"/>
      <w:marLeft w:val="0"/>
      <w:marRight w:val="0"/>
      <w:marTop w:val="0"/>
      <w:marBottom w:val="0"/>
      <w:divBdr>
        <w:top w:val="none" w:sz="0" w:space="0" w:color="auto"/>
        <w:left w:val="none" w:sz="0" w:space="0" w:color="auto"/>
        <w:bottom w:val="none" w:sz="0" w:space="0" w:color="auto"/>
        <w:right w:val="none" w:sz="0" w:space="0" w:color="auto"/>
      </w:divBdr>
    </w:div>
    <w:div w:id="1816528032">
      <w:bodyDiv w:val="1"/>
      <w:marLeft w:val="0"/>
      <w:marRight w:val="0"/>
      <w:marTop w:val="0"/>
      <w:marBottom w:val="0"/>
      <w:divBdr>
        <w:top w:val="none" w:sz="0" w:space="0" w:color="auto"/>
        <w:left w:val="none" w:sz="0" w:space="0" w:color="auto"/>
        <w:bottom w:val="none" w:sz="0" w:space="0" w:color="auto"/>
        <w:right w:val="none" w:sz="0" w:space="0" w:color="auto"/>
      </w:divBdr>
    </w:div>
    <w:div w:id="1829593345">
      <w:bodyDiv w:val="1"/>
      <w:marLeft w:val="0"/>
      <w:marRight w:val="0"/>
      <w:marTop w:val="0"/>
      <w:marBottom w:val="0"/>
      <w:divBdr>
        <w:top w:val="none" w:sz="0" w:space="0" w:color="auto"/>
        <w:left w:val="none" w:sz="0" w:space="0" w:color="auto"/>
        <w:bottom w:val="none" w:sz="0" w:space="0" w:color="auto"/>
        <w:right w:val="none" w:sz="0" w:space="0" w:color="auto"/>
      </w:divBdr>
    </w:div>
    <w:div w:id="1874952133">
      <w:bodyDiv w:val="1"/>
      <w:marLeft w:val="0"/>
      <w:marRight w:val="0"/>
      <w:marTop w:val="0"/>
      <w:marBottom w:val="0"/>
      <w:divBdr>
        <w:top w:val="none" w:sz="0" w:space="0" w:color="auto"/>
        <w:left w:val="none" w:sz="0" w:space="0" w:color="auto"/>
        <w:bottom w:val="none" w:sz="0" w:space="0" w:color="auto"/>
        <w:right w:val="none" w:sz="0" w:space="0" w:color="auto"/>
      </w:divBdr>
    </w:div>
    <w:div w:id="1905527301">
      <w:bodyDiv w:val="1"/>
      <w:marLeft w:val="0"/>
      <w:marRight w:val="0"/>
      <w:marTop w:val="0"/>
      <w:marBottom w:val="0"/>
      <w:divBdr>
        <w:top w:val="none" w:sz="0" w:space="0" w:color="auto"/>
        <w:left w:val="none" w:sz="0" w:space="0" w:color="auto"/>
        <w:bottom w:val="none" w:sz="0" w:space="0" w:color="auto"/>
        <w:right w:val="none" w:sz="0" w:space="0" w:color="auto"/>
      </w:divBdr>
    </w:div>
    <w:div w:id="1920748603">
      <w:bodyDiv w:val="1"/>
      <w:marLeft w:val="0"/>
      <w:marRight w:val="0"/>
      <w:marTop w:val="0"/>
      <w:marBottom w:val="0"/>
      <w:divBdr>
        <w:top w:val="none" w:sz="0" w:space="0" w:color="auto"/>
        <w:left w:val="none" w:sz="0" w:space="0" w:color="auto"/>
        <w:bottom w:val="none" w:sz="0" w:space="0" w:color="auto"/>
        <w:right w:val="none" w:sz="0" w:space="0" w:color="auto"/>
      </w:divBdr>
    </w:div>
    <w:div w:id="1964458228">
      <w:bodyDiv w:val="1"/>
      <w:marLeft w:val="0"/>
      <w:marRight w:val="0"/>
      <w:marTop w:val="0"/>
      <w:marBottom w:val="0"/>
      <w:divBdr>
        <w:top w:val="none" w:sz="0" w:space="0" w:color="auto"/>
        <w:left w:val="none" w:sz="0" w:space="0" w:color="auto"/>
        <w:bottom w:val="none" w:sz="0" w:space="0" w:color="auto"/>
        <w:right w:val="none" w:sz="0" w:space="0" w:color="auto"/>
      </w:divBdr>
    </w:div>
    <w:div w:id="1981105817">
      <w:bodyDiv w:val="1"/>
      <w:marLeft w:val="0"/>
      <w:marRight w:val="0"/>
      <w:marTop w:val="0"/>
      <w:marBottom w:val="0"/>
      <w:divBdr>
        <w:top w:val="none" w:sz="0" w:space="0" w:color="auto"/>
        <w:left w:val="none" w:sz="0" w:space="0" w:color="auto"/>
        <w:bottom w:val="none" w:sz="0" w:space="0" w:color="auto"/>
        <w:right w:val="none" w:sz="0" w:space="0" w:color="auto"/>
      </w:divBdr>
    </w:div>
    <w:div w:id="2000190496">
      <w:bodyDiv w:val="1"/>
      <w:marLeft w:val="0"/>
      <w:marRight w:val="0"/>
      <w:marTop w:val="0"/>
      <w:marBottom w:val="0"/>
      <w:divBdr>
        <w:top w:val="none" w:sz="0" w:space="0" w:color="auto"/>
        <w:left w:val="none" w:sz="0" w:space="0" w:color="auto"/>
        <w:bottom w:val="none" w:sz="0" w:space="0" w:color="auto"/>
        <w:right w:val="none" w:sz="0" w:space="0" w:color="auto"/>
      </w:divBdr>
    </w:div>
    <w:div w:id="2005622483">
      <w:bodyDiv w:val="1"/>
      <w:marLeft w:val="0"/>
      <w:marRight w:val="0"/>
      <w:marTop w:val="0"/>
      <w:marBottom w:val="0"/>
      <w:divBdr>
        <w:top w:val="none" w:sz="0" w:space="0" w:color="auto"/>
        <w:left w:val="none" w:sz="0" w:space="0" w:color="auto"/>
        <w:bottom w:val="none" w:sz="0" w:space="0" w:color="auto"/>
        <w:right w:val="none" w:sz="0" w:space="0" w:color="auto"/>
      </w:divBdr>
    </w:div>
    <w:div w:id="2023163820">
      <w:bodyDiv w:val="1"/>
      <w:marLeft w:val="0"/>
      <w:marRight w:val="0"/>
      <w:marTop w:val="0"/>
      <w:marBottom w:val="0"/>
      <w:divBdr>
        <w:top w:val="none" w:sz="0" w:space="0" w:color="auto"/>
        <w:left w:val="none" w:sz="0" w:space="0" w:color="auto"/>
        <w:bottom w:val="none" w:sz="0" w:space="0" w:color="auto"/>
        <w:right w:val="none" w:sz="0" w:space="0" w:color="auto"/>
      </w:divBdr>
    </w:div>
    <w:div w:id="2105957721">
      <w:bodyDiv w:val="1"/>
      <w:marLeft w:val="0"/>
      <w:marRight w:val="0"/>
      <w:marTop w:val="0"/>
      <w:marBottom w:val="0"/>
      <w:divBdr>
        <w:top w:val="none" w:sz="0" w:space="0" w:color="auto"/>
        <w:left w:val="none" w:sz="0" w:space="0" w:color="auto"/>
        <w:bottom w:val="none" w:sz="0" w:space="0" w:color="auto"/>
        <w:right w:val="none" w:sz="0" w:space="0" w:color="auto"/>
      </w:divBdr>
    </w:div>
    <w:div w:id="21404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xt/en/home" TargetMode="External"/><Relationship Id="rId13" Type="http://schemas.openxmlformats.org/officeDocument/2006/relationships/hyperlink" Target="https://www.worldbank.org/ext/en/home" TargetMode="External"/><Relationship Id="rId18" Type="http://schemas.openxmlformats.org/officeDocument/2006/relationships/hyperlink" Target="https://fred.stlouisfed.org/series/gfdegdq188S" TargetMode="External"/><Relationship Id="rId26" Type="http://schemas.openxmlformats.org/officeDocument/2006/relationships/hyperlink" Target="https://www.wipo.int/web-publications/global-innovation-index-2024/en/gii-2024-at-a-glance.html" TargetMode="External"/><Relationship Id="rId3" Type="http://schemas.openxmlformats.org/officeDocument/2006/relationships/styles" Target="styles.xml"/><Relationship Id="rId21" Type="http://schemas.openxmlformats.org/officeDocument/2006/relationships/hyperlink" Target="https://www.census.gov/library/publications/2024/demo/p60-282.html" TargetMode="External"/><Relationship Id="rId7" Type="http://schemas.openxmlformats.org/officeDocument/2006/relationships/endnotes" Target="endnotes.xml"/><Relationship Id="rId12" Type="http://schemas.openxmlformats.org/officeDocument/2006/relationships/hyperlink" Target="https://www.worldbank.org/ext/en/home" TargetMode="External"/><Relationship Id="rId17" Type="http://schemas.openxmlformats.org/officeDocument/2006/relationships/hyperlink" Target="https://www.imf.org/en/News/Articles/2024/06/27/cs62724-united-states-concluding-statement-of-the-2024-article-iv" TargetMode="External"/><Relationship Id="rId25" Type="http://schemas.openxmlformats.org/officeDocument/2006/relationships/hyperlink" Target="https://www.transparency.org/en/countries/united-states" TargetMode="External"/><Relationship Id="rId2" Type="http://schemas.openxmlformats.org/officeDocument/2006/relationships/numbering" Target="numbering.xml"/><Relationship Id="rId16" Type="http://schemas.openxmlformats.org/officeDocument/2006/relationships/hyperlink" Target="https://www.imf.org/en/News/Articles/2024/06/27/cs62724-united-states-concluding-statement-of-the-2024-article-iv" TargetMode="External"/><Relationship Id="rId20" Type="http://schemas.openxmlformats.org/officeDocument/2006/relationships/hyperlink" Target="https://data.worldbank.org/indicator/SP.POP.TOTL?locations=US&amp;view=map" TargetMode="External"/><Relationship Id="rId29" Type="http://schemas.openxmlformats.org/officeDocument/2006/relationships/hyperlink" Target="https://apps.bea.gov/international/factsheet/factshee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f.org/en/Publications/WEO/weo-database/2024/October/select-subjects?c=111," TargetMode="External"/><Relationship Id="rId24" Type="http://schemas.openxmlformats.org/officeDocument/2006/relationships/hyperlink" Target="https://hdr.undp.org/data-center/human-development-inde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mf.org/en/News/Articles/2024/06/27/cs62724-united-states-concluding-statement-of-the-2024-article-iv" TargetMode="External"/><Relationship Id="rId23" Type="http://schemas.openxmlformats.org/officeDocument/2006/relationships/hyperlink" Target="https://data.worldbank.org/indicator/si.pov.gini?most_recent_value_desc=false" TargetMode="External"/><Relationship Id="rId28" Type="http://schemas.openxmlformats.org/officeDocument/2006/relationships/hyperlink" Target="https://www.census.gov/foreign-trade/balance/c4550.html" TargetMode="External"/><Relationship Id="rId10" Type="http://schemas.openxmlformats.org/officeDocument/2006/relationships/hyperlink" Target="https://www.worldbank.org/ext/en/home" TargetMode="External"/><Relationship Id="rId19" Type="http://schemas.openxmlformats.org/officeDocument/2006/relationships/hyperlink" Target="https://fred.stlouisfed.org/series/gfdegdq188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mf.org/en/Publications/WEO/weo-database/2024/October/select-subjects?c=111," TargetMode="External"/><Relationship Id="rId14" Type="http://schemas.openxmlformats.org/officeDocument/2006/relationships/hyperlink" Target="https://prosperitydata360.worldbank.org/en/indicator/IMF+WEO+LUR" TargetMode="External"/><Relationship Id="rId22" Type="http://schemas.openxmlformats.org/officeDocument/2006/relationships/hyperlink" Target="https://www2.census.gov/library/publications/2024/demo/p60-283.pdf" TargetMode="External"/><Relationship Id="rId27" Type="http://schemas.openxmlformats.org/officeDocument/2006/relationships/hyperlink" Target="https://www.heritage.org/index/pages/country-pages/united-states" TargetMode="External"/><Relationship Id="rId30" Type="http://schemas.openxmlformats.org/officeDocument/2006/relationships/hyperlink" Target="https://www.state.gov/treaties-in-forc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B5475-B713-4437-9FDE-DAAE8630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17</Pages>
  <Words>7130</Words>
  <Characters>42785</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Folusiak Bartosz</dc:creator>
  <cp:keywords/>
  <dc:description/>
  <cp:lastModifiedBy>Szachewicz Aleksandra</cp:lastModifiedBy>
  <cp:revision>19</cp:revision>
  <cp:lastPrinted>2025-02-10T16:27:00Z</cp:lastPrinted>
  <dcterms:created xsi:type="dcterms:W3CDTF">2024-12-02T14:37:00Z</dcterms:created>
  <dcterms:modified xsi:type="dcterms:W3CDTF">2025-02-12T16:01:00Z</dcterms:modified>
</cp:coreProperties>
</file>