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59788E" w:rsidRDefault="00065658" w:rsidP="0059788E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788E">
        <w:rPr>
          <w:rFonts w:asciiTheme="minorHAnsi" w:hAnsiTheme="minorHAnsi" w:cstheme="minorHAnsi"/>
          <w:b/>
          <w:sz w:val="22"/>
          <w:szCs w:val="22"/>
        </w:rPr>
        <w:t>KOMUNIKAT NR</w:t>
      </w:r>
      <w:r w:rsidR="005E7976" w:rsidRPr="005978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788E" w:rsidRPr="0059788E">
        <w:rPr>
          <w:rFonts w:asciiTheme="minorHAnsi" w:hAnsiTheme="minorHAnsi" w:cstheme="minorHAnsi"/>
          <w:b/>
          <w:sz w:val="22"/>
          <w:szCs w:val="22"/>
        </w:rPr>
        <w:t>6</w:t>
      </w:r>
      <w:r w:rsidR="00832EE7" w:rsidRPr="0059788E">
        <w:rPr>
          <w:rFonts w:asciiTheme="minorHAnsi" w:hAnsiTheme="minorHAnsi" w:cstheme="minorHAnsi"/>
          <w:b/>
          <w:sz w:val="22"/>
          <w:szCs w:val="22"/>
        </w:rPr>
        <w:t>/2024</w:t>
      </w:r>
    </w:p>
    <w:p w:rsidR="00025037" w:rsidRPr="0059788E" w:rsidRDefault="00025037" w:rsidP="0059788E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788E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59788E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59788E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59788E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59788E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:rsidR="00E5607E" w:rsidRPr="0059788E" w:rsidRDefault="004057C8" w:rsidP="0059788E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788E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59788E" w:rsidRPr="0059788E">
        <w:rPr>
          <w:rFonts w:asciiTheme="minorHAnsi" w:hAnsiTheme="minorHAnsi" w:cstheme="minorHAnsi"/>
          <w:b/>
          <w:sz w:val="22"/>
          <w:szCs w:val="22"/>
        </w:rPr>
        <w:t>3</w:t>
      </w:r>
      <w:r w:rsidR="000B2701" w:rsidRPr="0059788E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="0059788E" w:rsidRPr="0059788E">
        <w:rPr>
          <w:rFonts w:asciiTheme="minorHAnsi" w:hAnsiTheme="minorHAnsi" w:cstheme="minorHAnsi"/>
          <w:b/>
          <w:sz w:val="22"/>
          <w:szCs w:val="22"/>
        </w:rPr>
        <w:t>28 CZERWCA</w:t>
      </w:r>
      <w:r w:rsidR="00021EE0" w:rsidRPr="005978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B96" w:rsidRPr="0059788E">
        <w:rPr>
          <w:rFonts w:asciiTheme="minorHAnsi" w:hAnsiTheme="minorHAnsi" w:cstheme="minorHAnsi"/>
          <w:b/>
          <w:sz w:val="22"/>
          <w:szCs w:val="22"/>
        </w:rPr>
        <w:t>2024</w:t>
      </w:r>
      <w:r w:rsidR="005F609B" w:rsidRPr="0059788E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0A74FB" w:rsidRPr="0059788E" w:rsidRDefault="000A74FB" w:rsidP="0059788E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:rsidR="002543B3" w:rsidRPr="0059788E" w:rsidRDefault="002543B3" w:rsidP="0059788E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788E">
        <w:rPr>
          <w:rFonts w:asciiTheme="minorHAnsi" w:hAnsiTheme="minorHAnsi" w:cstheme="minorHAnsi"/>
          <w:sz w:val="22"/>
          <w:szCs w:val="22"/>
          <w:u w:val="single"/>
        </w:rPr>
        <w:t xml:space="preserve">W okresie objętym niniejszą informacją </w:t>
      </w:r>
      <w:r w:rsidR="005E7976" w:rsidRPr="0059788E">
        <w:rPr>
          <w:rFonts w:asciiTheme="minorHAnsi" w:hAnsiTheme="minorHAnsi" w:cstheme="minorHAnsi"/>
          <w:sz w:val="22"/>
          <w:szCs w:val="22"/>
          <w:u w:val="single"/>
        </w:rPr>
        <w:t>odbyły się dwa</w:t>
      </w:r>
      <w:r w:rsidR="00832EE7" w:rsidRPr="0059788E">
        <w:rPr>
          <w:rFonts w:asciiTheme="minorHAnsi" w:hAnsiTheme="minorHAnsi" w:cstheme="minorHAnsi"/>
          <w:sz w:val="22"/>
          <w:szCs w:val="22"/>
          <w:u w:val="single"/>
        </w:rPr>
        <w:t xml:space="preserve"> posiedzeni</w:t>
      </w:r>
      <w:r w:rsidR="005E7976" w:rsidRPr="0059788E">
        <w:rPr>
          <w:rFonts w:asciiTheme="minorHAnsi" w:hAnsiTheme="minorHAnsi" w:cstheme="minorHAnsi"/>
          <w:sz w:val="22"/>
          <w:szCs w:val="22"/>
          <w:u w:val="single"/>
        </w:rPr>
        <w:t>a</w:t>
      </w:r>
      <w:r w:rsidR="003955D4" w:rsidRPr="0059788E">
        <w:rPr>
          <w:rFonts w:asciiTheme="minorHAnsi" w:hAnsiTheme="minorHAnsi" w:cstheme="minorHAnsi"/>
          <w:sz w:val="22"/>
          <w:szCs w:val="22"/>
          <w:u w:val="single"/>
        </w:rPr>
        <w:t xml:space="preserve"> Komitetu do Spraw </w:t>
      </w:r>
      <w:r w:rsidRPr="0059788E">
        <w:rPr>
          <w:rFonts w:asciiTheme="minorHAnsi" w:hAnsiTheme="minorHAnsi" w:cstheme="minorHAnsi"/>
          <w:sz w:val="22"/>
          <w:szCs w:val="22"/>
          <w:u w:val="single"/>
        </w:rPr>
        <w:t xml:space="preserve">Europejskich, </w:t>
      </w:r>
      <w:r w:rsidR="0059788E" w:rsidRPr="0059788E">
        <w:rPr>
          <w:rFonts w:asciiTheme="minorHAnsi" w:hAnsiTheme="minorHAnsi" w:cstheme="minorHAnsi"/>
          <w:sz w:val="22"/>
          <w:szCs w:val="22"/>
          <w:u w:val="single"/>
        </w:rPr>
        <w:t>11</w:t>
      </w:r>
      <w:r w:rsidR="005E7976" w:rsidRPr="0059788E">
        <w:rPr>
          <w:rFonts w:asciiTheme="minorHAnsi" w:hAnsiTheme="minorHAnsi" w:cstheme="minorHAnsi"/>
          <w:sz w:val="22"/>
          <w:szCs w:val="22"/>
          <w:u w:val="single"/>
        </w:rPr>
        <w:t xml:space="preserve"> oraz </w:t>
      </w:r>
      <w:r w:rsidR="0059788E" w:rsidRPr="0059788E">
        <w:rPr>
          <w:rFonts w:asciiTheme="minorHAnsi" w:hAnsiTheme="minorHAnsi" w:cstheme="minorHAnsi"/>
          <w:sz w:val="22"/>
          <w:szCs w:val="22"/>
          <w:u w:val="single"/>
        </w:rPr>
        <w:t>24</w:t>
      </w:r>
      <w:r w:rsidR="0059788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9788E" w:rsidRPr="0059788E">
        <w:rPr>
          <w:rFonts w:asciiTheme="minorHAnsi" w:hAnsiTheme="minorHAnsi" w:cstheme="minorHAnsi"/>
          <w:sz w:val="22"/>
          <w:szCs w:val="22"/>
          <w:u w:val="single"/>
        </w:rPr>
        <w:t>czerwca</w:t>
      </w:r>
      <w:r w:rsidR="00832EE7" w:rsidRPr="0059788E">
        <w:rPr>
          <w:rFonts w:asciiTheme="minorHAnsi" w:hAnsiTheme="minorHAnsi" w:cstheme="minorHAnsi"/>
          <w:sz w:val="22"/>
          <w:szCs w:val="22"/>
          <w:u w:val="single"/>
        </w:rPr>
        <w:t xml:space="preserve"> 2024 r., podczas których</w:t>
      </w:r>
      <w:r w:rsidRPr="0059788E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2543B3" w:rsidRPr="0059788E" w:rsidTr="00E5631C">
        <w:trPr>
          <w:jc w:val="center"/>
        </w:trPr>
        <w:tc>
          <w:tcPr>
            <w:tcW w:w="9195" w:type="dxa"/>
          </w:tcPr>
          <w:p w:rsidR="002543B3" w:rsidRPr="0059788E" w:rsidRDefault="002543B3" w:rsidP="0059788E">
            <w:pPr>
              <w:pStyle w:val="Akapitzlist"/>
              <w:numPr>
                <w:ilvl w:val="0"/>
                <w:numId w:val="30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/>
                <w:sz w:val="22"/>
                <w:szCs w:val="22"/>
              </w:rPr>
              <w:t>Omówiono</w:t>
            </w:r>
            <w:r w:rsidR="00A01990" w:rsidRPr="005978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m.in.</w:t>
            </w:r>
            <w:r w:rsidRPr="005978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następujące tematy: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4"/>
              </w:numPr>
              <w:mirrorIndent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Informacja o stanowisku Polski na posiedzenie Rady Europejskiej 27-28 czerwca 2024 r.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:rsidR="005E7976" w:rsidRPr="0059788E" w:rsidRDefault="0059788E" w:rsidP="0059788E">
            <w:pPr>
              <w:pStyle w:val="Akapitzlist"/>
              <w:numPr>
                <w:ilvl w:val="0"/>
                <w:numId w:val="34"/>
              </w:numPr>
              <w:mirrorIndent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Stanowisko ws. przeglądu warunków pogłębionej i kompleksowej umowy o wolnym handlu (DCFTA) na podstawie art. 29 Układu o stowarzyszeniu z Ukrainą (AA) – aktualny stan spraw</w:t>
            </w:r>
            <w:r w:rsidR="005E7976"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:rsidR="005E7976" w:rsidRPr="0059788E" w:rsidRDefault="005E7976" w:rsidP="0059788E">
            <w:pPr>
              <w:pStyle w:val="Akapitzlist"/>
              <w:numPr>
                <w:ilvl w:val="0"/>
                <w:numId w:val="34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 xml:space="preserve">Stan przygotowań do sprawowania przez Polskę prezydencji w Radzie Unii Europejskiej 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br/>
              <w:t>w I. połowie 2025 r.</w:t>
            </w:r>
          </w:p>
          <w:p w:rsidR="00B0489F" w:rsidRPr="0059788E" w:rsidRDefault="00B0489F" w:rsidP="0059788E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/>
                <w:sz w:val="22"/>
                <w:szCs w:val="22"/>
              </w:rPr>
              <w:t>Omówiono i przyjęto następujące dokumenty:</w:t>
            </w:r>
          </w:p>
          <w:p w:rsidR="00832EE7" w:rsidRPr="0059788E" w:rsidRDefault="00B0489F" w:rsidP="0059788E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 xml:space="preserve">Informacja na temat stanu wdrożenia dyrektyw unijnych i zobowiązań legislacyjnych wynikających z orzeczeń TSUE oraz uwag KE przekazywanych w ramach postępowania </w:t>
            </w:r>
            <w:r w:rsidR="003955D4" w:rsidRPr="005978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w trybie art. 258 TFUE lub art. 260 TFUE</w:t>
            </w:r>
            <w:r w:rsidR="003955D4" w:rsidRPr="005978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A10B96" w:rsidRPr="0059788E" w:rsidRDefault="00A10B96" w:rsidP="0059788E">
      <w:pPr>
        <w:spacing w:before="120" w:after="120"/>
        <w:mirrorIndents/>
        <w:rPr>
          <w:rFonts w:asciiTheme="minorHAnsi" w:hAnsiTheme="minorHAnsi" w:cstheme="minorHAnsi"/>
          <w:sz w:val="22"/>
          <w:szCs w:val="22"/>
          <w:u w:val="single"/>
        </w:rPr>
      </w:pPr>
    </w:p>
    <w:p w:rsidR="001135AF" w:rsidRPr="0059788E" w:rsidRDefault="000A74FB" w:rsidP="0059788E">
      <w:pPr>
        <w:spacing w:before="120" w:after="120"/>
        <w:mirrorIndents/>
        <w:rPr>
          <w:rFonts w:asciiTheme="minorHAnsi" w:hAnsiTheme="minorHAnsi" w:cstheme="minorHAnsi"/>
          <w:sz w:val="22"/>
          <w:szCs w:val="22"/>
          <w:u w:val="single"/>
        </w:rPr>
      </w:pPr>
      <w:r w:rsidRPr="0059788E">
        <w:rPr>
          <w:rFonts w:asciiTheme="minorHAnsi" w:hAnsiTheme="minorHAnsi" w:cstheme="minorHAnsi"/>
          <w:sz w:val="22"/>
          <w:szCs w:val="22"/>
          <w:u w:val="single"/>
        </w:rPr>
        <w:t>Komitet do Spraw Europejskich w trybie obiegowym</w:t>
      </w:r>
      <w:r w:rsidR="001135AF" w:rsidRPr="0059788E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59788E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0B2701" w:rsidRPr="00C109E3" w:rsidRDefault="00A73FE5" w:rsidP="00C109E3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09E3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71F9D" w:rsidRPr="00C109E3">
              <w:rPr>
                <w:rFonts w:asciiTheme="minorHAnsi" w:hAnsiTheme="minorHAnsi" w:cstheme="minorHAnsi"/>
                <w:b/>
                <w:sz w:val="22"/>
                <w:szCs w:val="22"/>
              </w:rPr>
              <w:t>ozstrzygnął i przyjął następujące dokumenty:</w:t>
            </w:r>
            <w:r w:rsidR="000B2701" w:rsidRPr="00C109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C-80/24 </w:t>
            </w:r>
            <w:r w:rsidRPr="005978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Zwrotybankowe.pl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Sprawozdanie z posiedzenia Rady ds. Zatrudnienia, Polityki Społecznej, Zdrowia i Spraw Konsumenckich w dniu 7 maja 2024 r. (sesja dot. równości).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icieli COREPER I 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 xml:space="preserve">w dniu 29 maja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Ogólnych w dniu 21 maja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cieli COREPER II 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 xml:space="preserve">w dniu 29 maja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Informacja Ministerstwa Spraw Zagranicznych w sprawie udziału w naborze na stanowisko eksperta narodowego w Delegaturze UE w Afganistanie.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Sprawozdanie z posiedzenia Rady ds. Edukacji, Młodzieży, Kultury i Sportu w dniu 14 maja 2024 r. (sesja dot. sportu).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Informacja w sprawie zatwierdzenia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zedłużenia okresu oddelegowania 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na stanowisku eksperta narodowego przedstawicielki Krajowej Administracji Skarbowej w Misji EUMM Gruzja.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zmiany przedstawiciela PL w Radzie Administracyjnej Agencji 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ds. Programu Kosmicznego (EUSPA).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grupie roboczej ds. Granic.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grupie Komisji Europejskiej (MC).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C-115/24 </w:t>
            </w:r>
            <w:r w:rsidRPr="005978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Österreichische Zahnärztekammer</w:t>
            </w:r>
            <w:r w:rsidRPr="0059788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Transportu, Telekomunikacji i Energii w dniu 21 maja2024 r. (sesja dot. telekomunikacji).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Komitetu Stałych Przedstawicieli COREPER I w dniu 5 czerwca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dstawicieli COREPER II 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w dniach 5 i 7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Informacja w sprawie przedstawicieli Polski w Zarządzie Europejskiej Agencji Środowiska (EEA).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Eurogrupy inkluzywnej i Rady UE ds. Ekonomicznych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 Finansowych w dniach 13-14 maja br. w Brukseli.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Wymiaru Sprawiedliwości i Spraw Wewnętrznych w dniach 13-14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Informacja o stanie realizacji zadań nałożonych na ministerstwa i urzędy centralne, monitorowanych przez KSE.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5978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zalecenia Rady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sprawie zwiększenia bezpieczeństwa badań naukowych</w:t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26).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odniesieniudo dokumentu UE </w:t>
            </w:r>
            <w:r w:rsidRPr="0059788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Wniosek dotyczący rozporządzenia Parlamentu Europejskiego i Rady ustanawiającego wspólną platformę danych dotyczących chemikaliów oraz przepisów zapewniających, by zawarte w niej dane były możliwe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do znalezienia, dostępne, interoperacyjne i nadające się do ponownego wykorzystania,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oraz ustanawiającego ramy monitorowania realiz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acji i perspektyw w odniesieniu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do chemikaliów</w:t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779).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dla Sejmu i Senatu RP o stanowisku RP w odniesieniu do projektów aktów prawnych przewidzianych do rozpatrzenia podczas posiedzenia Rady ds. Gospodarczych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i Finansowych w dniu 21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COREPER I w dniu 5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oświadczenia Polski w sprawie przyjęcia przez Radę UE projektu </w:t>
            </w:r>
            <w:r w:rsidRPr="005978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rozporządzenia Parlamentu Europejskiego i Rady w sprawie odbudowy zasobów</w:t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978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przyrodniczych</w:t>
            </w:r>
            <w:r w:rsidRPr="0059788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PER </w:t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II w dniu 5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COREPER II w dniu 7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5978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Komunikat Komisji do Parlamentu Europejskiego, Rady Europejskiej, Rady, Europejskiego Komitetu Ekonomiczno-Społecznego i Komitetu Regionów: Dialogi na temat czystej transformacji – podsumowanie. Silny przemysł europejski na rzecz zrównoważonej Europy</w:t>
            </w:r>
            <w:r w:rsidRPr="0059788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(COM(2024) 163).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Instrukcja na posiedzenie Rady ds. Wymiaru Sprawiedliwości i Spraw Wewnętrznych w dniach 13-14 czerwca 2024 r. (sesja dot. spraw wewnętrznych).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dla Sejmu i Senatu RP o stanowisku RP w odniesieniu do projektów aktów prawnych przewidzianych do rozpatrzenia podczas posiedzenia Rady do Spraw Ogólnych </w:t>
            </w:r>
            <w:r w:rsidR="00C109E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w dniu 25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stanowisku RP w odniesieniu do projektów aktów prawnych przewidzianych do rozpatrzenia podczas posiedzenia Rady ds. Środowiska w dniu 17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sporządzone na podstawie art. 21 dyrektywy 2003/87/WE Parlamentu Europejskiego i Rady z dnia 13 października 2003 r. ustanawiającej system handlu przydziałami emisji gazów cieplarnianych we Wspólnocie oraz zmieniającej dyrektywę Rady 96/61/WE.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ds. Wymiaru Sprawiedliwości i Spraw Wewnętrznych w dniach 13-14 czerwca 2024 r. (sesja dot. wymiaru sprawiedliwości).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stanowisku RP w odniesieniu do projektów aktów prawnych przewidzianych do rozpatrzenia podczas posiedzenia Rady ds. Transportu, Telekomunikacji i Energii w dniu 18 czerwca 2</w:t>
            </w:r>
            <w:r w:rsidR="00C109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024 r. (sesja </w:t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dot. transportu).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stanowisku RP w odniesieniu do projektów aktów prawnych przewidzianych do rozpatrzenia podczas posiedzenia Rady ds. Zatrudnienia, Polityki Społecznej, Zdrowia i Spraw Konsumenckich w dniu 21 czerwca 2024 r. (sesja dot. zdrowia).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w sprawie zmiany załącznika nr 1 i załącznika nr 2 do </w:t>
            </w:r>
            <w:r w:rsidRPr="005978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Zasad korzystania z systemu Portal Delegatów</w:t>
            </w:r>
            <w:r w:rsidRPr="0059788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C109E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i Rybołówstwa w dniach 24-25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Informacja nt. udziału Polski w Instrumencie „Łącząc Europę” (CEF).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Komitetu Stałych Przedstawicieli COREPER II w dniach 11 i 12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stanowisku RP w odniesieniu do projektów aktów prawnych przewidzianych do rozpatrzenia podczas posiedzenia Rady ds. Zatrudnienia, Polityki Społecznej, Zdrowia i Spraw Konsumenckich w dniu 20 czerwca 2024 r. (sesja dot. zatrudnienia i polityki społecznej).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14 czerwca 2024 r.”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Instrukcja na posiedzenie Rady UE ds. Środowiska w dniu 17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Informacja Ministerstwa Spraw Zagranicznych w sprawie przedłużenia okresu oddelegowania członka służby zagranicznej na stanowisku eksperta narodowego w Delegaturze UE przy NZ w Genewie.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zatwierdzenia kandydata Prokuratury Okręgowej w Łodzi, delegowanego do Prokuratury Krajowej na stanowisko delegowanego eksperta narodowego w Agencji Unii Europejskiej ds. Współpracy Wymiarów Sprawiedliwości w Sprawach Karnych (EUROJUST) w różnych jednostkach Departamentu Operacyjnego.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69084508"/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Instrukcja na posiedzenie Rady do Spraw Ogóln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t xml:space="preserve">ych (polityka spójności) w dniu 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18 czerwca 2024 r</w:t>
            </w:r>
            <w:bookmarkEnd w:id="0"/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Zagranicznych w dniu 27 maja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dniach 11 i 12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 xml:space="preserve">„Założenia do stanowiska Rzeczypospolitej Polskiej w postępowaniu w sprawach prejudycjalnych C-96/24, C-103/24 i C-112/24 </w:t>
            </w:r>
            <w:r w:rsidRPr="0059788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Rzecznik Dyscyplinarny Sądu Najwyższego i in.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Komitetu Stałych Przedstawicieli COREPER I w dniach 12 i 14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 xml:space="preserve">Informacja w sprawie zatwierdzenia kandydata Krajowej Administracji Skarbowej </w:t>
            </w:r>
            <w:r w:rsidR="00C109E3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br/>
            </w:r>
            <w:r w:rsidRPr="0059788E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na stanowisko w charakterze eksperta narodowego do Misji Pomocy Granicznej dla Mołdawii i Ukrainy (EUBAM)</w:t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Sprawozdanie z posiedzenia Komitetu Stałych Przedstawicieli COREPER II w dniu 14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 xml:space="preserve">Informacja na temat stanowiska RP w sprawie wyborów na stanowisko Zastępcy Dyrektora Wykonawczego Agencji Unii Europejskiej ds. Zarządzania Operacyjnego Wielkoskalowymi Systemami Informatycznymi w Przestrzeni Wolności, Bezpieczeństwa i Sprawiedliwości </w:t>
            </w:r>
            <w:r w:rsidR="00C109E3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br/>
            </w:r>
            <w:r w:rsidRPr="0059788E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(eu-LISA).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Komitetu Stałych Przedstawicieli COREPER I w dniu 19 czerwca 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kandydatury na stanowisko eksperta narodowego Policy Officer, Russia Division, EURCA.EE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t xml:space="preserve">R.2 w Centrali ESDZ 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w Brukseli.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Sprawozdanie z posiedzenia Rady ds. Transportu, Telekomunikacji i Energii w dniu 21 maja 2024 r. (sesja dot. telekomunikacji).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kandydata Krajowej Administracji Skarbowej 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do oddelegowania do Misji Monitorującej Uni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t xml:space="preserve">i Europejskiej 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w Gruzji (EUMM).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Instrukcja na posiedzenie ds. Zatrudnienia, Polityki Społecznej, Zdrowia i Spraw Konsumenckich w 21 czerwca 2024 r. (sesja dot. zdrowia).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Instrukcja na posiedzenie Eurogrupy inkluzyw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t xml:space="preserve">nej i Rady UE 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ds. Ekonomicznych i Finansowych w dniach 20-21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t xml:space="preserve">dydatur funkcjonariuszy Policji 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na stanowiska ekspertów w Misji Obserwacyjnej U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t xml:space="preserve">nii Europejskiej EUMM 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w Gruzji.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 xml:space="preserve">Założenia do odpowiedzi Rzeczypospolitej Polskiej na zarzuty formalne wystosowane przez Komisję Europejską na podstawie art. 258 TFUE w sprawie braku wykonania przez Rzeczpospolitą Polską zobowiązań nałożonych w art. 49, 51 i 52 rozporządzenia Parlamentu Europejskiego i Rady (UE) 2022/2065 z dnia 19 października 2022 r. w sprawie jednolitego rynku usług cyfrowych oraz zmiany dyrektywy 2000/31/WE (akt o usługach cyfrowych) 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– naruszenie nr 2024/2041.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Założenia do odpowiedzi na uzasadnioną opinię w związku z nieprawidłową transpozycją dyrektywy Parlamentu Europejskiego i Rady (UE) 2016/2284 w sprawie redukcji krajowych emisji niektórych rodzajów zanieczyszczeń atmosferycznych, zmiany dyrektywy 2003/35/WE oraz uchylenia dyrektywy 2001/81/WE – naruszenie nr 2021/2024.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odpowiedzi Rzeczypospolitej Polskiej na uzasadnioną opinię Komisji Europejskiej na podstawie art. 258 TFUE w związku z niepełną i nieprawidłową transpozycją do prawa krajowego </w:t>
            </w:r>
            <w:r w:rsidRPr="005978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decyzji ramowej 2002/584/WSiSW z dnia 13 czerwca</w:t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978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2002 roku w sprawie europejskiego nakazu aresztowania i procedury wydawania osób</w:t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978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między państwami członkowskimi</w:t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(„ENA”) – naruszenie nr 2020/2308.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ds. Rolnictwa i Rybołówstwa w dniu 24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do Spraw Zagranicznych w dniu 24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59788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Biała księga „Jak sprostać potrzebom Europy w zakresie infrastruktury cyfrowej?”</w:t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81).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Sprawozdanie z posiedzenia Komitetu Odwo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t xml:space="preserve">ławczego w dniu 28 maja 2024 r. 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 xml:space="preserve">dot. decyzji wykonawczej Komisji ustalającej ogólnounijne docelowe parametry skuteczności działania dla sieci zarządzania ruchem lotniczym na czwarty okres odniesienia od dnia 1 stycznia 2025 r. 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do dnia 31 grudnia 2029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odpowiedzi na zarzuty formalne w związku z nieprawidłową transpozycją dyrektywy Parlamentu Europejskiego i Rady (UE) 2016/343 w sprawie wzmocnienia niektórych aspektów domniemania niewinności i prawa do obecności na rozprawie </w:t>
            </w:r>
            <w:r w:rsidR="00C109E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postępowaniu karnym (zasada domniemania niewinności, publiczne wypowiedzi o winie, środki przymusu fizycznego, zasada </w:t>
            </w:r>
            <w:r w:rsidRPr="005978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 dubio pro reo</w:t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, rozprawa pod nieobecność podejrzanego lub oskarżonego, prawo do skutecznego środka naprawczego i ocena oświadczeń składanych przez podejrzanych lub oskarżonych)  – naruszenie nr 2024/2034.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Rady UE ds. Rolnictwa i Ryb</w:t>
            </w:r>
            <w:r w:rsidR="00C109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ołówstwa w dniu </w:t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27 maja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 xml:space="preserve">Wykaz stanowisk osób kierowanych do Stałego Przedstawicielstwa RP przy UE w związku 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z prezydencją Polski w Radzie UE w I połowie 2025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Wykaz stanowisk osób kierowanych w trybie delegacji zagranicznych do wybranych placówek zagranicznych w związku z prezydencją Polski w Radzie UE w I połowie 2025.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Zasady kierowania pracowników do placówek zagranicznych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t xml:space="preserve"> w związku 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z prezydencją Polski w Radzie UE w I poł. 2025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do Spraw Ogólnych w dniu 25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t xml:space="preserve">PER I 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w dniu 19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 xml:space="preserve">Informacja na temat postępowań formalnych prowadzonych przez Komisję Europejską 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na podstawie art. 258 TFUE i art. 260 TFUE.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Sprawozdanie podsumowujące funkcjonowanie systemu wymiany informacji na rynku wewnętrznym (IMI) w Polsce w 2023 roku.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Instrukcja na posiedzenie Rady UE ds. Zatrudnienia, Polityki Społecznej, Zdrowia i Spraw Konsumenckich w dniu 20 czerwca 2024 r. (część: zatrudnienie i polityka społeczna).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Sprawozdanie z posiedzenia Komitetu Stałych Przedstawicieli COREPER I w dniu 12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 w dniu 14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Raport z realizacji Wytycznych Rządu RP wobec Bałkanów Zachodnich w 2023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Komitetu Stałych Przedstawicieli COREPER I w dniu 26 czerwca 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26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5978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zmieniająceg</w:t>
            </w:r>
            <w:r w:rsidR="00C109E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o rozporządzenie (UE) 2018/1806 </w:t>
            </w:r>
            <w:r w:rsidR="00C109E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59788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odniesieniu do Vanuatu</w:t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365).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t xml:space="preserve">dstawicieli COREPER II 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w dniach 19, 20 i 24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ds. Transportu, Telekomunikacji i Energii w dniu 18 czerwca 2024 r. (sesja dot. transportu).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COREPER II w dniu 19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</w:t>
            </w:r>
            <w:r w:rsidR="00C109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ER II </w:t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w dniu 20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</w:t>
            </w:r>
            <w:r w:rsidR="00C109E3">
              <w:rPr>
                <w:rFonts w:asciiTheme="minorHAnsi" w:hAnsiTheme="minorHAnsi" w:cstheme="minorHAnsi"/>
                <w:sz w:val="22"/>
                <w:szCs w:val="22"/>
              </w:rPr>
              <w:t xml:space="preserve">ER II 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w dniu 24 czerwca 2024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Lista koordynatorów instytucjonalnych w systemie Portal Delegatów.</w:t>
            </w:r>
          </w:p>
          <w:p w:rsidR="00B0489F" w:rsidRPr="0059788E" w:rsidRDefault="0059788E" w:rsidP="00C109E3">
            <w:pPr>
              <w:pStyle w:val="Akapitzlist"/>
              <w:numPr>
                <w:ilvl w:val="0"/>
                <w:numId w:val="38"/>
              </w:numPr>
              <w:spacing w:after="240"/>
              <w:ind w:left="714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Informacja nt. stanu wdrażania programów realizowanych w ramach Mechanizmu Finansowego EOG i Norweskiego Mechanizmu Finansowego 2014-2021.</w:t>
            </w:r>
          </w:p>
          <w:p w:rsidR="000B2701" w:rsidRPr="0059788E" w:rsidRDefault="000B2701" w:rsidP="0059788E">
            <w:pPr>
              <w:pStyle w:val="Akapitzlist"/>
              <w:numPr>
                <w:ilvl w:val="0"/>
                <w:numId w:val="2"/>
              </w:numPr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/>
                <w:sz w:val="22"/>
                <w:szCs w:val="22"/>
              </w:rPr>
              <w:t>Uzgodnił oraz rekomendował Stałemu Komitetowi Rady Ministrów rozpatrzenie następujących dokumentów: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Roczny zbiorczy raport dla Rady Ministrów dotyczący jakości paliw w 2023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Roczny zbiorczy raport dla Komisji Europejskiej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tyczący jakości paliw </w:t>
            </w: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w 2023 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Projekt zmiany programu Fundusze Europejskie dla Rybactwa na lata 2021-2027 (FER).</w:t>
            </w:r>
          </w:p>
          <w:p w:rsidR="005E7976" w:rsidRPr="0059788E" w:rsidRDefault="0059788E" w:rsidP="0059788E">
            <w:pPr>
              <w:pStyle w:val="Akapitzlist"/>
              <w:numPr>
                <w:ilvl w:val="0"/>
                <w:numId w:val="36"/>
              </w:numPr>
              <w:ind w:left="714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Projekt stanowiska Rzeczypospolitej Polskiej dotyczącego udziału Polski w projekcie EuroQCS-Poland: ogólnopolska kwantowa infrastruktura obliczeniowa.</w:t>
            </w:r>
          </w:p>
          <w:p w:rsidR="0059788E" w:rsidRPr="0059788E" w:rsidRDefault="003C4BBD" w:rsidP="00C109E3">
            <w:pPr>
              <w:pStyle w:val="Akapitzlist"/>
              <w:numPr>
                <w:ilvl w:val="0"/>
                <w:numId w:val="2"/>
              </w:numPr>
              <w:spacing w:before="240"/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Uzgodnił oraz rekomendował </w:t>
            </w:r>
            <w:r w:rsidR="00021EE0" w:rsidRPr="0059788E">
              <w:rPr>
                <w:rFonts w:asciiTheme="minorHAnsi" w:hAnsiTheme="minorHAnsi" w:cstheme="minorHAnsi"/>
                <w:b/>
                <w:sz w:val="22"/>
                <w:szCs w:val="22"/>
              </w:rPr>
              <w:t>Radzie Ministrów</w:t>
            </w:r>
            <w:r w:rsidRPr="005978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rozpatrzenie następujących dokumentów: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Lista delegatów Polski do Komitetu Regionów Unii Europejskiej na kadencję 2020-2025.</w:t>
            </w:r>
          </w:p>
          <w:p w:rsidR="0059788E" w:rsidRPr="0059788E" w:rsidRDefault="0059788E" w:rsidP="0059788E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Komitet rekomendował RM zatwierdzenie kandydatur.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Program polskiej prezydencji w Grupie Wyszehradzkiej (V4).</w:t>
            </w:r>
          </w:p>
          <w:p w:rsidR="0059788E" w:rsidRPr="0059788E" w:rsidRDefault="0059788E" w:rsidP="0059788E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dokumentu.</w:t>
            </w:r>
          </w:p>
          <w:p w:rsidR="0059788E" w:rsidRPr="0059788E" w:rsidRDefault="0059788E" w:rsidP="0059788E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Informacja o stanowisku Polski na posiedzenie Rady Euro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pejskiej w dniach </w:t>
            </w:r>
            <w:r w:rsidRPr="0059788E">
              <w:rPr>
                <w:rFonts w:asciiTheme="minorHAnsi" w:hAnsiTheme="minorHAnsi" w:cstheme="minorHAnsi"/>
                <w:bCs/>
                <w:sz w:val="22"/>
                <w:szCs w:val="22"/>
              </w:rPr>
              <w:t>27-28 czerwca 2024 r.</w:t>
            </w:r>
          </w:p>
          <w:p w:rsidR="003C4BBD" w:rsidRPr="0059788E" w:rsidRDefault="0059788E" w:rsidP="0059788E">
            <w:pPr>
              <w:pStyle w:val="Akapitzlist"/>
              <w:ind w:left="708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88E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„Stanowiska Polski na posiedzenie Rady Europejskiej w dniach 27-28 czerwca 2024 r.”.</w:t>
            </w:r>
          </w:p>
        </w:tc>
      </w:tr>
    </w:tbl>
    <w:p w:rsidR="005B7044" w:rsidRPr="0059788E" w:rsidRDefault="005B7044" w:rsidP="0059788E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59788E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6E5" w:rsidRDefault="00AA26E5">
      <w:r>
        <w:separator/>
      </w:r>
    </w:p>
  </w:endnote>
  <w:endnote w:type="continuationSeparator" w:id="0">
    <w:p w:rsidR="00AA26E5" w:rsidRDefault="00AA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64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6E5" w:rsidRDefault="00AA26E5">
      <w:r>
        <w:separator/>
      </w:r>
    </w:p>
  </w:footnote>
  <w:footnote w:type="continuationSeparator" w:id="0">
    <w:p w:rsidR="00AA26E5" w:rsidRDefault="00AA2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F6A"/>
    <w:multiLevelType w:val="hybridMultilevel"/>
    <w:tmpl w:val="A76E954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DAE"/>
    <w:multiLevelType w:val="hybridMultilevel"/>
    <w:tmpl w:val="9CF6FC8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326B"/>
    <w:multiLevelType w:val="hybridMultilevel"/>
    <w:tmpl w:val="BF56DF4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7DBD"/>
    <w:multiLevelType w:val="hybridMultilevel"/>
    <w:tmpl w:val="8A4E493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80C3F"/>
    <w:multiLevelType w:val="hybridMultilevel"/>
    <w:tmpl w:val="16562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4A7142"/>
    <w:multiLevelType w:val="hybridMultilevel"/>
    <w:tmpl w:val="3BCED8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D6E83"/>
    <w:multiLevelType w:val="hybridMultilevel"/>
    <w:tmpl w:val="4B54517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F7CB7"/>
    <w:multiLevelType w:val="hybridMultilevel"/>
    <w:tmpl w:val="82F203F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E170B"/>
    <w:multiLevelType w:val="hybridMultilevel"/>
    <w:tmpl w:val="F01E6E1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0059A"/>
    <w:multiLevelType w:val="hybridMultilevel"/>
    <w:tmpl w:val="0BA06E0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D4338"/>
    <w:multiLevelType w:val="hybridMultilevel"/>
    <w:tmpl w:val="1F428A5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82CB4"/>
    <w:multiLevelType w:val="hybridMultilevel"/>
    <w:tmpl w:val="D7E29C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36BF3"/>
    <w:multiLevelType w:val="hybridMultilevel"/>
    <w:tmpl w:val="09E27B7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C483D"/>
    <w:multiLevelType w:val="hybridMultilevel"/>
    <w:tmpl w:val="05AE20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5B1024"/>
    <w:multiLevelType w:val="hybridMultilevel"/>
    <w:tmpl w:val="DC74D2C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E4DD7"/>
    <w:multiLevelType w:val="hybridMultilevel"/>
    <w:tmpl w:val="DCE84D7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A1F20"/>
    <w:multiLevelType w:val="hybridMultilevel"/>
    <w:tmpl w:val="82FEC19C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31C81434"/>
    <w:multiLevelType w:val="hybridMultilevel"/>
    <w:tmpl w:val="764A549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C57BB"/>
    <w:multiLevelType w:val="hybridMultilevel"/>
    <w:tmpl w:val="0D4800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A36929"/>
    <w:multiLevelType w:val="hybridMultilevel"/>
    <w:tmpl w:val="48BCC83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71F71"/>
    <w:multiLevelType w:val="hybridMultilevel"/>
    <w:tmpl w:val="D008792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46E7B"/>
    <w:multiLevelType w:val="hybridMultilevel"/>
    <w:tmpl w:val="21228E4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64DA7"/>
    <w:multiLevelType w:val="hybridMultilevel"/>
    <w:tmpl w:val="AE6854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764E3"/>
    <w:multiLevelType w:val="hybridMultilevel"/>
    <w:tmpl w:val="32CE8582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C37290A"/>
    <w:multiLevelType w:val="hybridMultilevel"/>
    <w:tmpl w:val="1D442C4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C2EC7"/>
    <w:multiLevelType w:val="hybridMultilevel"/>
    <w:tmpl w:val="7F16D20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134C4"/>
    <w:multiLevelType w:val="hybridMultilevel"/>
    <w:tmpl w:val="251E6622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580B5F2A"/>
    <w:multiLevelType w:val="hybridMultilevel"/>
    <w:tmpl w:val="2B3C27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B0A7C"/>
    <w:multiLevelType w:val="hybridMultilevel"/>
    <w:tmpl w:val="BDF04B2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D71CE"/>
    <w:multiLevelType w:val="hybridMultilevel"/>
    <w:tmpl w:val="56AC91D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52A44"/>
    <w:multiLevelType w:val="hybridMultilevel"/>
    <w:tmpl w:val="5A246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B568E3"/>
    <w:multiLevelType w:val="hybridMultilevel"/>
    <w:tmpl w:val="4A7A8C9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4288C"/>
    <w:multiLevelType w:val="hybridMultilevel"/>
    <w:tmpl w:val="87D8D84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12D05"/>
    <w:multiLevelType w:val="hybridMultilevel"/>
    <w:tmpl w:val="CCC65C8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977B3"/>
    <w:multiLevelType w:val="hybridMultilevel"/>
    <w:tmpl w:val="339AF0C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22B97"/>
    <w:multiLevelType w:val="hybridMultilevel"/>
    <w:tmpl w:val="11A41B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77D8F"/>
    <w:multiLevelType w:val="hybridMultilevel"/>
    <w:tmpl w:val="5C5A3DE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97FD6"/>
    <w:multiLevelType w:val="hybridMultilevel"/>
    <w:tmpl w:val="F482C8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D5409C"/>
    <w:multiLevelType w:val="hybridMultilevel"/>
    <w:tmpl w:val="DFCAD66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E3507"/>
    <w:multiLevelType w:val="hybridMultilevel"/>
    <w:tmpl w:val="0204AB3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11"/>
  </w:num>
  <w:num w:numId="4">
    <w:abstractNumId w:val="5"/>
  </w:num>
  <w:num w:numId="5">
    <w:abstractNumId w:val="18"/>
  </w:num>
  <w:num w:numId="6">
    <w:abstractNumId w:val="25"/>
  </w:num>
  <w:num w:numId="7">
    <w:abstractNumId w:val="32"/>
  </w:num>
  <w:num w:numId="8">
    <w:abstractNumId w:val="9"/>
  </w:num>
  <w:num w:numId="9">
    <w:abstractNumId w:val="24"/>
  </w:num>
  <w:num w:numId="10">
    <w:abstractNumId w:val="0"/>
  </w:num>
  <w:num w:numId="11">
    <w:abstractNumId w:val="29"/>
  </w:num>
  <w:num w:numId="12">
    <w:abstractNumId w:val="36"/>
  </w:num>
  <w:num w:numId="13">
    <w:abstractNumId w:val="26"/>
  </w:num>
  <w:num w:numId="14">
    <w:abstractNumId w:val="7"/>
  </w:num>
  <w:num w:numId="15">
    <w:abstractNumId w:val="23"/>
  </w:num>
  <w:num w:numId="16">
    <w:abstractNumId w:val="19"/>
  </w:num>
  <w:num w:numId="17">
    <w:abstractNumId w:val="17"/>
  </w:num>
  <w:num w:numId="18">
    <w:abstractNumId w:val="28"/>
  </w:num>
  <w:num w:numId="19">
    <w:abstractNumId w:val="31"/>
  </w:num>
  <w:num w:numId="20">
    <w:abstractNumId w:val="6"/>
  </w:num>
  <w:num w:numId="21">
    <w:abstractNumId w:val="21"/>
  </w:num>
  <w:num w:numId="22">
    <w:abstractNumId w:val="8"/>
  </w:num>
  <w:num w:numId="23">
    <w:abstractNumId w:val="20"/>
  </w:num>
  <w:num w:numId="24">
    <w:abstractNumId w:val="10"/>
  </w:num>
  <w:num w:numId="25">
    <w:abstractNumId w:val="39"/>
  </w:num>
  <w:num w:numId="26">
    <w:abstractNumId w:val="35"/>
  </w:num>
  <w:num w:numId="27">
    <w:abstractNumId w:val="12"/>
  </w:num>
  <w:num w:numId="28">
    <w:abstractNumId w:val="22"/>
  </w:num>
  <w:num w:numId="29">
    <w:abstractNumId w:val="30"/>
  </w:num>
  <w:num w:numId="30">
    <w:abstractNumId w:val="13"/>
  </w:num>
  <w:num w:numId="31">
    <w:abstractNumId w:val="4"/>
  </w:num>
  <w:num w:numId="32">
    <w:abstractNumId w:val="14"/>
  </w:num>
  <w:num w:numId="33">
    <w:abstractNumId w:val="38"/>
  </w:num>
  <w:num w:numId="34">
    <w:abstractNumId w:val="27"/>
  </w:num>
  <w:num w:numId="35">
    <w:abstractNumId w:val="3"/>
  </w:num>
  <w:num w:numId="36">
    <w:abstractNumId w:val="33"/>
  </w:num>
  <w:num w:numId="37">
    <w:abstractNumId w:val="2"/>
  </w:num>
  <w:num w:numId="38">
    <w:abstractNumId w:val="1"/>
  </w:num>
  <w:num w:numId="39">
    <w:abstractNumId w:val="16"/>
  </w:num>
  <w:num w:numId="4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70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3DD5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6A32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453B"/>
    <w:rsid w:val="003258C5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561E4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5D4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4B37"/>
    <w:rsid w:val="003D5051"/>
    <w:rsid w:val="003D58AD"/>
    <w:rsid w:val="003D698C"/>
    <w:rsid w:val="003D6BB9"/>
    <w:rsid w:val="003D6F02"/>
    <w:rsid w:val="003D7B9A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08E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88E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E7976"/>
    <w:rsid w:val="005F197D"/>
    <w:rsid w:val="005F1C48"/>
    <w:rsid w:val="005F281E"/>
    <w:rsid w:val="005F2C1C"/>
    <w:rsid w:val="005F2F77"/>
    <w:rsid w:val="005F343B"/>
    <w:rsid w:val="005F3D79"/>
    <w:rsid w:val="005F4596"/>
    <w:rsid w:val="005F4E3F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4691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52B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12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990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A40"/>
    <w:rsid w:val="00A96BD8"/>
    <w:rsid w:val="00A96E9F"/>
    <w:rsid w:val="00A971FB"/>
    <w:rsid w:val="00A97373"/>
    <w:rsid w:val="00AA0BC8"/>
    <w:rsid w:val="00AA1763"/>
    <w:rsid w:val="00AA1994"/>
    <w:rsid w:val="00AA1B58"/>
    <w:rsid w:val="00AA26E5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89F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09E3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342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4C48"/>
    <w:rsid w:val="00EA7A6A"/>
    <w:rsid w:val="00EA7ABE"/>
    <w:rsid w:val="00EB06BC"/>
    <w:rsid w:val="00EB0EE8"/>
    <w:rsid w:val="00EB3803"/>
    <w:rsid w:val="00EB3E5D"/>
    <w:rsid w:val="00EB49A7"/>
    <w:rsid w:val="00EB6927"/>
    <w:rsid w:val="00EC0645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8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DFCB-AD9E-473A-8024-60BDE825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2248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2024-02-14T10:41:00Z</cp:lastPrinted>
  <dcterms:created xsi:type="dcterms:W3CDTF">2024-07-09T09:04:00Z</dcterms:created>
  <dcterms:modified xsi:type="dcterms:W3CDTF">2024-07-09T09:18:00Z</dcterms:modified>
</cp:coreProperties>
</file>