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2"/>
        <w:gridCol w:w="6518"/>
      </w:tblGrid>
      <w:tr w:rsidR="00E927ED" w:rsidRPr="00A67844" w:rsidTr="00185550">
        <w:trPr>
          <w:trHeight w:hRule="exact" w:val="547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250FE5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BD49C2" w:rsidRDefault="00E927ED" w:rsidP="007D768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BD49C2">
              <w:rPr>
                <w:rFonts w:ascii="Arial" w:hAnsi="Arial" w:cs="Arial"/>
                <w:b/>
                <w:sz w:val="28"/>
                <w:szCs w:val="28"/>
              </w:rPr>
              <w:t>09.4</w:t>
            </w:r>
            <w:r w:rsidR="007D7682" w:rsidRPr="00BD49C2">
              <w:rPr>
                <w:rFonts w:ascii="Arial" w:hAnsi="Arial" w:cs="Arial"/>
                <w:b/>
                <w:sz w:val="28"/>
                <w:szCs w:val="28"/>
              </w:rPr>
              <w:t>155</w:t>
            </w:r>
          </w:p>
        </w:tc>
      </w:tr>
      <w:tr w:rsidR="00E927ED" w:rsidRPr="00A67844" w:rsidTr="00185550">
        <w:trPr>
          <w:trHeight w:hRule="exact" w:val="3571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7D7682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26B57">
              <w:rPr>
                <w:rFonts w:ascii="Arial" w:hAnsi="Arial" w:cs="Arial"/>
                <w:b/>
                <w:szCs w:val="20"/>
              </w:rPr>
              <w:t>Załącznik II do Umowy</w:t>
            </w:r>
            <w:r w:rsidRPr="00250FE5">
              <w:rPr>
                <w:rFonts w:ascii="Arial" w:hAnsi="Arial" w:cs="Arial"/>
                <w:szCs w:val="20"/>
              </w:rPr>
              <w:t xml:space="preserve"> zawartej między Wspólnotą a Szwajcarią w sprawie handlu produktami rolnymi, zatwierdzonej decyzją 2002/309/WE, </w:t>
            </w:r>
            <w:proofErr w:type="spellStart"/>
            <w:r w:rsidRPr="00250FE5">
              <w:rPr>
                <w:rFonts w:ascii="Arial" w:hAnsi="Arial" w:cs="Arial"/>
                <w:szCs w:val="20"/>
              </w:rPr>
              <w:t>Euratom</w:t>
            </w:r>
            <w:proofErr w:type="spellEnd"/>
            <w:r w:rsidRPr="00250FE5">
              <w:rPr>
                <w:rFonts w:ascii="Arial" w:hAnsi="Arial" w:cs="Arial"/>
                <w:szCs w:val="20"/>
              </w:rPr>
              <w:t xml:space="preserve"> Rady i Komisji z dnia 4 kwietnia 2002 r.</w:t>
            </w:r>
          </w:p>
          <w:p w:rsidR="00E927ED" w:rsidRPr="00250FE5" w:rsidRDefault="00E927ED" w:rsidP="00303E31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B26B57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250FE5">
              <w:rPr>
                <w:rFonts w:ascii="Arial" w:hAnsi="Arial" w:cs="Arial"/>
                <w:szCs w:val="20"/>
              </w:rPr>
              <w:t xml:space="preserve">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E927ED" w:rsidRPr="00250FE5" w:rsidRDefault="00E927ED" w:rsidP="00303E31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B26B57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250FE5">
              <w:rPr>
                <w:rFonts w:ascii="Arial" w:hAnsi="Arial" w:cs="Arial"/>
                <w:szCs w:val="20"/>
              </w:rPr>
              <w:t xml:space="preserve"> z dnia 17 grudnia 2019 r. ustanawiające zasady stosowania rozporządzeń Parlamentu Europejskiego i Rady (WE) nr 1306/2013, (UE) nr 1308/2013 i (UE) nr 510/2014 w odniesieniu do </w:t>
            </w:r>
            <w:r w:rsidRPr="00BD49C2">
              <w:rPr>
                <w:rFonts w:ascii="Arial" w:hAnsi="Arial" w:cs="Arial"/>
                <w:szCs w:val="20"/>
              </w:rPr>
              <w:t>systemu</w:t>
            </w:r>
            <w:r w:rsidRPr="00BD49C2">
              <w:rPr>
                <w:rStyle w:val="Hipercze"/>
                <w:rFonts w:ascii="Arial" w:hAnsi="Arial" w:cs="Arial"/>
                <w:szCs w:val="20"/>
                <w:u w:val="none"/>
              </w:rPr>
              <w:t xml:space="preserve"> </w:t>
            </w:r>
            <w:r w:rsidRPr="00BD49C2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E927ED" w:rsidRPr="00A67844" w:rsidTr="00185550">
        <w:trPr>
          <w:trHeight w:hRule="exact" w:val="580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Okres </w:t>
            </w:r>
            <w:r w:rsidRPr="00250FE5">
              <w:rPr>
                <w:rFonts w:ascii="Arial" w:hAnsi="Arial" w:cs="Arial"/>
                <w:szCs w:val="20"/>
              </w:rPr>
              <w:t>obowiązywania kontyngentu taryfowego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7D7682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Od 1 lipca do 30 czerwca</w:t>
            </w:r>
          </w:p>
        </w:tc>
      </w:tr>
      <w:tr w:rsidR="00E927ED" w:rsidRPr="00A67844" w:rsidTr="00185550">
        <w:trPr>
          <w:trHeight w:hRule="exact" w:val="695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Podokresy obowiązywania kontyngentu taryfo</w:t>
            </w:r>
            <w:r w:rsidRPr="00250FE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wego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A5632E" w:rsidRDefault="00A5632E" w:rsidP="00A5632E">
            <w:pPr>
              <w:spacing w:before="100" w:beforeAutospacing="1"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Od 1 lipca do 31 grudnia</w:t>
            </w:r>
          </w:p>
          <w:p w:rsidR="00A5632E" w:rsidRDefault="00A5632E" w:rsidP="00A5632E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Od 1 stycznia do 30 czerwca</w:t>
            </w:r>
          </w:p>
          <w:p w:rsidR="00A5632E" w:rsidRPr="00250FE5" w:rsidRDefault="00A5632E" w:rsidP="007D768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B26B57" w:rsidRPr="00A67844" w:rsidTr="00DF7597">
        <w:trPr>
          <w:trHeight w:hRule="exact" w:val="4958"/>
        </w:trPr>
        <w:tc>
          <w:tcPr>
            <w:tcW w:w="1671" w:type="pct"/>
            <w:shd w:val="clear" w:color="auto" w:fill="FFFFFF"/>
            <w:vAlign w:val="center"/>
          </w:tcPr>
          <w:p w:rsidR="00B26B57" w:rsidRPr="00250FE5" w:rsidRDefault="00B26B57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A5632E" w:rsidRDefault="00A5632E" w:rsidP="00A5632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Zgodnie z art. 6, 7 i 8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(UE) 2020/761.</w:t>
            </w:r>
          </w:p>
          <w:p w:rsidR="00A5632E" w:rsidRDefault="00A5632E" w:rsidP="00A5632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A5632E" w:rsidRDefault="00A5632E" w:rsidP="00A5632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Wnioski o pozwolenia składa się </w:t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</w:p>
          <w:p w:rsidR="0018134B" w:rsidRDefault="0018134B" w:rsidP="00A5632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</w:t>
            </w:r>
            <w:r w:rsidRPr="00E201CD">
              <w:rPr>
                <w:rFonts w:ascii="Arial" w:hAnsi="Arial" w:cs="Arial"/>
                <w:szCs w:val="20"/>
                <w:u w:val="single"/>
              </w:rPr>
              <w:t>między 23 i 30 listopada roku poprzedzającego</w:t>
            </w:r>
            <w:r w:rsidRPr="00DC5949">
              <w:rPr>
                <w:rFonts w:ascii="Arial" w:hAnsi="Arial" w:cs="Arial"/>
                <w:szCs w:val="20"/>
              </w:rPr>
              <w:t>.</w:t>
            </w:r>
          </w:p>
          <w:p w:rsidR="00FB5C97" w:rsidRDefault="00FB5C97" w:rsidP="00A5632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3E50">
              <w:rPr>
                <w:rFonts w:ascii="Arial" w:hAnsi="Arial" w:cs="Arial"/>
              </w:rPr>
              <w:t>W listopadzie podmioty mogą składać dwa wnioski na każdy kontyngent taryfowy: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grudnia i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stycznia.</w:t>
            </w:r>
          </w:p>
          <w:p w:rsidR="00A5632E" w:rsidRDefault="00A5632E" w:rsidP="00A5632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 wyjątkiem grudnia, w którym to miesiącu nie składa się żadnych wniosków.</w:t>
            </w:r>
          </w:p>
          <w:p w:rsidR="00A5632E" w:rsidRDefault="00A5632E" w:rsidP="00A5632E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B26B57" w:rsidRPr="00250FE5" w:rsidRDefault="00A5632E" w:rsidP="00A5632E">
            <w:pPr>
              <w:spacing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E927ED" w:rsidRPr="00A67844" w:rsidTr="00933865">
        <w:trPr>
          <w:trHeight w:hRule="exact" w:val="1578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BD49C2" w:rsidRPr="00BD49C2" w:rsidRDefault="00BD49C2" w:rsidP="007106A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BD49C2">
              <w:rPr>
                <w:rFonts w:ascii="Arial" w:hAnsi="Arial" w:cs="Arial"/>
                <w:bCs/>
                <w:szCs w:val="20"/>
              </w:rPr>
              <w:t>Mleko i śmietana, niezagęszczone ani niezawierające dodatku cukru lub innego środka słodzącego</w:t>
            </w:r>
          </w:p>
          <w:p w:rsidR="007D7682" w:rsidRPr="00250FE5" w:rsidRDefault="00933865" w:rsidP="007106A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="007D7682" w:rsidRPr="00250FE5">
              <w:rPr>
                <w:rFonts w:ascii="Arial" w:hAnsi="Arial" w:cs="Arial"/>
                <w:szCs w:val="20"/>
              </w:rPr>
              <w:t>x 04 01 40: o zawartości tłuszczu przekraczającej 6 % masy, ale nieprzekraczającej 10 % masy</w:t>
            </w:r>
          </w:p>
          <w:p w:rsidR="007D7682" w:rsidRDefault="00933865" w:rsidP="007106A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="007D7682" w:rsidRPr="00250FE5">
              <w:rPr>
                <w:rFonts w:ascii="Arial" w:hAnsi="Arial" w:cs="Arial"/>
                <w:szCs w:val="20"/>
              </w:rPr>
              <w:t>x 04 01 50: o zawartości tłuszczu przekraczającej 10 % masy</w:t>
            </w:r>
          </w:p>
          <w:p w:rsidR="007D7682" w:rsidRPr="00250FE5" w:rsidRDefault="007D7682" w:rsidP="007106A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0403 10: jogurt</w:t>
            </w:r>
          </w:p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E927ED" w:rsidRPr="00A67844" w:rsidTr="00185550">
        <w:trPr>
          <w:trHeight w:hRule="exact" w:val="278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BD49C2" w:rsidRDefault="007D7682" w:rsidP="00303E31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BD49C2">
              <w:rPr>
                <w:rFonts w:ascii="Arial" w:hAnsi="Arial" w:cs="Arial"/>
                <w:b/>
                <w:szCs w:val="20"/>
              </w:rPr>
              <w:t>Szwajcaria</w:t>
            </w:r>
          </w:p>
        </w:tc>
      </w:tr>
      <w:tr w:rsidR="00E927ED" w:rsidRPr="00A67844" w:rsidTr="00185550">
        <w:trPr>
          <w:trHeight w:hRule="exact" w:val="1141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E927ED" w:rsidRPr="00A67844" w:rsidTr="00185550">
        <w:trPr>
          <w:trHeight w:hRule="exact" w:val="1153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lastRenderedPageBreak/>
              <w:t>Dowód pochodzenia do celów dopuszczenia do obrotu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7D7682" w:rsidRPr="00250FE5" w:rsidRDefault="007D7682" w:rsidP="007106AD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Tak. CH.1 Świadectwo przewozowe zgodne z Protokołem nr 3, załącznik V do Umowy między EWG a Konfederacją Szwajcarską z dnia 22 lipca 1972 r., dotyczącym definicji pojęcia „produktów</w:t>
            </w:r>
            <w:r w:rsidR="00250FE5" w:rsidRPr="00250FE5">
              <w:rPr>
                <w:rFonts w:ascii="Arial" w:hAnsi="Arial" w:cs="Arial"/>
                <w:szCs w:val="20"/>
              </w:rPr>
              <w:t xml:space="preserve"> pochodzących” oraz metod współpracy administracyjnej</w:t>
            </w:r>
          </w:p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E927ED" w:rsidRPr="00A67844" w:rsidTr="00185550">
        <w:trPr>
          <w:trHeight w:hRule="exact" w:val="989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A403D4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="00E927ED" w:rsidRPr="00250FE5">
              <w:rPr>
                <w:rFonts w:ascii="Arial" w:hAnsi="Arial" w:cs="Arial"/>
                <w:szCs w:val="20"/>
              </w:rPr>
              <w:t>ość w kilogramach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250FE5" w:rsidRPr="00250FE5" w:rsidRDefault="00A403D4" w:rsidP="007106AD">
            <w:pPr>
              <w:spacing w:before="100" w:beforeAutospacing="1" w:after="100" w:afterAutospacing="1" w:line="240" w:lineRule="auto"/>
              <w:ind w:left="-10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="00250FE5" w:rsidRPr="00250FE5">
              <w:rPr>
                <w:rFonts w:ascii="Arial" w:hAnsi="Arial" w:cs="Arial"/>
                <w:szCs w:val="20"/>
              </w:rPr>
              <w:t>2 000 000 kg, w następującym podziale: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6446"/>
            </w:tblGrid>
            <w:tr w:rsidR="00250FE5" w:rsidRPr="00250FE5" w:rsidTr="00303E3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50FE5" w:rsidRPr="00250FE5" w:rsidRDefault="00250FE5" w:rsidP="007106AD">
                  <w:pPr>
                    <w:spacing w:before="100" w:beforeAutospacing="1" w:after="100" w:afterAutospacing="1" w:line="240" w:lineRule="auto"/>
                    <w:ind w:left="-10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250FE5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50FE5" w:rsidRPr="00250FE5" w:rsidRDefault="00250FE5" w:rsidP="007106AD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250FE5">
                    <w:rPr>
                      <w:rFonts w:ascii="Arial" w:hAnsi="Arial" w:cs="Arial"/>
                      <w:szCs w:val="20"/>
                    </w:rPr>
                    <w:t>1 000 000 kg przypadające na podokres od 1 lipca do 31 grudnia</w:t>
                  </w:r>
                </w:p>
              </w:tc>
            </w:tr>
          </w:tbl>
          <w:p w:rsidR="00250FE5" w:rsidRPr="00250FE5" w:rsidRDefault="00250FE5" w:rsidP="007106AD">
            <w:pPr>
              <w:spacing w:line="240" w:lineRule="auto"/>
              <w:ind w:left="-10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"/>
              <w:gridCol w:w="6450"/>
            </w:tblGrid>
            <w:tr w:rsidR="00250FE5" w:rsidRPr="00250FE5" w:rsidTr="00303E3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50FE5" w:rsidRPr="00250FE5" w:rsidRDefault="00250FE5" w:rsidP="007106AD">
                  <w:pPr>
                    <w:spacing w:before="100" w:beforeAutospacing="1" w:after="100" w:afterAutospacing="1" w:line="240" w:lineRule="auto"/>
                    <w:ind w:left="-10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250FE5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50FE5" w:rsidRPr="00250FE5" w:rsidRDefault="00250FE5" w:rsidP="007106AD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250FE5">
                    <w:rPr>
                      <w:rFonts w:ascii="Arial" w:hAnsi="Arial" w:cs="Arial"/>
                      <w:szCs w:val="20"/>
                    </w:rPr>
                    <w:t>1 000 000 kg przypadające na podokres od 1 stycznia do 30 czerwca</w:t>
                  </w:r>
                </w:p>
              </w:tc>
            </w:tr>
          </w:tbl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E927ED" w:rsidRPr="00A67844" w:rsidTr="00185550">
        <w:trPr>
          <w:trHeight w:hRule="exact" w:val="418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A403D4" w:rsidP="00A403D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="00250FE5" w:rsidRPr="00250FE5">
              <w:rPr>
                <w:rFonts w:ascii="Arial" w:hAnsi="Arial" w:cs="Arial"/>
                <w:szCs w:val="20"/>
              </w:rPr>
              <w:t>x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50FE5" w:rsidRPr="00250FE5">
              <w:rPr>
                <w:rFonts w:ascii="Arial" w:hAnsi="Arial" w:cs="Arial"/>
                <w:szCs w:val="20"/>
              </w:rPr>
              <w:t>04 01 40, ex 0401 50, 0403 10</w:t>
            </w:r>
          </w:p>
        </w:tc>
      </w:tr>
      <w:tr w:rsidR="00E927ED" w:rsidRPr="00A67844" w:rsidTr="00185550">
        <w:trPr>
          <w:trHeight w:hRule="exact" w:val="424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0 EUR</w:t>
            </w:r>
          </w:p>
        </w:tc>
      </w:tr>
      <w:tr w:rsidR="00E927ED" w:rsidRPr="00A67844" w:rsidTr="00185550">
        <w:trPr>
          <w:trHeight w:hRule="exact" w:val="2414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A403D4" w:rsidRDefault="00A403D4" w:rsidP="00A403D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25 ton</w:t>
            </w:r>
          </w:p>
          <w:p w:rsidR="00A403D4" w:rsidRDefault="00A403D4" w:rsidP="00A403D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Wraz z pierwszym wnioskiem o pozwolenie na dany rok kontyngentowy przedsiębiorca przedkłada dowód handlu potwierdzający przywóz do Unii lub wywóz z Unii 25 ton produktów objętych rynkiem mleka i przetworów mlecznych (załącznik I część XVI rozporządzenia (UE nr 1308/2013) w każdym z dwóch dwunastomiesięcznych okresów kończących się na 2 miesiące przed możliwością złożenia pierwszego wniosku na dany rok kontyngentowy.</w:t>
            </w:r>
          </w:p>
          <w:p w:rsidR="00C80B12" w:rsidRPr="00C80B12" w:rsidRDefault="00A403D4" w:rsidP="00A403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  <w:r w:rsidR="00C80B12" w:rsidRPr="00C80B12">
              <w:rPr>
                <w:rFonts w:ascii="Arial" w:hAnsi="Arial" w:cs="Arial"/>
              </w:rPr>
              <w:t xml:space="preserve"> </w:t>
            </w:r>
          </w:p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E927ED" w:rsidRPr="00A67844" w:rsidTr="00185550">
        <w:trPr>
          <w:trHeight w:hRule="exact" w:val="833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250FE5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35</w:t>
            </w:r>
            <w:r w:rsidR="00E927ED"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 EUR za 100 kg</w:t>
            </w: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50FE5">
              <w:rPr>
                <w:rFonts w:ascii="Arial" w:hAnsi="Arial" w:cs="Arial"/>
                <w:szCs w:val="20"/>
              </w:rPr>
              <w:t>masy netto</w:t>
            </w:r>
          </w:p>
        </w:tc>
      </w:tr>
      <w:tr w:rsidR="00E927ED" w:rsidRPr="00A67844" w:rsidTr="00185550">
        <w:trPr>
          <w:trHeight w:hRule="exact" w:val="1568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A403D4" w:rsidRDefault="00A403D4" w:rsidP="00A403D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A403D4" w:rsidRPr="00A67844" w:rsidRDefault="00A403D4" w:rsidP="00A403D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Sekcja 19 pozwolenia </w:t>
            </w:r>
            <w:r w:rsidR="00F85BC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–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</w:t>
            </w:r>
            <w:r w:rsidR="00F85BC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%</w:t>
            </w:r>
          </w:p>
          <w:p w:rsidR="006905BB" w:rsidRDefault="00A403D4" w:rsidP="00A403D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Numer porządkowy 09.4155”; </w:t>
            </w:r>
          </w:p>
          <w:p w:rsidR="00A403D4" w:rsidRPr="00A67844" w:rsidRDefault="006905BB" w:rsidP="00A403D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wniosku i 24 pozwolenia należy podać: </w:t>
            </w:r>
            <w:r w:rsidR="00A403D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„Stawka celna w ramach kontyngentu – 0 EUR””</w:t>
            </w:r>
          </w:p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106AD" w:rsidRPr="00A67844" w:rsidTr="00DF7597">
        <w:trPr>
          <w:trHeight w:hRule="exact" w:val="1277"/>
        </w:trPr>
        <w:tc>
          <w:tcPr>
            <w:tcW w:w="1671" w:type="pct"/>
            <w:shd w:val="clear" w:color="auto" w:fill="FFFFFF"/>
            <w:vAlign w:val="center"/>
          </w:tcPr>
          <w:p w:rsidR="007106AD" w:rsidRPr="00250FE5" w:rsidRDefault="006905BB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6905BB" w:rsidRDefault="006905BB" w:rsidP="006905BB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6905BB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18134B" w:rsidRPr="006905BB" w:rsidRDefault="0018134B" w:rsidP="006905BB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z terminem ważności od 1 stycznia są wydawane od 15 do 31 grudnia roku poprzedniego.</w:t>
            </w:r>
          </w:p>
          <w:p w:rsidR="007106AD" w:rsidRPr="00250FE5" w:rsidRDefault="007106AD" w:rsidP="00303E31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927ED" w:rsidRPr="00A67844" w:rsidTr="00DF7597">
        <w:trPr>
          <w:trHeight w:hRule="exact" w:val="4257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BE072B" w:rsidRDefault="00BE072B" w:rsidP="002173F7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Zgodnie z art. 13 rozporządzenia wykonawczego (UE) 2020/761</w:t>
            </w:r>
          </w:p>
          <w:p w:rsidR="00215413" w:rsidRPr="00DF7597" w:rsidRDefault="00215413" w:rsidP="00DF7597">
            <w:pPr>
              <w:spacing w:after="0" w:line="240" w:lineRule="auto"/>
              <w:ind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</w:t>
            </w:r>
            <w:r w:rsidRPr="00DF7597">
              <w:rPr>
                <w:rFonts w:ascii="Arial" w:hAnsi="Arial" w:cs="Arial"/>
                <w:szCs w:val="20"/>
              </w:rPr>
              <w:t>w przypadku wniosków złożonych przed okresem obowiązywania kontyngentu taryfowego – od pierwszego dnia kalendarzowego okresu obowiązywania kontyngentu taryfowego do końca okresu obowiązywania kontyngentu taryfowego;</w:t>
            </w:r>
          </w:p>
          <w:p w:rsidR="00215413" w:rsidRPr="00DF7597" w:rsidRDefault="00215413" w:rsidP="00DF7597">
            <w:pPr>
              <w:spacing w:after="0" w:line="240" w:lineRule="auto"/>
              <w:ind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</w:t>
            </w:r>
            <w:r w:rsidRPr="00DF7597">
              <w:rPr>
                <w:rFonts w:ascii="Arial" w:hAnsi="Arial" w:cs="Arial"/>
                <w:szCs w:val="20"/>
              </w:rPr>
              <w:t>w przypadku wniosków złożonych w trakcie okresu obowiązywania kontyngentu taryfowego – od pierwszego dnia kalendarzowego miesiąca następującego po złożeniu wniosku do końca okresu obowiązywania kontyngentu taryfowego;</w:t>
            </w:r>
          </w:p>
          <w:p w:rsidR="00215413" w:rsidRPr="00DF7597" w:rsidRDefault="00215413" w:rsidP="00DF7597">
            <w:pPr>
              <w:spacing w:after="0" w:line="240" w:lineRule="auto"/>
              <w:ind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</w:t>
            </w:r>
            <w:r w:rsidRPr="00DF7597">
              <w:rPr>
                <w:rFonts w:ascii="Arial" w:hAnsi="Arial" w:cs="Arial"/>
                <w:szCs w:val="20"/>
              </w:rPr>
              <w:t>w przypadku wniosków złożonych między 23 a 30 listopada roku poprzedzającego – od dnia 1 stycznia następnego roku do końca okresu obowiązywania kontyngentu taryfowego;</w:t>
            </w:r>
          </w:p>
          <w:p w:rsidR="00E927ED" w:rsidRPr="00250FE5" w:rsidRDefault="00215413" w:rsidP="002173F7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 w przypadku, gdy rok kontyngentowy został podzielony na podokresy, termin ważności pozwoleń wydanych dla danego podokresu upływa w ostatnim dniu kalendarzowym miesiąca następującego po zakończeniu tego podokresu, ale nie później niż z końcem okresu obowiązywania kontyngentu taryfowego.</w:t>
            </w:r>
          </w:p>
        </w:tc>
      </w:tr>
      <w:tr w:rsidR="00E927ED" w:rsidRPr="00A67844" w:rsidTr="00933865">
        <w:trPr>
          <w:trHeight w:hRule="exact" w:val="1279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lastRenderedPageBreak/>
              <w:t>Możliwość przeniesienia pozwolenia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6905BB" w:rsidRDefault="006905BB" w:rsidP="006905B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6905BB" w:rsidRDefault="006905BB" w:rsidP="006905B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E927ED" w:rsidRPr="00250FE5" w:rsidRDefault="006905BB" w:rsidP="006905B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E927ED" w:rsidRPr="00A67844" w:rsidTr="00185550">
        <w:trPr>
          <w:trHeight w:hRule="exact" w:val="400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Nie</w:t>
            </w:r>
          </w:p>
        </w:tc>
      </w:tr>
      <w:tr w:rsidR="00E927ED" w:rsidRPr="00A67844" w:rsidTr="00185550">
        <w:trPr>
          <w:trHeight w:hRule="exact" w:val="596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Nie</w:t>
            </w:r>
          </w:p>
        </w:tc>
      </w:tr>
      <w:tr w:rsidR="00E927ED" w:rsidRPr="00A67844" w:rsidTr="00185550">
        <w:trPr>
          <w:trHeight w:hRule="exact" w:val="392"/>
        </w:trPr>
        <w:tc>
          <w:tcPr>
            <w:tcW w:w="1671" w:type="pct"/>
            <w:shd w:val="clear" w:color="auto" w:fill="FFFFFF"/>
            <w:vAlign w:val="center"/>
          </w:tcPr>
          <w:p w:rsidR="00E927ED" w:rsidRPr="00250FE5" w:rsidRDefault="00E927ED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Warunki szczególne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E927ED" w:rsidRPr="00250FE5" w:rsidRDefault="00250FE5" w:rsidP="00303E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FE5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Nie</w:t>
            </w:r>
          </w:p>
        </w:tc>
      </w:tr>
      <w:tr w:rsidR="006905BB" w:rsidRPr="00A67844" w:rsidTr="00185550">
        <w:trPr>
          <w:trHeight w:hRule="exact" w:val="392"/>
        </w:trPr>
        <w:tc>
          <w:tcPr>
            <w:tcW w:w="1671" w:type="pct"/>
            <w:shd w:val="clear" w:color="auto" w:fill="FFFFFF"/>
            <w:vAlign w:val="center"/>
          </w:tcPr>
          <w:p w:rsidR="006905BB" w:rsidRPr="00250FE5" w:rsidRDefault="006905BB" w:rsidP="00303E31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Termin na zwrot pozwolenia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6905BB" w:rsidRPr="00250FE5" w:rsidRDefault="006905BB" w:rsidP="00303E31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60 dni od daty wygaśnięcia ważności pozwolenia</w:t>
            </w:r>
          </w:p>
        </w:tc>
      </w:tr>
      <w:tr w:rsidR="00215413" w:rsidRPr="00A67844" w:rsidTr="00DF7597">
        <w:trPr>
          <w:trHeight w:hRule="exact" w:val="1754"/>
        </w:trPr>
        <w:tc>
          <w:tcPr>
            <w:tcW w:w="1671" w:type="pct"/>
            <w:shd w:val="clear" w:color="auto" w:fill="FFFFFF"/>
            <w:vAlign w:val="center"/>
          </w:tcPr>
          <w:p w:rsidR="00215413" w:rsidRDefault="00215413" w:rsidP="00303E31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UWAGA</w:t>
            </w:r>
          </w:p>
        </w:tc>
        <w:tc>
          <w:tcPr>
            <w:tcW w:w="3329" w:type="pct"/>
            <w:shd w:val="clear" w:color="auto" w:fill="FFFFFF"/>
            <w:vAlign w:val="center"/>
          </w:tcPr>
          <w:p w:rsidR="00215413" w:rsidRPr="00DF7597" w:rsidRDefault="00215413" w:rsidP="00215413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DF7597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95% ilości, na jaką wydano pozwolenie skutkuje częściowym przepadkiem zabezpieczenia.</w:t>
            </w:r>
          </w:p>
          <w:p w:rsidR="00215413" w:rsidRPr="00DF7597" w:rsidRDefault="00215413" w:rsidP="00215413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DF7597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5% następuje całkowity przepadek zabezpieczenia.</w:t>
            </w:r>
          </w:p>
          <w:p w:rsidR="00215413" w:rsidRDefault="00215413" w:rsidP="00215413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C371BF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E927ED" w:rsidRPr="00A67844" w:rsidRDefault="00E927ED" w:rsidP="00E927E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E927ED" w:rsidRPr="00A67844" w:rsidRDefault="00E927ED" w:rsidP="00E927E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E927ED" w:rsidRDefault="00E927ED" w:rsidP="00E927ED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E927ED" w:rsidRDefault="00E927ED" w:rsidP="00E927ED"/>
    <w:sectPr w:rsidR="00E927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7C" w:rsidRDefault="0087337C" w:rsidP="002B04F0">
      <w:pPr>
        <w:spacing w:after="0" w:line="240" w:lineRule="auto"/>
      </w:pPr>
      <w:r>
        <w:separator/>
      </w:r>
    </w:p>
  </w:endnote>
  <w:endnote w:type="continuationSeparator" w:id="0">
    <w:p w:rsidR="0087337C" w:rsidRDefault="0087337C" w:rsidP="002B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7C" w:rsidRDefault="0087337C" w:rsidP="002B04F0">
      <w:pPr>
        <w:spacing w:after="0" w:line="240" w:lineRule="auto"/>
      </w:pPr>
      <w:r>
        <w:separator/>
      </w:r>
    </w:p>
  </w:footnote>
  <w:footnote w:type="continuationSeparator" w:id="0">
    <w:p w:rsidR="0087337C" w:rsidRDefault="0087337C" w:rsidP="002B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11" w:rsidRDefault="00C80B12">
    <w:pPr>
      <w:pStyle w:val="Nagwek"/>
    </w:pPr>
    <w:r>
      <w:t xml:space="preserve">Kontyngent taryfowy w sektorze </w:t>
    </w:r>
    <w:r w:rsidR="002B04F0">
      <w:t>mleka</w:t>
    </w:r>
    <w:r w:rsidR="00A5632E">
      <w:t xml:space="preserve"> i przetworów mlecznych</w:t>
    </w:r>
    <w:r w:rsidR="00BE2A52">
      <w:t xml:space="preserve"> ze Szwajcarii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B8E"/>
    <w:multiLevelType w:val="hybridMultilevel"/>
    <w:tmpl w:val="3F46C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94D0B"/>
    <w:multiLevelType w:val="hybridMultilevel"/>
    <w:tmpl w:val="EA0ED30A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ED"/>
    <w:rsid w:val="00013D30"/>
    <w:rsid w:val="000E0767"/>
    <w:rsid w:val="000F444F"/>
    <w:rsid w:val="0018134B"/>
    <w:rsid w:val="00185550"/>
    <w:rsid w:val="00215413"/>
    <w:rsid w:val="002173F7"/>
    <w:rsid w:val="00250FE5"/>
    <w:rsid w:val="00284F43"/>
    <w:rsid w:val="002954CE"/>
    <w:rsid w:val="002B04F0"/>
    <w:rsid w:val="00397BD3"/>
    <w:rsid w:val="003A1216"/>
    <w:rsid w:val="004836C4"/>
    <w:rsid w:val="00510FD7"/>
    <w:rsid w:val="006905BB"/>
    <w:rsid w:val="007106AD"/>
    <w:rsid w:val="00764F51"/>
    <w:rsid w:val="007D7682"/>
    <w:rsid w:val="0087337C"/>
    <w:rsid w:val="008F073A"/>
    <w:rsid w:val="00933865"/>
    <w:rsid w:val="009F6811"/>
    <w:rsid w:val="00A403D4"/>
    <w:rsid w:val="00A5632E"/>
    <w:rsid w:val="00AD4710"/>
    <w:rsid w:val="00B26B57"/>
    <w:rsid w:val="00B425A2"/>
    <w:rsid w:val="00B9131A"/>
    <w:rsid w:val="00BD49C2"/>
    <w:rsid w:val="00BE072B"/>
    <w:rsid w:val="00BE2A52"/>
    <w:rsid w:val="00BF757E"/>
    <w:rsid w:val="00C57169"/>
    <w:rsid w:val="00C80B12"/>
    <w:rsid w:val="00D70671"/>
    <w:rsid w:val="00DF7597"/>
    <w:rsid w:val="00E31AC2"/>
    <w:rsid w:val="00E927ED"/>
    <w:rsid w:val="00F37F05"/>
    <w:rsid w:val="00F85BC0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7ED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E927E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Odstpy0pt">
    <w:name w:val="Tekst treści (2) + Bez pogrubienia;Kursywa;Odstępy 0 pt"/>
    <w:basedOn w:val="Domylnaczcionkaakapitu"/>
    <w:rsid w:val="00E927ED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9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7ED"/>
    <w:rPr>
      <w:rFonts w:ascii="Cambria" w:eastAsiaTheme="minorHAnsi" w:hAnsi="Cambria" w:cstheme="minorBidi"/>
      <w:szCs w:val="22"/>
      <w:lang w:eastAsia="en-US"/>
    </w:rPr>
  </w:style>
  <w:style w:type="character" w:styleId="Hipercze">
    <w:name w:val="Hyperlink"/>
    <w:basedOn w:val="Domylnaczcionkaakapitu"/>
    <w:rsid w:val="00E927E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B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F0"/>
    <w:rPr>
      <w:rFonts w:ascii="Cambria" w:eastAsiaTheme="minorHAnsi" w:hAnsi="Cambria" w:cstheme="minorBidi"/>
      <w:szCs w:val="22"/>
      <w:lang w:eastAsia="en-US"/>
    </w:rPr>
  </w:style>
  <w:style w:type="character" w:customStyle="1" w:styleId="Teksttreci29">
    <w:name w:val="Tekst treści (2) + 9"/>
    <w:aliases w:val="5 pt,Bez pogrubienia"/>
    <w:basedOn w:val="Domylnaczcionkaakapitu"/>
    <w:rsid w:val="006905BB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F37F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34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7ED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E927E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Odstpy0pt">
    <w:name w:val="Tekst treści (2) + Bez pogrubienia;Kursywa;Odstępy 0 pt"/>
    <w:basedOn w:val="Domylnaczcionkaakapitu"/>
    <w:rsid w:val="00E927ED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9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7ED"/>
    <w:rPr>
      <w:rFonts w:ascii="Cambria" w:eastAsiaTheme="minorHAnsi" w:hAnsi="Cambria" w:cstheme="minorBidi"/>
      <w:szCs w:val="22"/>
      <w:lang w:eastAsia="en-US"/>
    </w:rPr>
  </w:style>
  <w:style w:type="character" w:styleId="Hipercze">
    <w:name w:val="Hyperlink"/>
    <w:basedOn w:val="Domylnaczcionkaakapitu"/>
    <w:rsid w:val="00E927E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B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F0"/>
    <w:rPr>
      <w:rFonts w:ascii="Cambria" w:eastAsiaTheme="minorHAnsi" w:hAnsi="Cambria" w:cstheme="minorBidi"/>
      <w:szCs w:val="22"/>
      <w:lang w:eastAsia="en-US"/>
    </w:rPr>
  </w:style>
  <w:style w:type="character" w:customStyle="1" w:styleId="Teksttreci29">
    <w:name w:val="Tekst treści (2) + 9"/>
    <w:aliases w:val="5 pt,Bez pogrubienia"/>
    <w:basedOn w:val="Domylnaczcionkaakapitu"/>
    <w:rsid w:val="006905BB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F37F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34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Wawrenty Beata</cp:lastModifiedBy>
  <cp:revision>5</cp:revision>
  <dcterms:created xsi:type="dcterms:W3CDTF">2023-01-17T07:13:00Z</dcterms:created>
  <dcterms:modified xsi:type="dcterms:W3CDTF">2023-01-20T13:48:00Z</dcterms:modified>
</cp:coreProperties>
</file>