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2E1" w:rsidRPr="00C932E1" w:rsidRDefault="00C932E1" w:rsidP="00C932E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65D0D19F" wp14:editId="1706B1FB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2E1" w:rsidRPr="00C932E1" w:rsidRDefault="00C932E1" w:rsidP="00C932E1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C932E1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C932E1" w:rsidRPr="00C932E1" w:rsidRDefault="00C932E1" w:rsidP="00C932E1">
      <w:pPr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710888" w:rsidRPr="00C932E1" w:rsidRDefault="00C932E1" w:rsidP="00C932E1">
      <w:pPr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 xml:space="preserve">Warszawa, </w:t>
      </w:r>
      <w:bookmarkStart w:id="0" w:name="ezdDataPodpisu"/>
      <w:r w:rsidRPr="00C932E1">
        <w:rPr>
          <w:rFonts w:asciiTheme="minorHAnsi" w:hAnsiTheme="minorHAnsi" w:cstheme="minorHAnsi"/>
          <w:sz w:val="24"/>
          <w:szCs w:val="24"/>
        </w:rPr>
        <w:t>04 lipca 2025</w:t>
      </w:r>
      <w:bookmarkEnd w:id="0"/>
      <w:r w:rsidRPr="00C932E1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A0A31" w:rsidRPr="00C932E1" w:rsidRDefault="00C932E1" w:rsidP="00C932E1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C932E1">
        <w:rPr>
          <w:rFonts w:asciiTheme="minorHAnsi" w:hAnsiTheme="minorHAnsi" w:cstheme="minorHAnsi"/>
          <w:sz w:val="24"/>
          <w:szCs w:val="24"/>
        </w:rPr>
        <w:t>DOOŚ-WDŚI.420.27.2024</w:t>
      </w:r>
      <w:bookmarkEnd w:id="1"/>
      <w:r w:rsidRPr="00C932E1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bookmarkStart w:id="3" w:name="ezdAtrybut_ezdAutorInicjaly"/>
      <w:r w:rsidRPr="00C932E1">
        <w:rPr>
          <w:rFonts w:asciiTheme="minorHAnsi" w:hAnsiTheme="minorHAnsi" w:cstheme="minorHAnsi"/>
          <w:sz w:val="24"/>
          <w:szCs w:val="24"/>
        </w:rPr>
        <w:t>SK</w:t>
      </w:r>
      <w:bookmarkEnd w:id="2"/>
      <w:bookmarkEnd w:id="3"/>
      <w:r w:rsidRPr="00C932E1">
        <w:rPr>
          <w:rFonts w:asciiTheme="minorHAnsi" w:hAnsiTheme="minorHAnsi" w:cstheme="minorHAnsi"/>
          <w:sz w:val="24"/>
          <w:szCs w:val="24"/>
        </w:rPr>
        <w:t>.MD.24</w:t>
      </w:r>
    </w:p>
    <w:p w:rsidR="002A0A31" w:rsidRPr="00C932E1" w:rsidRDefault="00C932E1" w:rsidP="00C932E1">
      <w:pPr>
        <w:rPr>
          <w:rFonts w:asciiTheme="minorHAnsi" w:hAnsiTheme="minorHAnsi" w:cstheme="minorHAnsi"/>
          <w:sz w:val="24"/>
          <w:szCs w:val="24"/>
        </w:rPr>
      </w:pPr>
    </w:p>
    <w:p w:rsidR="002A0A31" w:rsidRPr="00C932E1" w:rsidRDefault="00C932E1" w:rsidP="00C932E1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932E1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:rsidR="002A0A31" w:rsidRPr="00C932E1" w:rsidRDefault="00C932E1" w:rsidP="00C932E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>Środowiska, na podstawie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 art. 49 § 1 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ustawy z dnia 14 czerwca 1960 r. </w:t>
      </w:r>
      <w:r w:rsidRPr="00C932E1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k.p.a.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w związku z art. 74 ust. 3 ustawy z dnia 3 października 2008 r. 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wa w ochronie środowiska oraz o 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ocenach oddziaływania na środowisko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 (Dz. U. z 202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 r. poz. 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>1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>094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), dalej </w:t>
      </w:r>
      <w:r w:rsidRPr="00C932E1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>zawiadamia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 strony postępowania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>, że</w:t>
      </w:r>
      <w:r w:rsidRPr="00C932E1">
        <w:rPr>
          <w:rFonts w:asciiTheme="minorHAnsi" w:hAnsiTheme="minorHAnsi" w:cstheme="minorHAnsi"/>
          <w:color w:val="000000"/>
          <w:sz w:val="24"/>
          <w:szCs w:val="24"/>
        </w:rPr>
        <w:t xml:space="preserve"> decyzją z 2 lipca 2025 r., znak: DOOŚ-WDŚI.420.27.2024.SK.MD.23, uchylił w części decyzję</w:t>
      </w:r>
      <w:r w:rsidRPr="00C932E1">
        <w:rPr>
          <w:rFonts w:asciiTheme="minorHAnsi" w:hAnsiTheme="minorHAnsi" w:cstheme="minorHAnsi"/>
          <w:sz w:val="24"/>
          <w:szCs w:val="24"/>
        </w:rPr>
        <w:t xml:space="preserve"> Regionalnego Dyrektora Ochrony Środowiska w Opolu z 19 czerwca 2024 r., </w:t>
      </w:r>
      <w:r w:rsidRPr="00C932E1">
        <w:rPr>
          <w:rFonts w:asciiTheme="minorHAnsi" w:hAnsiTheme="minorHAnsi" w:cstheme="minorHAnsi"/>
          <w:sz w:val="24"/>
          <w:szCs w:val="24"/>
        </w:rPr>
        <w:t xml:space="preserve">znak: WOOŚ.420.6.2022.MSe.74, o </w:t>
      </w:r>
      <w:r w:rsidRPr="00C932E1">
        <w:rPr>
          <w:rFonts w:asciiTheme="minorHAnsi" w:hAnsiTheme="minorHAnsi" w:cstheme="minorHAnsi"/>
          <w:sz w:val="24"/>
          <w:szCs w:val="24"/>
        </w:rPr>
        <w:t>środowiskowych uwarunkowani</w:t>
      </w:r>
      <w:r w:rsidRPr="00C932E1">
        <w:rPr>
          <w:rFonts w:asciiTheme="minorHAnsi" w:hAnsiTheme="minorHAnsi" w:cstheme="minorHAnsi"/>
          <w:sz w:val="24"/>
          <w:szCs w:val="24"/>
        </w:rPr>
        <w:t xml:space="preserve">ach dla przedsięwzięcia pn. „Budowa obwodnicy Brzegu w ciągu drogi krajowej nr 39”, </w:t>
      </w:r>
      <w:r w:rsidRPr="00C932E1">
        <w:rPr>
          <w:rFonts w:asciiTheme="minorHAnsi" w:hAnsiTheme="minorHAnsi" w:cstheme="minorHAnsi"/>
          <w:sz w:val="24"/>
          <w:szCs w:val="24"/>
        </w:rPr>
        <w:t>i w tym zakresie orzekł co do istoty sprawy</w:t>
      </w:r>
      <w:r w:rsidRPr="00C932E1">
        <w:rPr>
          <w:rFonts w:asciiTheme="minorHAnsi" w:hAnsiTheme="minorHAnsi" w:cstheme="minorHAnsi"/>
          <w:sz w:val="24"/>
          <w:szCs w:val="24"/>
        </w:rPr>
        <w:t xml:space="preserve"> albo umorzył postępowanie pierwszej instancji</w:t>
      </w:r>
      <w:r w:rsidRPr="00C932E1">
        <w:rPr>
          <w:rFonts w:asciiTheme="minorHAnsi" w:hAnsiTheme="minorHAnsi" w:cstheme="minorHAnsi"/>
          <w:sz w:val="24"/>
          <w:szCs w:val="24"/>
        </w:rPr>
        <w:t>, a w pozostałej części utrzymał decyzję w mocy.</w:t>
      </w:r>
    </w:p>
    <w:p w:rsidR="002A0A31" w:rsidRPr="00C932E1" w:rsidRDefault="00C932E1" w:rsidP="00C932E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 xml:space="preserve">Doręczenie </w:t>
      </w:r>
      <w:r w:rsidRPr="00C932E1">
        <w:rPr>
          <w:rFonts w:asciiTheme="minorHAnsi" w:hAnsiTheme="minorHAnsi" w:cstheme="minorHAnsi"/>
          <w:sz w:val="24"/>
          <w:szCs w:val="24"/>
        </w:rPr>
        <w:t>decyzji</w:t>
      </w:r>
      <w:r w:rsidRPr="00C932E1">
        <w:rPr>
          <w:rFonts w:asciiTheme="minorHAnsi" w:hAnsiTheme="minorHAnsi" w:cstheme="minorHAnsi"/>
          <w:sz w:val="24"/>
          <w:szCs w:val="24"/>
        </w:rPr>
        <w:t xml:space="preserve"> stronom postępo</w:t>
      </w:r>
      <w:r w:rsidRPr="00C932E1">
        <w:rPr>
          <w:rFonts w:asciiTheme="minorHAnsi" w:hAnsiTheme="minorHAnsi" w:cstheme="minorHAnsi"/>
          <w:sz w:val="24"/>
          <w:szCs w:val="24"/>
        </w:rPr>
        <w:t>wania uważa się za dokonane po upływie 14</w:t>
      </w:r>
      <w:r w:rsidRPr="00C932E1">
        <w:rPr>
          <w:rFonts w:asciiTheme="minorHAnsi" w:hAnsiTheme="minorHAnsi" w:cstheme="minorHAnsi"/>
          <w:sz w:val="24"/>
          <w:szCs w:val="24"/>
        </w:rPr>
        <w:t> </w:t>
      </w:r>
      <w:r w:rsidRPr="00C932E1">
        <w:rPr>
          <w:rFonts w:asciiTheme="minorHAnsi" w:hAnsiTheme="minorHAnsi" w:cstheme="minorHAnsi"/>
          <w:sz w:val="24"/>
          <w:szCs w:val="24"/>
        </w:rPr>
        <w:t>dni liczonych od następnego dnia po dniu, w którym upubliczniono zawiadomienie.</w:t>
      </w:r>
    </w:p>
    <w:p w:rsidR="002A0A31" w:rsidRPr="00C932E1" w:rsidRDefault="00C932E1" w:rsidP="00C932E1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 xml:space="preserve">Z treścią </w:t>
      </w:r>
      <w:r w:rsidRPr="00C932E1">
        <w:rPr>
          <w:rFonts w:asciiTheme="minorHAnsi" w:hAnsiTheme="minorHAnsi" w:cstheme="minorHAnsi"/>
          <w:sz w:val="24"/>
          <w:szCs w:val="24"/>
        </w:rPr>
        <w:t>decyzji</w:t>
      </w:r>
      <w:r w:rsidRPr="00C932E1">
        <w:rPr>
          <w:rFonts w:asciiTheme="minorHAnsi" w:hAnsiTheme="minorHAnsi" w:cstheme="minorHAnsi"/>
          <w:sz w:val="24"/>
          <w:szCs w:val="24"/>
        </w:rPr>
        <w:t xml:space="preserve"> strony postępowania mogą zapoznać się w Generalnej Dyrekcji Ochrony Środowiska</w:t>
      </w:r>
      <w:r w:rsidRPr="00C932E1">
        <w:rPr>
          <w:rFonts w:asciiTheme="minorHAnsi" w:hAnsiTheme="minorHAnsi" w:cstheme="minorHAnsi"/>
          <w:sz w:val="24"/>
          <w:szCs w:val="24"/>
        </w:rPr>
        <w:t xml:space="preserve">, </w:t>
      </w:r>
      <w:r w:rsidRPr="00C932E1">
        <w:rPr>
          <w:rFonts w:asciiTheme="minorHAnsi" w:hAnsiTheme="minorHAnsi" w:cstheme="minorHAnsi"/>
          <w:sz w:val="24"/>
          <w:szCs w:val="24"/>
        </w:rPr>
        <w:t xml:space="preserve">Regionalnej Dyrekcji Ochrony </w:t>
      </w:r>
      <w:r w:rsidRPr="00C932E1">
        <w:rPr>
          <w:rFonts w:asciiTheme="minorHAnsi" w:hAnsiTheme="minorHAnsi" w:cstheme="minorHAnsi"/>
          <w:sz w:val="24"/>
          <w:szCs w:val="24"/>
        </w:rPr>
        <w:t>Środowiska w O</w:t>
      </w:r>
      <w:r w:rsidRPr="00C932E1">
        <w:rPr>
          <w:rFonts w:asciiTheme="minorHAnsi" w:hAnsiTheme="minorHAnsi" w:cstheme="minorHAnsi"/>
          <w:sz w:val="24"/>
          <w:szCs w:val="24"/>
        </w:rPr>
        <w:t>polu</w:t>
      </w:r>
      <w:r w:rsidRPr="00C932E1">
        <w:rPr>
          <w:rFonts w:asciiTheme="minorHAnsi" w:hAnsiTheme="minorHAnsi" w:cstheme="minorHAnsi"/>
          <w:sz w:val="24"/>
          <w:szCs w:val="24"/>
        </w:rPr>
        <w:t xml:space="preserve"> lub w sposób wskazany w art. 49b § 1 k.p.a.</w:t>
      </w:r>
    </w:p>
    <w:p w:rsidR="002A0A31" w:rsidRPr="00C932E1" w:rsidRDefault="00C932E1" w:rsidP="00C932E1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:rsidR="002A0A31" w:rsidRPr="00C932E1" w:rsidRDefault="00C932E1" w:rsidP="00C932E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 xml:space="preserve">Upubliczniono w dniach: od </w:t>
      </w:r>
      <w:r>
        <w:rPr>
          <w:rFonts w:asciiTheme="minorHAnsi" w:hAnsiTheme="minorHAnsi" w:cstheme="minorHAnsi"/>
          <w:sz w:val="24"/>
          <w:szCs w:val="24"/>
        </w:rPr>
        <w:t>04.07.2025 r.</w:t>
      </w:r>
      <w:r w:rsidRPr="00C932E1">
        <w:rPr>
          <w:rFonts w:asciiTheme="minorHAnsi" w:hAnsiTheme="minorHAnsi" w:cstheme="minorHAnsi"/>
          <w:sz w:val="24"/>
          <w:szCs w:val="24"/>
        </w:rPr>
        <w:t xml:space="preserve"> do </w:t>
      </w:r>
      <w:r>
        <w:rPr>
          <w:rFonts w:asciiTheme="minorHAnsi" w:hAnsiTheme="minorHAnsi" w:cstheme="minorHAnsi"/>
          <w:sz w:val="24"/>
          <w:szCs w:val="24"/>
        </w:rPr>
        <w:t>19.07.2025 r.</w:t>
      </w:r>
    </w:p>
    <w:p w:rsidR="002A0A31" w:rsidRPr="00C932E1" w:rsidRDefault="00C932E1" w:rsidP="00C932E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>Pieczęć urzędu i podpis:</w:t>
      </w:r>
    </w:p>
    <w:p w:rsidR="002A0A31" w:rsidRPr="00C932E1" w:rsidRDefault="00C932E1" w:rsidP="00C932E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2A0A31" w:rsidRPr="00C932E1" w:rsidRDefault="00C932E1" w:rsidP="00C932E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>Z upoważnienia</w:t>
      </w:r>
    </w:p>
    <w:p w:rsidR="002A0A31" w:rsidRPr="00C932E1" w:rsidRDefault="00C932E1" w:rsidP="00C932E1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2A0A31" w:rsidRPr="00C932E1" w:rsidRDefault="00C932E1" w:rsidP="00C932E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>MARCIN KOŁODYŃSKI</w:t>
      </w:r>
    </w:p>
    <w:p w:rsidR="002A0A31" w:rsidRPr="00C932E1" w:rsidRDefault="00C932E1" w:rsidP="00C932E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>Naczelnik Wydziału</w:t>
      </w:r>
    </w:p>
    <w:p w:rsidR="002A0A31" w:rsidRPr="00C932E1" w:rsidRDefault="00C932E1" w:rsidP="00C932E1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 xml:space="preserve">Departament Ocen </w:t>
      </w:r>
      <w:r w:rsidRPr="00C932E1">
        <w:rPr>
          <w:rFonts w:asciiTheme="minorHAnsi" w:hAnsiTheme="minorHAnsi" w:cstheme="minorHAnsi"/>
          <w:sz w:val="24"/>
          <w:szCs w:val="24"/>
        </w:rPr>
        <w:t>Oddziaływania na Środowisko</w:t>
      </w:r>
    </w:p>
    <w:p w:rsidR="002A0A31" w:rsidRPr="00C932E1" w:rsidRDefault="00C932E1" w:rsidP="00C932E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932E1">
        <w:rPr>
          <w:rFonts w:asciiTheme="minorHAnsi" w:hAnsiTheme="minorHAnsi" w:cstheme="minorHAnsi"/>
          <w:sz w:val="24"/>
          <w:szCs w:val="24"/>
        </w:rPr>
        <w:t>/podpis elektroniczny/</w:t>
      </w:r>
    </w:p>
    <w:p w:rsidR="002A0A31" w:rsidRPr="00C932E1" w:rsidRDefault="00C932E1" w:rsidP="00C932E1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2A0A31" w:rsidRPr="00C932E1" w:rsidRDefault="00C932E1" w:rsidP="00C932E1">
      <w:pPr>
        <w:pStyle w:val="Bezodstpw1"/>
        <w:spacing w:after="60"/>
        <w:rPr>
          <w:rFonts w:asciiTheme="minorHAnsi" w:hAnsiTheme="minorHAnsi" w:cstheme="minorHAnsi"/>
        </w:rPr>
      </w:pPr>
      <w:bookmarkStart w:id="4" w:name="_GoBack"/>
      <w:bookmarkEnd w:id="4"/>
      <w:r w:rsidRPr="00C932E1">
        <w:rPr>
          <w:rFonts w:asciiTheme="minorHAnsi" w:hAnsiTheme="minorHAnsi" w:cstheme="minorHAnsi"/>
        </w:rPr>
        <w:t xml:space="preserve">Art. 49 § 1 </w:t>
      </w:r>
      <w:r w:rsidRPr="00C932E1">
        <w:rPr>
          <w:rFonts w:asciiTheme="minorHAnsi" w:hAnsiTheme="minorHAnsi" w:cstheme="minorHAnsi"/>
          <w:iCs/>
        </w:rPr>
        <w:t>k.p.a.</w:t>
      </w:r>
      <w:r w:rsidRPr="00C932E1">
        <w:rPr>
          <w:rFonts w:asciiTheme="minorHAnsi" w:hAnsiTheme="minorHAnsi" w:cstheme="minorHAnsi"/>
        </w:rPr>
        <w:t xml:space="preserve"> </w:t>
      </w:r>
      <w:r w:rsidRPr="00C932E1">
        <w:rPr>
          <w:rFonts w:asciiTheme="minorHAnsi" w:hAnsiTheme="minorHAnsi" w:cstheme="minorHAnsi"/>
        </w:rPr>
        <w:t xml:space="preserve">Jeżeli przepis szczególny tak stanowi, zawiadomienie stron o decyzjach i innych czynnościach organu administracji publicznej może nastąpić w formie publicznego obwieszczenia, w innej </w:t>
      </w:r>
      <w:r w:rsidRPr="00C932E1">
        <w:rPr>
          <w:rFonts w:asciiTheme="minorHAnsi" w:hAnsiTheme="minorHAnsi" w:cstheme="minorHAnsi"/>
        </w:rPr>
        <w:t>formie publicznego ogłoszenia zwyczajowo przyjętej w</w:t>
      </w:r>
      <w:r w:rsidRPr="00C932E1">
        <w:rPr>
          <w:rFonts w:asciiTheme="minorHAnsi" w:hAnsiTheme="minorHAnsi" w:cstheme="minorHAnsi"/>
        </w:rPr>
        <w:t xml:space="preserve"> </w:t>
      </w:r>
      <w:r w:rsidRPr="00C932E1">
        <w:rPr>
          <w:rFonts w:asciiTheme="minorHAnsi" w:hAnsiTheme="minorHAnsi" w:cstheme="minorHAnsi"/>
        </w:rPr>
        <w:t>danej miejscowości lub przez udostępnienie pisma w Biuletynie Informacji Publicznej na stronie podmiotowej właściwego organu administracji publicznej.</w:t>
      </w:r>
    </w:p>
    <w:p w:rsidR="002A0A31" w:rsidRPr="00C932E1" w:rsidRDefault="00C932E1" w:rsidP="00C932E1">
      <w:pPr>
        <w:pStyle w:val="Bezodstpw1"/>
        <w:spacing w:after="60"/>
        <w:rPr>
          <w:rFonts w:asciiTheme="minorHAnsi" w:hAnsiTheme="minorHAnsi" w:cstheme="minorHAnsi"/>
        </w:rPr>
      </w:pPr>
      <w:r w:rsidRPr="00C932E1">
        <w:rPr>
          <w:rFonts w:asciiTheme="minorHAnsi" w:hAnsiTheme="minorHAnsi" w:cstheme="minorHAnsi"/>
        </w:rPr>
        <w:t xml:space="preserve">Art. 74 ust. 3 </w:t>
      </w:r>
      <w:r w:rsidRPr="00C932E1">
        <w:rPr>
          <w:rFonts w:asciiTheme="minorHAnsi" w:hAnsiTheme="minorHAnsi" w:cstheme="minorHAnsi"/>
          <w:iCs/>
        </w:rPr>
        <w:t>u.o.o.ś.</w:t>
      </w:r>
      <w:r w:rsidRPr="00C932E1">
        <w:rPr>
          <w:rFonts w:asciiTheme="minorHAnsi" w:hAnsiTheme="minorHAnsi" w:cstheme="minorHAnsi"/>
        </w:rPr>
        <w:t xml:space="preserve"> </w:t>
      </w:r>
      <w:r w:rsidRPr="00C932E1">
        <w:rPr>
          <w:rFonts w:asciiTheme="minorHAnsi" w:hAnsiTheme="minorHAnsi" w:cstheme="minorHAnsi"/>
        </w:rPr>
        <w:t>Jeżeli liczba stron postępow</w:t>
      </w:r>
      <w:r w:rsidRPr="00C932E1">
        <w:rPr>
          <w:rFonts w:asciiTheme="minorHAnsi" w:hAnsiTheme="minorHAnsi" w:cstheme="minorHAnsi"/>
        </w:rPr>
        <w:t>ania w sprawie wydania decyzji o środowiskowych uwarunkowaniach lub innego postępowania dotyczącego tej decyzji przekracza 10, stosuje się art. 49 Kodeksu postępowania administracyjnego.</w:t>
      </w:r>
    </w:p>
    <w:p w:rsidR="002A0A31" w:rsidRPr="00C932E1" w:rsidRDefault="00C932E1" w:rsidP="00C932E1">
      <w:pPr>
        <w:pStyle w:val="Bezodstpw1"/>
        <w:spacing w:after="60"/>
        <w:rPr>
          <w:rFonts w:asciiTheme="minorHAnsi" w:hAnsiTheme="minorHAnsi" w:cstheme="minorHAnsi"/>
          <w:bCs/>
        </w:rPr>
      </w:pPr>
      <w:r w:rsidRPr="00C932E1">
        <w:rPr>
          <w:rFonts w:asciiTheme="minorHAnsi" w:hAnsiTheme="minorHAnsi" w:cstheme="minorHAnsi"/>
          <w:bCs/>
        </w:rPr>
        <w:t>Art. 15</w:t>
      </w:r>
      <w:r w:rsidRPr="00C932E1">
        <w:rPr>
          <w:rFonts w:asciiTheme="minorHAnsi" w:hAnsiTheme="minorHAnsi" w:cstheme="minorHAnsi"/>
          <w:bCs/>
        </w:rPr>
        <w:t xml:space="preserve"> ust. 1</w:t>
      </w:r>
      <w:r w:rsidRPr="00C932E1">
        <w:rPr>
          <w:rFonts w:asciiTheme="minorHAnsi" w:hAnsiTheme="minorHAnsi" w:cstheme="minorHAnsi"/>
          <w:bCs/>
        </w:rPr>
        <w:t xml:space="preserve"> ustawy z dnia 13 lipca 2023 r. o zmianie ustawy o udos</w:t>
      </w:r>
      <w:r w:rsidRPr="00C932E1">
        <w:rPr>
          <w:rFonts w:asciiTheme="minorHAnsi" w:hAnsiTheme="minorHAnsi" w:cstheme="minorHAnsi"/>
          <w:bCs/>
        </w:rPr>
        <w:t xml:space="preserve">tępnianiu informacji o środowisku i jego ochronie, udziale społeczeństwa w ochronie środowiska oraz o ocenach oddziaływania na środowisko oraz niektórych innych ustaw (Dz. U. poz. 1890) </w:t>
      </w:r>
      <w:r w:rsidRPr="00C932E1">
        <w:rPr>
          <w:rFonts w:asciiTheme="minorHAnsi" w:hAnsiTheme="minorHAnsi" w:cstheme="minorHAnsi"/>
        </w:rPr>
        <w:t>Do spraw prowadzonych na podstawie ustawy zmienianej w art. 1 wszczęty</w:t>
      </w:r>
      <w:r w:rsidRPr="00C932E1">
        <w:rPr>
          <w:rFonts w:asciiTheme="minorHAnsi" w:hAnsiTheme="minorHAnsi" w:cstheme="minorHAnsi"/>
        </w:rPr>
        <w:t>ch i niezakończonych przed dniem wejścia w życie niniejszej ustawy stosuje się przepisy ustawy zmienianej w art. 1 w brzmieniu dotychczasowym, z wyjątkiem przepisów art. 61 ust. 1, art. 66 ust. 1 pkt 5, art. 82 ust. 1 oraz art. 86f ust. 2 i 4 ustawy zmieni</w:t>
      </w:r>
      <w:r w:rsidRPr="00C932E1">
        <w:rPr>
          <w:rFonts w:asciiTheme="minorHAnsi" w:hAnsiTheme="minorHAnsi" w:cstheme="minorHAnsi"/>
        </w:rPr>
        <w:t>anej w art. 1, które stosuje się w brzmieniu nadanym niniejszą ustawą, oraz stosuje się przepisy art. 86f ust. 1a, 2a i 8 ustawy zmienianej w art. 1.</w:t>
      </w:r>
    </w:p>
    <w:p w:rsidR="002A0A31" w:rsidRPr="00C932E1" w:rsidRDefault="00C932E1" w:rsidP="00C932E1">
      <w:pPr>
        <w:pStyle w:val="Bezodstpw1"/>
        <w:spacing w:after="60"/>
        <w:rPr>
          <w:rFonts w:asciiTheme="minorHAnsi" w:hAnsiTheme="minorHAnsi" w:cstheme="minorHAnsi"/>
        </w:rPr>
      </w:pPr>
    </w:p>
    <w:p w:rsidR="00710888" w:rsidRPr="00C932E1" w:rsidRDefault="00710888" w:rsidP="00C932E1">
      <w:pPr>
        <w:rPr>
          <w:rFonts w:asciiTheme="minorHAnsi" w:hAnsiTheme="minorHAnsi" w:cstheme="minorHAnsi"/>
          <w:sz w:val="24"/>
          <w:szCs w:val="24"/>
        </w:rPr>
      </w:pPr>
    </w:p>
    <w:sectPr w:rsidR="00710888" w:rsidRPr="00C932E1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932E1">
      <w:pPr>
        <w:spacing w:after="0" w:line="240" w:lineRule="auto"/>
      </w:pPr>
      <w:r>
        <w:separator/>
      </w:r>
    </w:p>
  </w:endnote>
  <w:endnote w:type="continuationSeparator" w:id="0">
    <w:p w:rsidR="00000000" w:rsidRDefault="00C93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:rsidR="00710888" w:rsidRPr="002C58EA" w:rsidRDefault="00C932E1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710888" w:rsidRDefault="0071088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932E1">
      <w:pPr>
        <w:spacing w:after="0" w:line="240" w:lineRule="auto"/>
      </w:pPr>
      <w:r>
        <w:separator/>
      </w:r>
    </w:p>
  </w:footnote>
  <w:footnote w:type="continuationSeparator" w:id="0">
    <w:p w:rsidR="00000000" w:rsidRDefault="00C932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88" w:rsidRDefault="0071088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710888" w:rsidTr="00A3212B">
      <w:trPr>
        <w:trHeight w:val="470"/>
      </w:trPr>
      <w:tc>
        <w:tcPr>
          <w:tcW w:w="4641" w:type="dxa"/>
          <w:vAlign w:val="center"/>
        </w:tcPr>
        <w:p w:rsidR="00710888" w:rsidRPr="002A0A31" w:rsidRDefault="00710888" w:rsidP="002A0A31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710888" w:rsidRDefault="007108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88"/>
    <w:rsid w:val="00621AF2"/>
    <w:rsid w:val="00710888"/>
    <w:rsid w:val="00C9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AF44"/>
  <w15:docId w15:val="{67F2B2BB-DC1A-4478-AEBD-BE100489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2A0A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E5C33-6C42-4ABA-B6BE-C20006F33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2025-07-04T06:38:00Z</dcterms:created>
  <dcterms:modified xsi:type="dcterms:W3CDTF">2025-07-04T06:40:00Z</dcterms:modified>
</cp:coreProperties>
</file>