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2C2E" w14:textId="5819194B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2B99C850" w14:textId="1988EB60" w:rsidR="00FC7010" w:rsidRDefault="00FC7010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FC7010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SYTUACJA MIGRACYJNA OBYWATELI BIAŁORUSI W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POLSCE</w:t>
      </w:r>
    </w:p>
    <w:p w14:paraId="29CDA229" w14:textId="6D95EC5E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C771F8">
        <w:rPr>
          <w:rFonts w:ascii="Roboto" w:eastAsia="Times New Roman" w:hAnsi="Roboto"/>
        </w:rPr>
        <w:t>lipca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6412EF3E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403E3354" w14:textId="611C8E7A" w:rsidR="001F6F79" w:rsidRDefault="001F6F79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1F6F79">
        <w:rPr>
          <w:rFonts w:ascii="Roboto" w:eastAsia="Times New Roman" w:hAnsi="Roboto"/>
        </w:rPr>
        <w:t xml:space="preserve">Niniejszy raport przedstawia kompleksową analizę dynamiki migracyjnej obywateli Republiki Białorusi w Polsce w latach 2022–2026, opartą na oficjalnych danych rejestrowych oraz statystykach Ministerstwa Spraw Zagranicznych (MSZ) i Urzędu do Spraw Cudzoziemców (stan na </w:t>
      </w:r>
      <w:r>
        <w:rPr>
          <w:rFonts w:ascii="Roboto" w:eastAsia="Times New Roman" w:hAnsi="Roboto"/>
        </w:rPr>
        <w:t>1.0</w:t>
      </w:r>
      <w:r w:rsidR="00C771F8">
        <w:rPr>
          <w:rFonts w:ascii="Roboto" w:eastAsia="Times New Roman" w:hAnsi="Roboto"/>
        </w:rPr>
        <w:t>7</w:t>
      </w:r>
      <w:r>
        <w:rPr>
          <w:rFonts w:ascii="Roboto" w:eastAsia="Times New Roman" w:hAnsi="Roboto"/>
        </w:rPr>
        <w:t>.</w:t>
      </w:r>
      <w:r w:rsidRPr="001F6F79">
        <w:rPr>
          <w:rFonts w:ascii="Roboto" w:eastAsia="Times New Roman" w:hAnsi="Roboto"/>
        </w:rPr>
        <w:t>2026 r.).</w:t>
      </w:r>
    </w:p>
    <w:p w14:paraId="2BAD95A1" w14:textId="77777777" w:rsidR="00463997" w:rsidRDefault="00463997" w:rsidP="006F0F94">
      <w:pPr>
        <w:spacing w:after="60"/>
        <w:jc w:val="both"/>
        <w:outlineLvl w:val="1"/>
        <w:rPr>
          <w:rFonts w:ascii="Roboto" w:eastAsia="Times New Roman" w:hAnsi="Roboto"/>
          <w:b/>
        </w:rPr>
      </w:pPr>
    </w:p>
    <w:p w14:paraId="5921A03A" w14:textId="663573EF" w:rsidR="00463997" w:rsidRPr="00463997" w:rsidRDefault="00463997" w:rsidP="006F0F94">
      <w:pPr>
        <w:spacing w:after="60"/>
        <w:jc w:val="both"/>
        <w:outlineLvl w:val="1"/>
        <w:rPr>
          <w:rFonts w:ascii="Roboto" w:eastAsia="Times New Roman" w:hAnsi="Roboto"/>
          <w:b/>
        </w:rPr>
      </w:pPr>
      <w:r w:rsidRPr="00463997">
        <w:rPr>
          <w:rFonts w:ascii="Roboto" w:eastAsia="Times New Roman" w:hAnsi="Roboto"/>
          <w:b/>
        </w:rPr>
        <w:t>OGÓLNA CHARAKTERYSTYKA</w:t>
      </w:r>
    </w:p>
    <w:p w14:paraId="11C9D8DF" w14:textId="77777777" w:rsidR="00463997" w:rsidRDefault="00463997" w:rsidP="006F0F94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F321B01" w14:textId="3D521A5B" w:rsidR="00FC7010" w:rsidRDefault="00DF1FD5" w:rsidP="006F0F94">
      <w:pPr>
        <w:spacing w:after="60"/>
        <w:jc w:val="both"/>
        <w:outlineLvl w:val="1"/>
        <w:rPr>
          <w:rFonts w:ascii="Roboto" w:eastAsia="Times New Roman" w:hAnsi="Roboto"/>
          <w:b/>
        </w:rPr>
      </w:pPr>
      <w:r w:rsidRPr="00DF1FD5">
        <w:rPr>
          <w:rFonts w:ascii="Roboto" w:eastAsia="Times New Roman" w:hAnsi="Roboto"/>
        </w:rPr>
        <w:t xml:space="preserve">Obywatele Białorusi stanowią drugą pod względem liczebności grupę cudzoziemców posiadających </w:t>
      </w:r>
      <w:r w:rsidR="00CC3AC8" w:rsidRPr="00CC3AC8">
        <w:rPr>
          <w:rFonts w:ascii="Roboto" w:eastAsia="Times New Roman" w:hAnsi="Roboto"/>
        </w:rPr>
        <w:t>dokumenty pobytowe w Polsce</w:t>
      </w:r>
      <w:r w:rsidRPr="00DF1FD5">
        <w:rPr>
          <w:rFonts w:ascii="Roboto" w:eastAsia="Times New Roman" w:hAnsi="Roboto"/>
        </w:rPr>
        <w:t xml:space="preserve">. Na dzień 1 </w:t>
      </w:r>
      <w:r w:rsidR="00C771F8">
        <w:rPr>
          <w:rFonts w:ascii="Roboto" w:eastAsia="Times New Roman" w:hAnsi="Roboto"/>
        </w:rPr>
        <w:t>lipca</w:t>
      </w:r>
      <w:r w:rsidRPr="00DF1FD5">
        <w:rPr>
          <w:rFonts w:ascii="Roboto" w:eastAsia="Times New Roman" w:hAnsi="Roboto"/>
        </w:rPr>
        <w:t xml:space="preserve"> 2026 r. ważny dokument uprawniający do pobytu</w:t>
      </w:r>
      <w:r w:rsidR="00CC3AC8">
        <w:rPr>
          <w:rFonts w:ascii="Roboto" w:eastAsia="Times New Roman" w:hAnsi="Roboto"/>
        </w:rPr>
        <w:t xml:space="preserve"> </w:t>
      </w:r>
      <w:r w:rsidR="00CC3AC8" w:rsidRPr="00CC3AC8">
        <w:rPr>
          <w:rFonts w:ascii="Roboto" w:eastAsia="Times New Roman" w:hAnsi="Roboto"/>
        </w:rPr>
        <w:t>na terytorium RP</w:t>
      </w:r>
      <w:r w:rsidRPr="00DF1FD5">
        <w:rPr>
          <w:rFonts w:ascii="Roboto" w:eastAsia="Times New Roman" w:hAnsi="Roboto"/>
        </w:rPr>
        <w:t xml:space="preserve"> posiadało </w:t>
      </w:r>
      <w:r w:rsidRPr="00DF1FD5">
        <w:rPr>
          <w:rFonts w:ascii="Roboto" w:eastAsia="Times New Roman" w:hAnsi="Roboto"/>
          <w:b/>
        </w:rPr>
        <w:t>13</w:t>
      </w:r>
      <w:r w:rsidR="00C771F8">
        <w:rPr>
          <w:rFonts w:ascii="Roboto" w:eastAsia="Times New Roman" w:hAnsi="Roboto"/>
          <w:b/>
        </w:rPr>
        <w:t>4</w:t>
      </w:r>
      <w:r w:rsidRPr="00DF1FD5">
        <w:rPr>
          <w:rFonts w:ascii="Roboto" w:eastAsia="Times New Roman" w:hAnsi="Roboto"/>
          <w:b/>
        </w:rPr>
        <w:t xml:space="preserve"> tys. osób.</w:t>
      </w:r>
      <w:r>
        <w:rPr>
          <w:rFonts w:ascii="Roboto" w:eastAsia="Times New Roman" w:hAnsi="Roboto"/>
          <w:b/>
        </w:rPr>
        <w:t xml:space="preserve"> </w:t>
      </w:r>
    </w:p>
    <w:p w14:paraId="51D9A42F" w14:textId="182FA1EA" w:rsidR="00FC7010" w:rsidRDefault="00FC7010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FC7010">
        <w:rPr>
          <w:rFonts w:ascii="Roboto" w:eastAsia="Times New Roman" w:hAnsi="Roboto"/>
        </w:rPr>
        <w:t xml:space="preserve">Mimo szerokiego wsparcia uchodźców, systemowe podstawy pobytu oparte są na procedurach imigracji ekonomiczno-terminowej. Pobyty czasowe i stałe stanowią łącznie </w:t>
      </w:r>
      <w:r w:rsidR="00463997" w:rsidRPr="00463997">
        <w:rPr>
          <w:rFonts w:ascii="Roboto" w:eastAsia="Times New Roman" w:hAnsi="Roboto"/>
          <w:b/>
        </w:rPr>
        <w:t>90</w:t>
      </w:r>
      <w:r w:rsidRPr="00463997">
        <w:rPr>
          <w:rFonts w:ascii="Roboto" w:eastAsia="Times New Roman" w:hAnsi="Roboto"/>
          <w:b/>
        </w:rPr>
        <w:t xml:space="preserve">% </w:t>
      </w:r>
      <w:r w:rsidRPr="00FC7010">
        <w:rPr>
          <w:rFonts w:ascii="Roboto" w:eastAsia="Times New Roman" w:hAnsi="Roboto"/>
        </w:rPr>
        <w:t>wszystkich rejestracji, podczas gdy osoby z tytuł</w:t>
      </w:r>
      <w:r w:rsidR="00463997">
        <w:rPr>
          <w:rFonts w:ascii="Roboto" w:eastAsia="Times New Roman" w:hAnsi="Roboto"/>
        </w:rPr>
        <w:t>em</w:t>
      </w:r>
      <w:r w:rsidRPr="00FC7010">
        <w:rPr>
          <w:rFonts w:ascii="Roboto" w:eastAsia="Times New Roman" w:hAnsi="Roboto"/>
        </w:rPr>
        <w:t xml:space="preserve"> ochrony międzynarodowej to </w:t>
      </w:r>
      <w:r w:rsidRPr="00463997">
        <w:rPr>
          <w:rFonts w:ascii="Roboto" w:eastAsia="Times New Roman" w:hAnsi="Roboto"/>
          <w:b/>
        </w:rPr>
        <w:t>8%</w:t>
      </w:r>
      <w:r w:rsidRPr="00FC7010">
        <w:rPr>
          <w:rFonts w:ascii="Roboto" w:eastAsia="Times New Roman" w:hAnsi="Roboto"/>
        </w:rPr>
        <w:t xml:space="preserve"> ogółu.</w:t>
      </w:r>
    </w:p>
    <w:p w14:paraId="4AF42B9B" w14:textId="08CF8293" w:rsidR="00DE6D19" w:rsidRPr="00463997" w:rsidRDefault="00463997" w:rsidP="00463997">
      <w:pPr>
        <w:spacing w:after="60"/>
        <w:jc w:val="both"/>
        <w:outlineLvl w:val="1"/>
        <w:rPr>
          <w:rFonts w:ascii="Roboto" w:eastAsia="Times New Roman" w:hAnsi="Roboto"/>
        </w:rPr>
      </w:pPr>
      <w:r w:rsidRPr="00463997">
        <w:rPr>
          <w:rFonts w:ascii="Roboto" w:eastAsia="Times New Roman" w:hAnsi="Roboto"/>
        </w:rPr>
        <w:t xml:space="preserve">Najsilniejsze przyspieszenie napływu obywateli Białorusi powiązane jest bezpośrednio z kryzysem politycznym po wyborach prezydenckich na Białorusi (sierpień 2020 r.) oraz wybuchem </w:t>
      </w:r>
      <w:proofErr w:type="spellStart"/>
      <w:r w:rsidRPr="00463997">
        <w:rPr>
          <w:rFonts w:ascii="Roboto" w:eastAsia="Times New Roman" w:hAnsi="Roboto"/>
        </w:rPr>
        <w:t>pełnoskalowej</w:t>
      </w:r>
      <w:proofErr w:type="spellEnd"/>
      <w:r w:rsidRPr="00463997">
        <w:rPr>
          <w:rFonts w:ascii="Roboto" w:eastAsia="Times New Roman" w:hAnsi="Roboto"/>
        </w:rPr>
        <w:t xml:space="preserve"> wojny w Ukrainie (luty 2022 r.).</w:t>
      </w:r>
    </w:p>
    <w:p w14:paraId="3B2B9256" w14:textId="3A052ABF" w:rsidR="009A64CD" w:rsidRDefault="002F7A42" w:rsidP="00F35A8A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>
        <w:rPr>
          <w:rFonts w:ascii="Roboto" w:eastAsia="Times New Roman" w:hAnsi="Roboto"/>
          <w:b/>
          <w:bCs/>
          <w:sz w:val="18"/>
          <w:szCs w:val="20"/>
        </w:rPr>
        <w:br/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>
        <w:rPr>
          <w:rFonts w:ascii="Roboto" w:eastAsia="Times New Roman" w:hAnsi="Roboto"/>
          <w:b/>
          <w:bCs/>
          <w:sz w:val="18"/>
          <w:szCs w:val="20"/>
        </w:rPr>
        <w:t>1.0</w:t>
      </w:r>
      <w:r w:rsidR="00C771F8">
        <w:rPr>
          <w:rFonts w:ascii="Roboto" w:eastAsia="Times New Roman" w:hAnsi="Roboto"/>
          <w:b/>
          <w:bCs/>
          <w:sz w:val="18"/>
          <w:szCs w:val="20"/>
        </w:rPr>
        <w:t>7</w:t>
      </w:r>
      <w:r>
        <w:rPr>
          <w:rFonts w:ascii="Roboto" w:eastAsia="Times New Roman" w:hAnsi="Roboto"/>
          <w:b/>
          <w:bCs/>
          <w:sz w:val="18"/>
          <w:szCs w:val="20"/>
        </w:rPr>
        <w:t>.2026 r.</w:t>
      </w:r>
      <w:r w:rsidR="00460F9A">
        <w:rPr>
          <w:noProof/>
          <w:lang w:eastAsia="pl-PL"/>
        </w:rPr>
        <w:tab/>
      </w: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20"/>
        <w:gridCol w:w="1340"/>
      </w:tblGrid>
      <w:tr w:rsidR="00C771F8" w:rsidRPr="00C771F8" w14:paraId="49D0B347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1B411B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TYP ZEZWOLENIA 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418F79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CDE5E3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Udział procentowy</w:t>
            </w:r>
          </w:p>
        </w:tc>
      </w:tr>
      <w:tr w:rsidR="00C771F8" w:rsidRPr="00C771F8" w14:paraId="0793BBE0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7A8215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DD50ED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78 681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97639CA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58,8%</w:t>
            </w:r>
          </w:p>
        </w:tc>
      </w:tr>
      <w:tr w:rsidR="00C771F8" w:rsidRPr="00C771F8" w14:paraId="5BD6154F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9B2A69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B6D429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41 264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F616D0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30,8%</w:t>
            </w:r>
          </w:p>
        </w:tc>
      </w:tr>
      <w:tr w:rsidR="00C771F8" w:rsidRPr="00C771F8" w14:paraId="2DF4980E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FC592E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F61F9C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9 850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A27A514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7,4%</w:t>
            </w:r>
          </w:p>
        </w:tc>
      </w:tr>
      <w:tr w:rsidR="00C771F8" w:rsidRPr="00C771F8" w14:paraId="2FAC3141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7A15DF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A5DC1C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2 489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6F9FEAE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1,9%</w:t>
            </w:r>
          </w:p>
        </w:tc>
      </w:tr>
      <w:tr w:rsidR="00C771F8" w:rsidRPr="00C771F8" w14:paraId="5582E653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EA4E7F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D24DB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CFBDE10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0,9%</w:t>
            </w:r>
          </w:p>
        </w:tc>
      </w:tr>
      <w:tr w:rsidR="00C771F8" w:rsidRPr="00C771F8" w14:paraId="069F8F5D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CAE82E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39E10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F7A01AF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0,2%</w:t>
            </w:r>
          </w:p>
        </w:tc>
      </w:tr>
      <w:tr w:rsidR="00C771F8" w:rsidRPr="00C771F8" w14:paraId="12752EA3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4B8EC5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B0E6F2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98A169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0,1%</w:t>
            </w:r>
          </w:p>
        </w:tc>
      </w:tr>
      <w:tr w:rsidR="00C771F8" w:rsidRPr="00C771F8" w14:paraId="57E2A197" w14:textId="77777777" w:rsidTr="00C771F8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ACF8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47226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133 847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FFF1557" w14:textId="77777777" w:rsidR="00C771F8" w:rsidRPr="00C771F8" w:rsidRDefault="00C771F8" w:rsidP="00C771F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100,0%</w:t>
            </w:r>
          </w:p>
        </w:tc>
      </w:tr>
    </w:tbl>
    <w:p w14:paraId="5301AAB4" w14:textId="01FE8A98" w:rsidR="00C771F8" w:rsidRPr="00463997" w:rsidRDefault="00C771F8" w:rsidP="00F35A8A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</w:rPr>
      </w:pPr>
    </w:p>
    <w:p w14:paraId="31B329DF" w14:textId="77777777" w:rsidR="00463997" w:rsidRDefault="00463997" w:rsidP="00463997">
      <w:pPr>
        <w:keepNext/>
        <w:spacing w:before="240" w:after="60" w:line="240" w:lineRule="auto"/>
        <w:jc w:val="both"/>
        <w:outlineLvl w:val="1"/>
        <w:rPr>
          <w:rFonts w:ascii="Roboto" w:eastAsia="Times New Roman" w:hAnsi="Roboto"/>
        </w:rPr>
      </w:pPr>
      <w:r w:rsidRPr="00463997">
        <w:rPr>
          <w:rFonts w:ascii="Roboto" w:eastAsia="Times New Roman" w:hAnsi="Roboto"/>
          <w:b/>
        </w:rPr>
        <w:t>Pobyt czasowy (58,8%)</w:t>
      </w:r>
      <w:r w:rsidRPr="00463997">
        <w:rPr>
          <w:rFonts w:ascii="Roboto" w:eastAsia="Times New Roman" w:hAnsi="Roboto"/>
        </w:rPr>
        <w:t xml:space="preserve"> pozostaje dominującą formą ze względu na relokacje biznesu (szczególnie sektora IT) i zatrudnienie.</w:t>
      </w:r>
    </w:p>
    <w:p w14:paraId="1D179C79" w14:textId="432D08B0" w:rsidR="00C771F8" w:rsidRPr="00463997" w:rsidRDefault="00463997" w:rsidP="00463997">
      <w:pPr>
        <w:keepNext/>
        <w:spacing w:before="240" w:after="60" w:line="240" w:lineRule="auto"/>
        <w:jc w:val="both"/>
        <w:outlineLvl w:val="1"/>
        <w:rPr>
          <w:rFonts w:ascii="Roboto" w:eastAsia="Times New Roman" w:hAnsi="Roboto"/>
        </w:rPr>
      </w:pPr>
      <w:r w:rsidRPr="00463997">
        <w:rPr>
          <w:rFonts w:ascii="Roboto" w:eastAsia="Times New Roman" w:hAnsi="Roboto"/>
          <w:b/>
        </w:rPr>
        <w:t>Pobyt stały (30,8%)</w:t>
      </w:r>
      <w:r w:rsidRPr="00463997">
        <w:rPr>
          <w:rFonts w:ascii="Roboto" w:eastAsia="Times New Roman" w:hAnsi="Roboto"/>
        </w:rPr>
        <w:t xml:space="preserve"> odzwierciedla liczną grupę migrantów deklarujących polskie pochodzenie oraz posiadaczy Karty Polaka.</w:t>
      </w:r>
    </w:p>
    <w:p w14:paraId="140D740E" w14:textId="77777777" w:rsidR="00463997" w:rsidRDefault="00463997" w:rsidP="00DF1FD5">
      <w:pPr>
        <w:jc w:val="both"/>
        <w:rPr>
          <w:rFonts w:ascii="Roboto" w:hAnsi="Roboto"/>
          <w:b/>
        </w:rPr>
      </w:pPr>
    </w:p>
    <w:p w14:paraId="5CC7480F" w14:textId="072BB714" w:rsidR="00C771F8" w:rsidRPr="00C771F8" w:rsidRDefault="00C771F8" w:rsidP="00C771F8">
      <w:pPr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331B1BAF" wp14:editId="2FA9531C">
            <wp:extent cx="6188710" cy="263525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ECBF5E" w14:textId="77777777" w:rsidR="009A64CD" w:rsidRDefault="009A64C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5A99FA82" w14:textId="77777777" w:rsidR="00463997" w:rsidRDefault="00463997" w:rsidP="00463997">
      <w:pPr>
        <w:jc w:val="both"/>
        <w:rPr>
          <w:rFonts w:ascii="Roboto" w:hAnsi="Roboto"/>
          <w:b/>
        </w:rPr>
      </w:pPr>
      <w:r w:rsidRPr="00463997">
        <w:rPr>
          <w:rFonts w:ascii="Roboto" w:hAnsi="Roboto"/>
          <w:b/>
        </w:rPr>
        <w:t xml:space="preserve">OCHRONA MIĘDZYNARODOWA </w:t>
      </w:r>
    </w:p>
    <w:p w14:paraId="3AAC2053" w14:textId="4C2F60BE" w:rsidR="003858F7" w:rsidRDefault="00463997" w:rsidP="009E60CB">
      <w:pPr>
        <w:jc w:val="both"/>
        <w:rPr>
          <w:rFonts w:ascii="Roboto" w:hAnsi="Roboto"/>
          <w:b/>
        </w:rPr>
      </w:pPr>
      <w:r w:rsidRPr="00463997">
        <w:rPr>
          <w:rFonts w:ascii="Roboto" w:hAnsi="Roboto"/>
          <w:b/>
        </w:rPr>
        <w:t>Dynamika napływu wniosków</w:t>
      </w:r>
    </w:p>
    <w:p w14:paraId="387BFA2A" w14:textId="654BD331" w:rsidR="00AD112D" w:rsidRDefault="00463997" w:rsidP="00AD112D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463997">
        <w:rPr>
          <w:rFonts w:ascii="Roboto" w:eastAsia="Times New Roman" w:hAnsi="Roboto"/>
        </w:rPr>
        <w:t>Dane za I połowę 2026 r. wskazują na wygasanie dynamiki napływu (957 osób), co stanowi powrót do stabilizacji po rekordowym roku 2024 (3 944 osoby). W przeciwieństwie do kategorii „Pozostałe”, napływ z Białorusi charakteryzuje się przewidywalnością.</w:t>
      </w:r>
    </w:p>
    <w:p w14:paraId="0738FA8C" w14:textId="609291D9" w:rsidR="00AD112D" w:rsidRPr="00E8371C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18"/>
          <w:szCs w:val="18"/>
          <w:lang w:eastAsia="pl-PL"/>
        </w:rPr>
      </w:pPr>
      <w:r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Liczba obywateli Białorusi ubiegających się o udzielenie ochrony międzynarodowej w latach 202</w:t>
      </w:r>
      <w:r w:rsidR="00CD7FCE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2</w:t>
      </w:r>
      <w:r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-202</w:t>
      </w:r>
      <w:r w:rsidR="00CD7FCE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6</w:t>
      </w:r>
    </w:p>
    <w:p w14:paraId="2FF085CE" w14:textId="186B5F4C" w:rsidR="00AD112D" w:rsidRPr="00E8371C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</w:pPr>
      <w:r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 xml:space="preserve">(stan na dzień </w:t>
      </w:r>
      <w:r w:rsidR="00B87440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1.</w:t>
      </w:r>
      <w:r w:rsidR="009D191D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0</w:t>
      </w:r>
      <w:r w:rsidR="00C771F8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7</w:t>
      </w:r>
      <w:r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.20</w:t>
      </w:r>
      <w:r w:rsidR="00B87440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26</w:t>
      </w:r>
      <w:r w:rsidR="00DE6A70"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 xml:space="preserve"> r.</w:t>
      </w:r>
      <w:r w:rsidRPr="00E8371C">
        <w:rPr>
          <w:rFonts w:ascii="Roboto" w:eastAsia="Times New Roman" w:hAnsi="Roboto" w:cs="Calibri"/>
          <w:b/>
          <w:color w:val="000000"/>
          <w:sz w:val="18"/>
          <w:szCs w:val="18"/>
          <w:lang w:eastAsia="pl-PL"/>
        </w:rPr>
        <w:t>)</w:t>
      </w: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  <w:gridCol w:w="960"/>
        <w:gridCol w:w="960"/>
        <w:gridCol w:w="960"/>
        <w:gridCol w:w="960"/>
        <w:gridCol w:w="1360"/>
      </w:tblGrid>
      <w:tr w:rsidR="00C771F8" w:rsidRPr="00C771F8" w14:paraId="4EDB329F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3B4C127" w14:textId="77777777" w:rsidR="00E8371C" w:rsidRDefault="00995B48" w:rsidP="00C771F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Calibri"/>
                <w:b/>
                <w:color w:val="000000"/>
                <w:sz w:val="20"/>
                <w:szCs w:val="20"/>
                <w:lang w:eastAsia="pl-PL"/>
              </w:rPr>
              <w:tab/>
            </w:r>
          </w:p>
          <w:p w14:paraId="67E812AD" w14:textId="52CF3F1B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D21551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2CAD9F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B193E9D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283CB0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50FA12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3A6536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C771F8" w:rsidRPr="00C771F8" w14:paraId="6E2839C3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31D640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F542F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1614C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271E08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B804A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9769CA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2C22C4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14 741</w:t>
            </w:r>
          </w:p>
        </w:tc>
      </w:tr>
      <w:tr w:rsidR="00C771F8" w:rsidRPr="00C771F8" w14:paraId="7E130288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3CD59F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DBEED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66327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AA544C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70BE6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444FC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2 196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7B461A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38 143</w:t>
            </w:r>
          </w:p>
        </w:tc>
      </w:tr>
      <w:tr w:rsidR="00C771F8" w:rsidRPr="00C771F8" w14:paraId="4B1F58B5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55047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98C97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7555E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6CAAC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E04872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48181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3 153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0D088DD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52 884</w:t>
            </w:r>
          </w:p>
        </w:tc>
      </w:tr>
    </w:tbl>
    <w:p w14:paraId="6FAF2AB2" w14:textId="2E05D59E" w:rsidR="00C771F8" w:rsidRDefault="00C771F8" w:rsidP="009A64CD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30E0D80E" w14:textId="3CCD59C4" w:rsidR="00C771F8" w:rsidRDefault="00C771F8" w:rsidP="009A64CD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75A0C53" w14:textId="7A978B0C" w:rsidR="00C771F8" w:rsidRDefault="00C771F8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2BE347C" wp14:editId="4DC9E0B4">
            <wp:extent cx="6188710" cy="27368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211B56" w14:textId="77777777" w:rsidR="00463997" w:rsidRDefault="00463997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7D366FA3" w14:textId="42F4A3BB" w:rsidR="00463997" w:rsidRDefault="00463997" w:rsidP="00463997">
      <w:pPr>
        <w:jc w:val="both"/>
        <w:rPr>
          <w:rFonts w:ascii="Roboto" w:hAnsi="Roboto"/>
          <w:b/>
        </w:rPr>
      </w:pPr>
      <w:r w:rsidRPr="00463997">
        <w:rPr>
          <w:rFonts w:ascii="Roboto" w:hAnsi="Roboto"/>
          <w:b/>
        </w:rPr>
        <w:lastRenderedPageBreak/>
        <w:t xml:space="preserve">Statystyka decyzji </w:t>
      </w:r>
    </w:p>
    <w:p w14:paraId="3D38B518" w14:textId="3995CD60" w:rsidR="00463997" w:rsidRPr="00463997" w:rsidRDefault="00463997" w:rsidP="00463997">
      <w:pPr>
        <w:jc w:val="both"/>
        <w:rPr>
          <w:rFonts w:ascii="Roboto" w:eastAsia="Times New Roman" w:hAnsi="Roboto"/>
        </w:rPr>
      </w:pPr>
      <w:r w:rsidRPr="00463997">
        <w:rPr>
          <w:rFonts w:ascii="Roboto" w:eastAsia="Times New Roman" w:hAnsi="Roboto"/>
        </w:rPr>
        <w:t xml:space="preserve">Ochrona uzupełniająca pozostaje dominującą formą wsparcia, przy jednoczesnym utrzymaniu wysokiego, zsumowanego wskaźnika uznawalności na poziomie </w:t>
      </w:r>
      <w:r w:rsidRPr="00463997">
        <w:rPr>
          <w:rFonts w:ascii="Roboto" w:eastAsia="Times New Roman" w:hAnsi="Roboto"/>
          <w:b/>
        </w:rPr>
        <w:t>96%.</w:t>
      </w:r>
      <w:r w:rsidRPr="00463997">
        <w:rPr>
          <w:rFonts w:ascii="Roboto" w:eastAsia="Times New Roman" w:hAnsi="Roboto"/>
        </w:rPr>
        <w:t xml:space="preserve"> Dane za I połowę 2026 r. samodzielnie wykazują wskaźnik na poziomie 88% przy zwiększonej liczbie nadanych statusów uchodźcy (236).</w:t>
      </w:r>
    </w:p>
    <w:p w14:paraId="6D794422" w14:textId="754F45D2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wydanych wobec obywateli Białorusi w sprawach o udzielenie ochrony międzynarodowej</w:t>
      </w:r>
    </w:p>
    <w:p w14:paraId="0B9821F2" w14:textId="4C503FB7" w:rsidR="00E36F0C" w:rsidRDefault="00AD112D" w:rsidP="00681AF3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681AF3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C771F8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7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48562968" w14:textId="1EAB7491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  <w:gridCol w:w="960"/>
        <w:gridCol w:w="960"/>
        <w:gridCol w:w="960"/>
        <w:gridCol w:w="960"/>
        <w:gridCol w:w="1360"/>
      </w:tblGrid>
      <w:tr w:rsidR="00C771F8" w:rsidRPr="00C771F8" w14:paraId="154411B6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F4AC97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32039D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656E15D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108FD8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C6B09E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167410D" w14:textId="5FD5FBB8" w:rsidR="00C771F8" w:rsidRPr="00C771F8" w:rsidRDefault="00234EA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 poł. 2026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13765AB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C771F8" w:rsidRPr="00C771F8" w14:paraId="7964D757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683C9F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A80DF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5EAE1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48D82F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9A4F4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E0263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326FA8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1 083</w:t>
            </w:r>
          </w:p>
        </w:tc>
      </w:tr>
      <w:tr w:rsidR="00C771F8" w:rsidRPr="00C771F8" w14:paraId="04D7C447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A61274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1EAAB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87AEEF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4EBDE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D7E77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D6871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60910D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10 375</w:t>
            </w:r>
          </w:p>
        </w:tc>
      </w:tr>
      <w:tr w:rsidR="00C771F8" w:rsidRPr="00C771F8" w14:paraId="4BE295AE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9185CC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C6D12E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53A509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EEFD2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725B1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1D7BB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D1FE6B4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C771F8" w:rsidRPr="00C771F8" w14:paraId="051079AE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950BA7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ECDE88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21F19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3DA35E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B1168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B92608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F4F2B9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C771F8" w:rsidRPr="00C771F8" w14:paraId="2F387C50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18ACD9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ABFA38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AAF3B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545DE5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A2C652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9F377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B1FD4EE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501</w:t>
            </w:r>
          </w:p>
        </w:tc>
      </w:tr>
      <w:tr w:rsidR="00C771F8" w:rsidRPr="00C771F8" w14:paraId="4F4ED532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05D85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493BD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88ECA9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EBF586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36DF4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1FCF0D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D570B0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12 385</w:t>
            </w:r>
          </w:p>
        </w:tc>
      </w:tr>
      <w:tr w:rsidR="00C771F8" w:rsidRPr="00C771F8" w14:paraId="6EE6B2AB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55CE36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D4A86F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4E9AB7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924A0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2DD4F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4EED73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1F85521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11 884</w:t>
            </w:r>
          </w:p>
        </w:tc>
      </w:tr>
      <w:tr w:rsidR="00C771F8" w:rsidRPr="00C771F8" w14:paraId="7CF259FB" w14:textId="77777777" w:rsidTr="00C771F8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61489A" w14:textId="77777777" w:rsidR="00C771F8" w:rsidRPr="00C771F8" w:rsidRDefault="00C771F8" w:rsidP="00C771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2B06CC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B0AB8F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B2528E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1607F9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3CB500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88%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F876CC" w14:textId="77777777" w:rsidR="00C771F8" w:rsidRPr="00C771F8" w:rsidRDefault="00C771F8" w:rsidP="00C771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71F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96%</w:t>
            </w:r>
          </w:p>
        </w:tc>
      </w:tr>
    </w:tbl>
    <w:p w14:paraId="32A39633" w14:textId="77777777" w:rsidR="00C771F8" w:rsidRDefault="00C771F8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FD1A39A" w14:textId="77777777" w:rsidR="00681AF3" w:rsidRDefault="00681AF3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3014C63B" w14:textId="77777777" w:rsidR="00E8371C" w:rsidRPr="00E8371C" w:rsidRDefault="00E8371C" w:rsidP="00E8371C">
      <w:pPr>
        <w:jc w:val="both"/>
        <w:rPr>
          <w:rFonts w:ascii="Roboto" w:hAnsi="Roboto"/>
          <w:b/>
        </w:rPr>
      </w:pPr>
      <w:bookmarkStart w:id="0" w:name="_Hlk226442909"/>
      <w:r w:rsidRPr="00E8371C">
        <w:rPr>
          <w:rFonts w:ascii="Roboto" w:hAnsi="Roboto"/>
          <w:b/>
        </w:rPr>
        <w:t>Postępowania w toku</w:t>
      </w:r>
    </w:p>
    <w:p w14:paraId="28059EFA" w14:textId="513AB92E" w:rsidR="00E8371C" w:rsidRPr="00E8371C" w:rsidRDefault="00E8371C" w:rsidP="00E8371C">
      <w:pPr>
        <w:jc w:val="both"/>
        <w:rPr>
          <w:rFonts w:ascii="Roboto" w:eastAsia="Times New Roman" w:hAnsi="Roboto"/>
        </w:rPr>
      </w:pPr>
      <w:r w:rsidRPr="00E8371C">
        <w:rPr>
          <w:rFonts w:ascii="Roboto" w:eastAsia="Times New Roman" w:hAnsi="Roboto"/>
        </w:rPr>
        <w:t xml:space="preserve">Niska liczba umorzeń dowodzi, że obywatele Białorusi rzadko porzucają procedury migracyjne </w:t>
      </w:r>
      <w:r>
        <w:rPr>
          <w:rFonts w:ascii="Roboto" w:eastAsia="Times New Roman" w:hAnsi="Roboto"/>
        </w:rPr>
        <w:br/>
      </w:r>
      <w:r w:rsidRPr="00E8371C">
        <w:rPr>
          <w:rFonts w:ascii="Roboto" w:eastAsia="Times New Roman" w:hAnsi="Roboto"/>
        </w:rPr>
        <w:t xml:space="preserve">w Polsce na rzecz innych krajów UE. Na dzień 1 lipca 2026 r. w toku pozostaje </w:t>
      </w:r>
      <w:r w:rsidRPr="00E8371C">
        <w:rPr>
          <w:rFonts w:ascii="Roboto" w:eastAsia="Times New Roman" w:hAnsi="Roboto"/>
          <w:b/>
        </w:rPr>
        <w:t>3 tys. spraw</w:t>
      </w:r>
      <w:r w:rsidRPr="00E8371C">
        <w:rPr>
          <w:rFonts w:ascii="Roboto" w:eastAsia="Times New Roman" w:hAnsi="Roboto"/>
        </w:rPr>
        <w:t xml:space="preserve">, z czego </w:t>
      </w:r>
      <w:r w:rsidRPr="00E8371C">
        <w:rPr>
          <w:rFonts w:ascii="Roboto" w:eastAsia="Times New Roman" w:hAnsi="Roboto"/>
          <w:b/>
        </w:rPr>
        <w:t>96%</w:t>
      </w:r>
      <w:r w:rsidRPr="00E8371C">
        <w:rPr>
          <w:rFonts w:ascii="Roboto" w:eastAsia="Times New Roman" w:hAnsi="Roboto"/>
        </w:rPr>
        <w:t xml:space="preserve"> realizowanych jest w pierwszej instancji przez Szefa </w:t>
      </w:r>
      <w:proofErr w:type="spellStart"/>
      <w:r w:rsidRPr="00E8371C">
        <w:rPr>
          <w:rFonts w:ascii="Roboto" w:eastAsia="Times New Roman" w:hAnsi="Roboto"/>
        </w:rPr>
        <w:t>UdSC</w:t>
      </w:r>
      <w:proofErr w:type="spellEnd"/>
      <w:r w:rsidRPr="00E8371C">
        <w:rPr>
          <w:rFonts w:ascii="Roboto" w:eastAsia="Times New Roman" w:hAnsi="Roboto"/>
        </w:rPr>
        <w:t>.</w:t>
      </w:r>
    </w:p>
    <w:p w14:paraId="54DD6421" w14:textId="3F03D936" w:rsidR="00681AF3" w:rsidRDefault="00681AF3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11B0BF44" w14:textId="77777777" w:rsidR="000C7129" w:rsidRDefault="000C7129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2E1FFF3C" w14:textId="286F675F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F238C7">
        <w:rPr>
          <w:rStyle w:val="Nagwek3Znak"/>
          <w:rFonts w:ascii="Roboto" w:eastAsia="Calibri" w:hAnsi="Roboto"/>
          <w:sz w:val="20"/>
          <w:szCs w:val="20"/>
        </w:rPr>
        <w:t>Liczba</w:t>
      </w:r>
      <w:r w:rsidRPr="00D94746">
        <w:rPr>
          <w:rStyle w:val="Nagwek3Znak"/>
          <w:rFonts w:ascii="Roboto" w:eastAsia="Calibri" w:hAnsi="Roboto"/>
          <w:color w:val="FF0000"/>
          <w:sz w:val="20"/>
          <w:szCs w:val="20"/>
        </w:rPr>
        <w:t xml:space="preserve"> </w:t>
      </w:r>
      <w:r w:rsidRPr="00A83ECC">
        <w:rPr>
          <w:rStyle w:val="Nagwek3Znak"/>
          <w:rFonts w:ascii="Roboto" w:eastAsia="Calibri" w:hAnsi="Roboto"/>
          <w:sz w:val="20"/>
          <w:szCs w:val="20"/>
        </w:rPr>
        <w:t xml:space="preserve">obywateli </w:t>
      </w:r>
      <w:r w:rsidRPr="009B618B">
        <w:rPr>
          <w:rStyle w:val="Nagwek3Znak"/>
          <w:rFonts w:ascii="Roboto" w:eastAsia="Calibri" w:hAnsi="Roboto"/>
          <w:sz w:val="20"/>
          <w:szCs w:val="20"/>
        </w:rPr>
        <w:t>Białorusi</w:t>
      </w:r>
      <w:r w:rsidRPr="00A83ECC">
        <w:rPr>
          <w:rStyle w:val="Nagwek3Znak"/>
          <w:rFonts w:ascii="Roboto" w:eastAsia="Calibri" w:hAnsi="Roboto"/>
          <w:sz w:val="20"/>
          <w:szCs w:val="20"/>
        </w:rPr>
        <w:t>, których sprawy o udzielenie ochrony międzynarodowej są w toku</w:t>
      </w:r>
    </w:p>
    <w:p w14:paraId="1C8F6608" w14:textId="0637EB90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903AD2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7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59EA9525" w14:textId="2A54AAB0" w:rsidR="00864BEC" w:rsidRDefault="00C74A1B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tbl>
      <w:tblPr>
        <w:tblW w:w="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</w:tblGrid>
      <w:tr w:rsidR="00903AD2" w:rsidRPr="00903AD2" w14:paraId="704F8DDD" w14:textId="77777777" w:rsidTr="00903AD2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0124E63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955EC1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903AD2" w:rsidRPr="00903AD2" w14:paraId="496DA813" w14:textId="77777777" w:rsidTr="00903AD2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025132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F1B30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2 958</w:t>
            </w:r>
          </w:p>
        </w:tc>
      </w:tr>
      <w:tr w:rsidR="00903AD2" w:rsidRPr="00903AD2" w14:paraId="585C76BC" w14:textId="77777777" w:rsidTr="00903AD2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D5B20E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C6BB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903AD2" w:rsidRPr="00903AD2" w14:paraId="6B2B0DD4" w14:textId="77777777" w:rsidTr="00903AD2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E43F9C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0D29F03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3 093</w:t>
            </w:r>
          </w:p>
        </w:tc>
      </w:tr>
    </w:tbl>
    <w:p w14:paraId="0D24DE55" w14:textId="77777777" w:rsidR="00903AD2" w:rsidRDefault="00903AD2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bookmarkEnd w:id="0"/>
    <w:p w14:paraId="4FED3E0E" w14:textId="16C0E161" w:rsidR="00831A83" w:rsidRDefault="00831A83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E46B078" w14:textId="4722BDE7" w:rsidR="005948F3" w:rsidRDefault="00E8371C" w:rsidP="00E8371C">
      <w:pPr>
        <w:jc w:val="both"/>
        <w:rPr>
          <w:rFonts w:ascii="Roboto" w:hAnsi="Roboto"/>
          <w:b/>
        </w:rPr>
      </w:pPr>
      <w:r w:rsidRPr="00E8371C">
        <w:rPr>
          <w:rFonts w:ascii="Roboto" w:hAnsi="Roboto"/>
          <w:b/>
        </w:rPr>
        <w:t>ZEZWOLENIA NA POBYT</w:t>
      </w:r>
    </w:p>
    <w:p w14:paraId="1ADC0EC7" w14:textId="18799EF5" w:rsidR="00E8371C" w:rsidRPr="00E8371C" w:rsidRDefault="00E8371C" w:rsidP="00E8371C">
      <w:pPr>
        <w:jc w:val="both"/>
        <w:rPr>
          <w:rFonts w:ascii="Roboto" w:hAnsi="Roboto"/>
          <w:b/>
        </w:rPr>
      </w:pPr>
      <w:r w:rsidRPr="00E8371C">
        <w:rPr>
          <w:rFonts w:ascii="Roboto" w:hAnsi="Roboto"/>
          <w:b/>
        </w:rPr>
        <w:t>Rozkład terytorialny wniosków</w:t>
      </w:r>
    </w:p>
    <w:p w14:paraId="35F98307" w14:textId="5F869B19" w:rsidR="00513D5B" w:rsidRDefault="00E8371C" w:rsidP="000C7129">
      <w:pPr>
        <w:spacing w:after="60"/>
        <w:jc w:val="both"/>
        <w:outlineLvl w:val="1"/>
        <w:rPr>
          <w:rFonts w:ascii="Roboto" w:eastAsia="Times New Roman" w:hAnsi="Roboto"/>
        </w:rPr>
      </w:pPr>
      <w:r w:rsidRPr="00E8371C">
        <w:rPr>
          <w:rFonts w:ascii="Roboto" w:eastAsia="Times New Roman" w:hAnsi="Roboto"/>
        </w:rPr>
        <w:t>Ruch wnioskodawc</w:t>
      </w:r>
      <w:r>
        <w:rPr>
          <w:rFonts w:ascii="Roboto" w:eastAsia="Times New Roman" w:hAnsi="Roboto"/>
        </w:rPr>
        <w:t>ów</w:t>
      </w:r>
      <w:r w:rsidRPr="00E8371C">
        <w:rPr>
          <w:rFonts w:ascii="Roboto" w:eastAsia="Times New Roman" w:hAnsi="Roboto"/>
        </w:rPr>
        <w:t xml:space="preserve"> koncentruje się w pięciu wiodących regionach, skupiających </w:t>
      </w:r>
      <w:r w:rsidRPr="00E8371C">
        <w:rPr>
          <w:rFonts w:ascii="Roboto" w:eastAsia="Times New Roman" w:hAnsi="Roboto"/>
          <w:b/>
        </w:rPr>
        <w:t>73%</w:t>
      </w:r>
      <w:r w:rsidRPr="00E8371C">
        <w:rPr>
          <w:rFonts w:ascii="Roboto" w:eastAsia="Times New Roman" w:hAnsi="Roboto"/>
        </w:rPr>
        <w:t xml:space="preserve"> spraw </w:t>
      </w:r>
      <w:r>
        <w:rPr>
          <w:rFonts w:ascii="Roboto" w:eastAsia="Times New Roman" w:hAnsi="Roboto"/>
        </w:rPr>
        <w:br/>
      </w:r>
      <w:r w:rsidRPr="00E8371C">
        <w:rPr>
          <w:rFonts w:ascii="Roboto" w:eastAsia="Times New Roman" w:hAnsi="Roboto"/>
        </w:rPr>
        <w:t xml:space="preserve">w kraju. Liderem pozostaje Mazowsze, przy jednoczesnym stabilnym napływie w Małopolsce </w:t>
      </w:r>
      <w:r>
        <w:rPr>
          <w:rFonts w:ascii="Roboto" w:eastAsia="Times New Roman" w:hAnsi="Roboto"/>
        </w:rPr>
        <w:br/>
      </w:r>
      <w:r w:rsidRPr="00E8371C">
        <w:rPr>
          <w:rFonts w:ascii="Roboto" w:eastAsia="Times New Roman" w:hAnsi="Roboto"/>
        </w:rPr>
        <w:t>i ponownym wzroście dynamiki w Wielkopolsce oraz na Pomorzu.</w:t>
      </w:r>
    </w:p>
    <w:p w14:paraId="6E2D5BAB" w14:textId="49F8F568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EEB8320" w14:textId="77777777" w:rsidR="00E8371C" w:rsidRPr="000C7129" w:rsidRDefault="00E8371C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98D749E" w14:textId="6EEEC010" w:rsidR="002818C2" w:rsidRDefault="00AD112D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903AD2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7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</w:p>
    <w:p w14:paraId="584B100F" w14:textId="52B3FF2B" w:rsidR="00903AD2" w:rsidRDefault="00903AD2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5E50E7CA" w14:textId="60D9220C" w:rsidR="00903AD2" w:rsidRDefault="00903AD2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20"/>
        <w:gridCol w:w="1340"/>
        <w:gridCol w:w="820"/>
        <w:gridCol w:w="840"/>
        <w:gridCol w:w="920"/>
      </w:tblGrid>
      <w:tr w:rsidR="00903AD2" w:rsidRPr="00903AD2" w14:paraId="144B6151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741331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0B52180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7719FF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0D136AA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CEF55EB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4BFFCA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903AD2" w:rsidRPr="00903AD2" w14:paraId="18566E49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E11613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18B2D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91B714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292CF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AFE4F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F09A2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1 921</w:t>
            </w:r>
          </w:p>
        </w:tc>
      </w:tr>
      <w:tr w:rsidR="00903AD2" w:rsidRPr="00903AD2" w14:paraId="3112FDA6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D1AF20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3838D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E95E4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D1CED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F8BEC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BCE7B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903AD2" w:rsidRPr="00903AD2" w14:paraId="52CB10BE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99A7F0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CC8BD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1D6EE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35604D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BC3A8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1DE44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1 242</w:t>
            </w:r>
          </w:p>
        </w:tc>
      </w:tr>
      <w:tr w:rsidR="00903AD2" w:rsidRPr="00903AD2" w14:paraId="416086B1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4E3585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6809C0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4B142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51948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BCEAC0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866F1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903AD2" w:rsidRPr="00903AD2" w14:paraId="41F7C8A7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1C1D20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9632E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2AF54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104AD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1497E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13C19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1 335</w:t>
            </w:r>
          </w:p>
        </w:tc>
      </w:tr>
      <w:tr w:rsidR="00903AD2" w:rsidRPr="00903AD2" w14:paraId="1231C20B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D98AFA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B590A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7A5B57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0ECCD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D4D20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896D44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2 463</w:t>
            </w:r>
          </w:p>
        </w:tc>
      </w:tr>
      <w:tr w:rsidR="00903AD2" w:rsidRPr="00903AD2" w14:paraId="7E0FE8D1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EDC8AF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38AD40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5B5B9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D6C7C4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BA7E59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8DF57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8 971</w:t>
            </w:r>
          </w:p>
        </w:tc>
      </w:tr>
      <w:tr w:rsidR="00903AD2" w:rsidRPr="00903AD2" w14:paraId="01821A38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639868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DA98A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1E6A4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E0D19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D5112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FFF5B7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903AD2" w:rsidRPr="00903AD2" w14:paraId="792AF77C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347450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5F1414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9221C1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259E7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3CFB4B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8151C7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903AD2" w:rsidRPr="00903AD2" w14:paraId="355EDAA3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655918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17A9B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D77E1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0D3D0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EC0FD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29599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1 934</w:t>
            </w:r>
          </w:p>
        </w:tc>
      </w:tr>
      <w:tr w:rsidR="00903AD2" w:rsidRPr="00903AD2" w14:paraId="26BFC3C8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F65E75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926DAC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8617A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4750E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F71D2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25872D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2 427</w:t>
            </w:r>
          </w:p>
        </w:tc>
      </w:tr>
      <w:tr w:rsidR="00903AD2" w:rsidRPr="00903AD2" w14:paraId="7EA735E4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C6A1DB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3C0C00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A533BE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BECE67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00F8B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537B1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487</w:t>
            </w:r>
          </w:p>
        </w:tc>
      </w:tr>
      <w:tr w:rsidR="00903AD2" w:rsidRPr="00903AD2" w14:paraId="7E396C80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CB5FAA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21F611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E9C702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8499F4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12F3CB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1F778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903AD2" w:rsidRPr="00903AD2" w14:paraId="6BDC2CDE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04715E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7E218D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DA088B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86B30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8F2187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06404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903AD2" w:rsidRPr="00903AD2" w14:paraId="31B10F71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B23B61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9CE67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41F7D5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CDA4B6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34970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930198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3 396</w:t>
            </w:r>
          </w:p>
        </w:tc>
      </w:tr>
      <w:tr w:rsidR="00903AD2" w:rsidRPr="00903AD2" w14:paraId="0731332B" w14:textId="77777777" w:rsidTr="00903AD2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AA391D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5E1049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A3990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31CF6D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EF3913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6D7BBF" w14:textId="77777777" w:rsidR="00903AD2" w:rsidRPr="00903AD2" w:rsidRDefault="00903AD2" w:rsidP="00903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</w:tbl>
    <w:p w14:paraId="04FC1542" w14:textId="77777777" w:rsidR="00903AD2" w:rsidRDefault="00903AD2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898C159" w14:textId="573E327F" w:rsidR="00634330" w:rsidRDefault="00634330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082410B3" w14:textId="40248284" w:rsidR="00634330" w:rsidRDefault="00634330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53AFD160" w14:textId="3C2038A4" w:rsidR="00513D5B" w:rsidRPr="00E8371C" w:rsidRDefault="00E8371C" w:rsidP="00E8371C">
      <w:pPr>
        <w:jc w:val="both"/>
        <w:rPr>
          <w:rFonts w:ascii="Roboto" w:hAnsi="Roboto"/>
          <w:b/>
        </w:rPr>
      </w:pPr>
      <w:r w:rsidRPr="00E8371C">
        <w:rPr>
          <w:rFonts w:ascii="Roboto" w:hAnsi="Roboto"/>
          <w:b/>
        </w:rPr>
        <w:t>Charakterystyka decyzji pobytowych</w:t>
      </w:r>
    </w:p>
    <w:p w14:paraId="73667F75" w14:textId="3E349262" w:rsidR="00513D5B" w:rsidRDefault="00513D5B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01E07C38" w14:textId="5984A948" w:rsidR="00513D5B" w:rsidRPr="00E8371C" w:rsidRDefault="00E8371C" w:rsidP="00E8371C">
      <w:pPr>
        <w:spacing w:after="0"/>
        <w:jc w:val="both"/>
        <w:rPr>
          <w:rFonts w:ascii="Roboto" w:eastAsia="Times New Roman" w:hAnsi="Roboto"/>
        </w:rPr>
      </w:pPr>
      <w:r w:rsidRPr="00E8371C">
        <w:rPr>
          <w:rFonts w:ascii="Roboto" w:eastAsia="Times New Roman" w:hAnsi="Roboto"/>
        </w:rPr>
        <w:t xml:space="preserve">W pierwszej połowie 2026 r. urzędy wydały </w:t>
      </w:r>
      <w:r w:rsidRPr="00E8371C">
        <w:rPr>
          <w:rFonts w:ascii="Roboto" w:eastAsia="Times New Roman" w:hAnsi="Roboto"/>
          <w:b/>
        </w:rPr>
        <w:t>14,5 tys.</w:t>
      </w:r>
      <w:r w:rsidRPr="00E8371C">
        <w:rPr>
          <w:rFonts w:ascii="Roboto" w:eastAsia="Times New Roman" w:hAnsi="Roboto"/>
        </w:rPr>
        <w:t xml:space="preserve"> pozytywnych decyzji. Łączna liczba zamkniętych postępowań w tym okresie (uwzględniając odmowy i umorzenia) osiągnęła próg </w:t>
      </w:r>
      <w:r>
        <w:rPr>
          <w:rFonts w:ascii="Roboto" w:eastAsia="Times New Roman" w:hAnsi="Roboto"/>
        </w:rPr>
        <w:t xml:space="preserve">blisko </w:t>
      </w:r>
      <w:r w:rsidRPr="00E8371C">
        <w:rPr>
          <w:rFonts w:ascii="Roboto" w:eastAsia="Times New Roman" w:hAnsi="Roboto"/>
          <w:b/>
        </w:rPr>
        <w:t>17 tys.</w:t>
      </w:r>
      <w:r w:rsidRPr="00E8371C">
        <w:rPr>
          <w:rFonts w:ascii="Roboto" w:eastAsia="Times New Roman" w:hAnsi="Roboto"/>
        </w:rPr>
        <w:t xml:space="preserve"> spraw.</w:t>
      </w:r>
    </w:p>
    <w:p w14:paraId="490D837E" w14:textId="267A5CF4" w:rsidR="00513D5B" w:rsidRDefault="00513D5B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F4CD0DC" w14:textId="00F5680F" w:rsidR="00513D5B" w:rsidRDefault="00513D5B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F7ED64" w14:textId="0D369CD8" w:rsidR="004809A7" w:rsidRDefault="00AD112D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903AD2">
        <w:rPr>
          <w:rFonts w:ascii="Roboto" w:eastAsia="Times New Roman" w:hAnsi="Roboto"/>
          <w:b/>
          <w:bCs/>
          <w:sz w:val="20"/>
          <w:szCs w:val="20"/>
        </w:rPr>
        <w:t>7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24DC71F5" w14:textId="6BE84902" w:rsidR="002818C2" w:rsidRDefault="002818C2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10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441"/>
        <w:gridCol w:w="441"/>
        <w:gridCol w:w="441"/>
        <w:gridCol w:w="441"/>
        <w:gridCol w:w="494"/>
        <w:gridCol w:w="432"/>
        <w:gridCol w:w="432"/>
        <w:gridCol w:w="432"/>
        <w:gridCol w:w="432"/>
        <w:gridCol w:w="494"/>
        <w:gridCol w:w="424"/>
        <w:gridCol w:w="440"/>
        <w:gridCol w:w="440"/>
        <w:gridCol w:w="440"/>
        <w:gridCol w:w="494"/>
        <w:gridCol w:w="441"/>
        <w:gridCol w:w="441"/>
        <w:gridCol w:w="441"/>
        <w:gridCol w:w="441"/>
        <w:gridCol w:w="494"/>
      </w:tblGrid>
      <w:tr w:rsidR="00903AD2" w:rsidRPr="00903AD2" w14:paraId="10BC1274" w14:textId="77777777" w:rsidTr="002D7144">
        <w:trPr>
          <w:trHeight w:val="248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193266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6535632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4C29EDA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7F8E8CE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1AC19D4B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903AD2" w:rsidRPr="00903AD2" w14:paraId="7D2C05CC" w14:textId="77777777" w:rsidTr="002D7144">
        <w:trPr>
          <w:trHeight w:val="248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9534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594B40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4CC072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23A3D8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F56406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AF16E4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B20A947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F0B02E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47C1AE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8221EB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00013F1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E09BB6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667106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AECD28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A5544B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43AA2E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8888A7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9354F4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D2E177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C486DC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1A7607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903AD2" w:rsidRPr="00903AD2" w14:paraId="3DF00AAE" w14:textId="77777777" w:rsidTr="002D7144">
        <w:trPr>
          <w:trHeight w:val="248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E76423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F9647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8FE33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80CF253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3B9343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15088E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12 128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F622F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5A8A02B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15792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FD667D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F5BBC8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1 158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D5BDA03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7C7788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A68ED21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5DC30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10050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F9D2EA2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C13084B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32007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477E5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FC6852E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13 812</w:t>
            </w:r>
          </w:p>
        </w:tc>
      </w:tr>
      <w:tr w:rsidR="00903AD2" w:rsidRPr="00903AD2" w14:paraId="0349F8C8" w14:textId="77777777" w:rsidTr="002D7144">
        <w:trPr>
          <w:trHeight w:val="24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8E4D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F8B1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542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CD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99E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52F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1 890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0EF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2B51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97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532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245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435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D16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1D8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46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52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FCD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4A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8B4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9C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0E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CC1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2 479</w:t>
            </w:r>
          </w:p>
        </w:tc>
      </w:tr>
      <w:tr w:rsidR="00903AD2" w:rsidRPr="00903AD2" w14:paraId="0344A6A7" w14:textId="77777777" w:rsidTr="002D7144">
        <w:trPr>
          <w:trHeight w:val="522"/>
          <w:jc w:val="center"/>
        </w:trPr>
        <w:tc>
          <w:tcPr>
            <w:tcW w:w="1649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D9B825" w14:textId="77777777" w:rsidR="00903AD2" w:rsidRPr="00903AD2" w:rsidRDefault="00903AD2" w:rsidP="00903AD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7A32B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8F88E12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26EF81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317DD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B5DDB2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306FD23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29EAC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9209D9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49DC9B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3A0F5BD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FFF574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7839E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D52602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C3FC76E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5D2AC3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24968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CB0E61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77905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E8415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B1FEFF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583</w:t>
            </w:r>
          </w:p>
        </w:tc>
      </w:tr>
      <w:tr w:rsidR="00903AD2" w:rsidRPr="00903AD2" w14:paraId="2D9E8190" w14:textId="77777777" w:rsidTr="002D7144">
        <w:trPr>
          <w:trHeight w:val="24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0DA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FB8C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5E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38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FB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4087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14 479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6C3A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B87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5532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01E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C0C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1 658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75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3C1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575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9B3F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F8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737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7D6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0C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F0A9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9C0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A18" w14:textId="77777777" w:rsidR="00903AD2" w:rsidRPr="00903AD2" w:rsidRDefault="00903AD2" w:rsidP="00903A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03AD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16 874</w:t>
            </w:r>
          </w:p>
        </w:tc>
      </w:tr>
    </w:tbl>
    <w:p w14:paraId="1854A68F" w14:textId="77777777" w:rsidR="00D1750B" w:rsidRDefault="00D1750B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5289CD42" w14:textId="77777777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9675760" w14:textId="651DC4E7" w:rsidR="00903AD2" w:rsidRDefault="00E8371C" w:rsidP="00E8371C">
      <w:pPr>
        <w:jc w:val="both"/>
        <w:rPr>
          <w:rFonts w:ascii="Roboto" w:hAnsi="Roboto"/>
          <w:b/>
        </w:rPr>
      </w:pPr>
      <w:r w:rsidRPr="00E8371C">
        <w:rPr>
          <w:rFonts w:ascii="Roboto" w:hAnsi="Roboto"/>
          <w:b/>
        </w:rPr>
        <w:t>Struktura celów migracyjnych</w:t>
      </w:r>
    </w:p>
    <w:p w14:paraId="4217AC5B" w14:textId="1A527CF8" w:rsidR="00E8371C" w:rsidRPr="00E8371C" w:rsidRDefault="00E8371C" w:rsidP="00E8371C">
      <w:pPr>
        <w:jc w:val="both"/>
        <w:rPr>
          <w:rFonts w:ascii="Roboto" w:eastAsia="Times New Roman" w:hAnsi="Roboto"/>
        </w:rPr>
      </w:pPr>
      <w:r w:rsidRPr="00E8371C">
        <w:rPr>
          <w:rFonts w:ascii="Roboto" w:eastAsia="Times New Roman" w:hAnsi="Roboto"/>
        </w:rPr>
        <w:t xml:space="preserve">Wśród wydanych </w:t>
      </w:r>
      <w:r w:rsidR="002D7144">
        <w:rPr>
          <w:rFonts w:ascii="Roboto" w:eastAsia="Times New Roman" w:hAnsi="Roboto"/>
        </w:rPr>
        <w:t>zezwoleń</w:t>
      </w:r>
      <w:r w:rsidRPr="00E8371C">
        <w:rPr>
          <w:rFonts w:ascii="Roboto" w:eastAsia="Times New Roman" w:hAnsi="Roboto"/>
        </w:rPr>
        <w:t xml:space="preserve"> na pobyt czasowy cele rozkładają się następująco: </w:t>
      </w:r>
      <w:r w:rsidRPr="002D7144">
        <w:rPr>
          <w:rFonts w:ascii="Roboto" w:eastAsia="Times New Roman" w:hAnsi="Roboto"/>
          <w:b/>
        </w:rPr>
        <w:t>Praca (66%), Więzi rodzinne (23%), Inne (7%), Edukacja i nauka (4%).</w:t>
      </w:r>
      <w:r w:rsidRPr="00E8371C">
        <w:rPr>
          <w:rFonts w:ascii="Roboto" w:eastAsia="Times New Roman" w:hAnsi="Roboto"/>
        </w:rPr>
        <w:t xml:space="preserve"> Wysoka aktywność zawodowa potwierdza płynną i udaną absorpcję tej grupy przez krajowy rynek pracy.</w:t>
      </w:r>
    </w:p>
    <w:p w14:paraId="311A89C8" w14:textId="240BD715" w:rsidR="00903AD2" w:rsidRDefault="00903AD2" w:rsidP="00903AD2">
      <w:pPr>
        <w:spacing w:after="60"/>
        <w:jc w:val="center"/>
        <w:outlineLvl w:val="1"/>
        <w:rPr>
          <w:rFonts w:ascii="Roboto" w:eastAsia="Times New Roman" w:hAnsi="Roboto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5470B68" wp14:editId="13306E50">
            <wp:extent cx="3860800" cy="201295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CF929E" w14:textId="21D843E1" w:rsidR="008A2AA0" w:rsidRPr="00243551" w:rsidRDefault="008A2AA0" w:rsidP="00243551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</w:p>
    <w:p w14:paraId="53FB2E45" w14:textId="5EAFC9B8" w:rsidR="003E40F0" w:rsidRPr="002D7144" w:rsidRDefault="002D7144" w:rsidP="002D7144">
      <w:pPr>
        <w:jc w:val="both"/>
        <w:rPr>
          <w:rFonts w:ascii="Roboto" w:hAnsi="Roboto"/>
          <w:b/>
        </w:rPr>
      </w:pPr>
      <w:bookmarkStart w:id="1" w:name="_Hlk176333367"/>
      <w:r w:rsidRPr="002D7144">
        <w:rPr>
          <w:rFonts w:ascii="Roboto" w:hAnsi="Roboto"/>
          <w:b/>
        </w:rPr>
        <w:t>ROZMIESZCZENIE TERYTORIALNE I DEMOGRAFIA</w:t>
      </w:r>
    </w:p>
    <w:bookmarkEnd w:id="1"/>
    <w:p w14:paraId="7A5F3709" w14:textId="77777777" w:rsidR="002D7144" w:rsidRDefault="002D7144" w:rsidP="002D714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2D7144">
        <w:rPr>
          <w:rFonts w:ascii="Roboto" w:eastAsia="Times New Roman" w:hAnsi="Roboto"/>
          <w:b/>
        </w:rPr>
        <w:t>Geografia:</w:t>
      </w:r>
      <w:r w:rsidRPr="002D7144">
        <w:rPr>
          <w:rFonts w:ascii="Roboto" w:eastAsia="Times New Roman" w:hAnsi="Roboto"/>
        </w:rPr>
        <w:t xml:space="preserve"> Rozmieszczenie pozostaje wysoce nierównomierne. Województwo mazowieckie skupia ponad </w:t>
      </w:r>
      <w:r w:rsidRPr="002D7144">
        <w:rPr>
          <w:rFonts w:ascii="Roboto" w:eastAsia="Times New Roman" w:hAnsi="Roboto"/>
          <w:b/>
        </w:rPr>
        <w:t>33%</w:t>
      </w:r>
      <w:r w:rsidRPr="002D7144">
        <w:rPr>
          <w:rFonts w:ascii="Roboto" w:eastAsia="Times New Roman" w:hAnsi="Roboto"/>
        </w:rPr>
        <w:t xml:space="preserve"> całej populacji. Pozostałe kluczowe ośrodki to województwa podlaskie, dolnośląskie, wielkopolskie, pomorskie oraz małopolskie.</w:t>
      </w:r>
    </w:p>
    <w:p w14:paraId="7A6DA57D" w14:textId="19E82850" w:rsidR="002D7144" w:rsidRDefault="002D7144" w:rsidP="002D714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2D7144">
        <w:rPr>
          <w:rFonts w:ascii="Roboto" w:eastAsia="Times New Roman" w:hAnsi="Roboto"/>
          <w:b/>
        </w:rPr>
        <w:t>Demografia:</w:t>
      </w:r>
      <w:r w:rsidRPr="002D7144">
        <w:rPr>
          <w:rFonts w:ascii="Roboto" w:eastAsia="Times New Roman" w:hAnsi="Roboto"/>
        </w:rPr>
        <w:t xml:space="preserve"> W strukturze przeważają osoby młode (przedział wiekowy </w:t>
      </w:r>
      <w:r w:rsidRPr="002D7144">
        <w:rPr>
          <w:rFonts w:ascii="Roboto" w:eastAsia="Times New Roman" w:hAnsi="Roboto"/>
          <w:b/>
        </w:rPr>
        <w:t>18–34 lata</w:t>
      </w:r>
      <w:r w:rsidRPr="002D7144">
        <w:rPr>
          <w:rFonts w:ascii="Roboto" w:eastAsia="Times New Roman" w:hAnsi="Roboto"/>
        </w:rPr>
        <w:t>). Podział ze względu na płeć cechuje się stabilną strukturą z przewagą mężczyzn (</w:t>
      </w:r>
      <w:r w:rsidRPr="002D7144">
        <w:rPr>
          <w:rFonts w:ascii="Roboto" w:eastAsia="Times New Roman" w:hAnsi="Roboto"/>
          <w:b/>
        </w:rPr>
        <w:t>57%)</w:t>
      </w:r>
      <w:r w:rsidRPr="002D7144">
        <w:rPr>
          <w:rFonts w:ascii="Roboto" w:eastAsia="Times New Roman" w:hAnsi="Roboto"/>
        </w:rPr>
        <w:t xml:space="preserve"> nad kobietami (</w:t>
      </w:r>
      <w:r w:rsidRPr="002D7144">
        <w:rPr>
          <w:rFonts w:ascii="Roboto" w:eastAsia="Times New Roman" w:hAnsi="Roboto"/>
          <w:b/>
        </w:rPr>
        <w:t>43%)</w:t>
      </w:r>
    </w:p>
    <w:p w14:paraId="275A9845" w14:textId="77777777" w:rsidR="002D7144" w:rsidRDefault="002D7144" w:rsidP="002D7144">
      <w:pPr>
        <w:jc w:val="both"/>
        <w:rPr>
          <w:rFonts w:ascii="Roboto" w:hAnsi="Roboto"/>
          <w:b/>
        </w:rPr>
      </w:pPr>
    </w:p>
    <w:p w14:paraId="2F4D38C5" w14:textId="489C797F" w:rsidR="006F0F94" w:rsidRPr="002D7144" w:rsidRDefault="002D7144" w:rsidP="002D7144">
      <w:pPr>
        <w:jc w:val="both"/>
        <w:rPr>
          <w:rFonts w:ascii="Roboto" w:hAnsi="Roboto"/>
          <w:b/>
        </w:rPr>
      </w:pPr>
      <w:r w:rsidRPr="002D7144">
        <w:rPr>
          <w:rFonts w:ascii="Roboto" w:hAnsi="Roboto"/>
          <w:b/>
        </w:rPr>
        <w:t xml:space="preserve">POLSKIE DOKUMENTY PODRÓŻY DLA CUDZOZIEMCÓW </w:t>
      </w:r>
    </w:p>
    <w:p w14:paraId="4A12F183" w14:textId="0B2DC63A" w:rsidR="002D7144" w:rsidRDefault="002D7144" w:rsidP="002D714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2D7144">
        <w:rPr>
          <w:rFonts w:ascii="Roboto" w:eastAsia="Times New Roman" w:hAnsi="Roboto"/>
        </w:rPr>
        <w:t xml:space="preserve">Brak możliwości odnowienia paszportów w konsulatach Białorusi poskutkował kryzysem administracyjnym. Obywatele Białorusi stanowią aż </w:t>
      </w:r>
      <w:r w:rsidRPr="002D7144">
        <w:rPr>
          <w:rFonts w:ascii="Roboto" w:eastAsia="Times New Roman" w:hAnsi="Roboto"/>
          <w:b/>
        </w:rPr>
        <w:t>89%</w:t>
      </w:r>
      <w:r w:rsidRPr="002D7144">
        <w:rPr>
          <w:rFonts w:ascii="Roboto" w:eastAsia="Times New Roman" w:hAnsi="Roboto"/>
        </w:rPr>
        <w:t xml:space="preserve"> wszystkich historycznych odbiorców Polskich Dokumentów Podróży, a w I połowie 2026 r. współczynnik ten osiągnął wartość </w:t>
      </w:r>
      <w:r w:rsidRPr="002D7144">
        <w:rPr>
          <w:rFonts w:ascii="Roboto" w:eastAsia="Times New Roman" w:hAnsi="Roboto"/>
          <w:b/>
        </w:rPr>
        <w:t>96%.</w:t>
      </w:r>
    </w:p>
    <w:p w14:paraId="68C73E77" w14:textId="6A51400C" w:rsidR="00D1750B" w:rsidRDefault="006F0F94" w:rsidP="00D1750B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  <w:r w:rsidRPr="001150F5">
        <w:rPr>
          <w:rFonts w:ascii="Roboto" w:eastAsia="Times New Roman" w:hAnsi="Roboto"/>
          <w:b/>
          <w:sz w:val="20"/>
          <w:szCs w:val="20"/>
        </w:rPr>
        <w:t>Liczba Polskich Dokumentów Podróży wydanych w latach 2020-2026</w:t>
      </w: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CD5674" w:rsidRPr="00CD5674" w14:paraId="6D4CA86E" w14:textId="77777777" w:rsidTr="00CD5674">
        <w:trPr>
          <w:trHeight w:val="300"/>
          <w:jc w:val="center"/>
        </w:trPr>
        <w:tc>
          <w:tcPr>
            <w:tcW w:w="20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B3E81C0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80458A0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C8BC9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4F84EE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4F84138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2EAF5DB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AE6BDB5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10898DB" w14:textId="3EA3172B" w:rsidR="00CD5674" w:rsidRPr="00CD5674" w:rsidRDefault="009D2BE8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I poł. </w:t>
            </w:r>
            <w:r w:rsidR="00CD5674"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1DCC3B4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Suma</w:t>
            </w:r>
          </w:p>
        </w:tc>
      </w:tr>
      <w:tr w:rsidR="00CD5674" w:rsidRPr="00CD5674" w14:paraId="3A9C917C" w14:textId="77777777" w:rsidTr="00CD5674">
        <w:trPr>
          <w:trHeight w:val="300"/>
          <w:jc w:val="center"/>
        </w:trPr>
        <w:tc>
          <w:tcPr>
            <w:tcW w:w="20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E66E36" w14:textId="77777777" w:rsidR="00CD5674" w:rsidRPr="00CD5674" w:rsidRDefault="00CD5674" w:rsidP="00CD56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1ED6F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29E1A1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C1A8C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753C47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96430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3 328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96A8E8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5 689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DA90B0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3 524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EDA9EB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13 647</w:t>
            </w:r>
          </w:p>
        </w:tc>
      </w:tr>
      <w:tr w:rsidR="00CD5674" w:rsidRPr="00CD5674" w14:paraId="15F363B3" w14:textId="77777777" w:rsidTr="00CD5674">
        <w:trPr>
          <w:trHeight w:val="300"/>
          <w:jc w:val="center"/>
        </w:trPr>
        <w:tc>
          <w:tcPr>
            <w:tcW w:w="20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86184B" w14:textId="77777777" w:rsidR="00CD5674" w:rsidRPr="00CD5674" w:rsidRDefault="00CD5674" w:rsidP="00CD56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5EAB58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E02E5A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5F154D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C10650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1BEEA6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9F29FF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1B17B7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69BFE5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1 759</w:t>
            </w:r>
          </w:p>
        </w:tc>
      </w:tr>
      <w:tr w:rsidR="00CD5674" w:rsidRPr="00CD5674" w14:paraId="1C6A6AE4" w14:textId="77777777" w:rsidTr="00CD5674">
        <w:trPr>
          <w:trHeight w:val="300"/>
          <w:jc w:val="center"/>
        </w:trPr>
        <w:tc>
          <w:tcPr>
            <w:tcW w:w="20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4483A6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7B44EF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103F32" w14:textId="43BAE885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5527BE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E2A845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1 258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5E4FD6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3 638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298660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5 985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151593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3 688</w:t>
            </w:r>
          </w:p>
        </w:tc>
        <w:tc>
          <w:tcPr>
            <w:tcW w:w="9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E97641" w14:textId="77777777" w:rsidR="00CD5674" w:rsidRPr="00CD5674" w:rsidRDefault="00CD5674" w:rsidP="00CD56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567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15 406</w:t>
            </w:r>
          </w:p>
        </w:tc>
      </w:tr>
    </w:tbl>
    <w:p w14:paraId="22C3A0F2" w14:textId="08C9A393" w:rsidR="00D1750B" w:rsidRDefault="00D1750B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</w:p>
    <w:p w14:paraId="689267CC" w14:textId="68C867D9" w:rsidR="00CD5674" w:rsidRDefault="00CD5674" w:rsidP="00CD5674">
      <w:pPr>
        <w:jc w:val="center"/>
        <w:rPr>
          <w:rFonts w:ascii="Roboto" w:eastAsia="Times New Roman" w:hAnsi="Roboto"/>
        </w:rPr>
      </w:pPr>
      <w:r>
        <w:rPr>
          <w:noProof/>
        </w:rPr>
        <w:drawing>
          <wp:inline distT="0" distB="0" distL="0" distR="0" wp14:anchorId="6B44F068" wp14:editId="27072BE0">
            <wp:extent cx="5153025" cy="22796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B879D8C-9C9F-4BF0-8A0B-FB6938FBB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ECA9AC" w14:textId="67753C2B" w:rsidR="00DE6D19" w:rsidRPr="002D7144" w:rsidRDefault="002D7144" w:rsidP="002D7144">
      <w:pPr>
        <w:jc w:val="both"/>
        <w:rPr>
          <w:rFonts w:ascii="Roboto" w:hAnsi="Roboto"/>
          <w:b/>
        </w:rPr>
      </w:pPr>
      <w:r w:rsidRPr="002D7144">
        <w:rPr>
          <w:rFonts w:ascii="Roboto" w:hAnsi="Roboto"/>
          <w:b/>
        </w:rPr>
        <w:lastRenderedPageBreak/>
        <w:t>STATYSTYKA WIZOWA</w:t>
      </w:r>
    </w:p>
    <w:p w14:paraId="67D3ED41" w14:textId="2FBB7DFD" w:rsidR="00DE6D19" w:rsidRDefault="00DE6D19" w:rsidP="00DE6D19">
      <w:pPr>
        <w:spacing w:after="60"/>
        <w:jc w:val="center"/>
        <w:outlineLvl w:val="1"/>
        <w:rPr>
          <w:rFonts w:ascii="Roboto" w:hAnsi="Roboto"/>
        </w:rPr>
      </w:pPr>
      <w:r w:rsidRPr="00F238C7">
        <w:rPr>
          <w:rFonts w:ascii="Roboto" w:eastAsia="Times New Roman" w:hAnsi="Roboto"/>
          <w:b/>
          <w:bCs/>
          <w:sz w:val="20"/>
          <w:szCs w:val="20"/>
        </w:rPr>
        <w:t>Wizy</w:t>
      </w:r>
      <w:r w:rsidRPr="00B94AC6">
        <w:rPr>
          <w:rFonts w:ascii="Roboto" w:eastAsia="Times New Roman" w:hAnsi="Roboto"/>
          <w:b/>
          <w:bCs/>
          <w:color w:val="FF0000"/>
          <w:sz w:val="20"/>
          <w:szCs w:val="20"/>
        </w:rPr>
        <w:t xml:space="preserve"> 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udzielone obywatelom Białorusi w okresie 10.08.2020- </w:t>
      </w:r>
      <w:r>
        <w:rPr>
          <w:rFonts w:ascii="Roboto" w:eastAsia="Times New Roman" w:hAnsi="Roboto"/>
          <w:b/>
          <w:bCs/>
          <w:sz w:val="20"/>
          <w:szCs w:val="20"/>
        </w:rPr>
        <w:t>3</w:t>
      </w:r>
      <w:r w:rsidR="00020495">
        <w:rPr>
          <w:rFonts w:ascii="Roboto" w:eastAsia="Times New Roman" w:hAnsi="Roboto"/>
          <w:b/>
          <w:bCs/>
          <w:sz w:val="20"/>
          <w:szCs w:val="20"/>
        </w:rPr>
        <w:t>1</w:t>
      </w:r>
      <w:r>
        <w:rPr>
          <w:rFonts w:ascii="Roboto" w:eastAsia="Times New Roman" w:hAnsi="Roboto"/>
          <w:b/>
          <w:bCs/>
          <w:sz w:val="20"/>
          <w:szCs w:val="20"/>
        </w:rPr>
        <w:t>.0</w:t>
      </w:r>
      <w:r w:rsidR="00020495">
        <w:rPr>
          <w:rFonts w:ascii="Roboto" w:eastAsia="Times New Roman" w:hAnsi="Roboto"/>
          <w:b/>
          <w:bCs/>
          <w:sz w:val="20"/>
          <w:szCs w:val="20"/>
        </w:rPr>
        <w:t>5</w:t>
      </w:r>
      <w:r>
        <w:rPr>
          <w:rFonts w:ascii="Roboto" w:eastAsia="Times New Roman" w:hAnsi="Roboto"/>
          <w:b/>
          <w:bCs/>
          <w:sz w:val="20"/>
          <w:szCs w:val="20"/>
        </w:rPr>
        <w:t>.2026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>
        <w:rPr>
          <w:rFonts w:ascii="Roboto" w:hAnsi="Roboto"/>
        </w:rPr>
        <w:tab/>
      </w:r>
    </w:p>
    <w:tbl>
      <w:tblPr>
        <w:tblW w:w="9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2170"/>
        <w:gridCol w:w="2211"/>
        <w:gridCol w:w="2126"/>
        <w:gridCol w:w="1117"/>
      </w:tblGrid>
      <w:tr w:rsidR="00DE6D19" w:rsidRPr="00563EBA" w14:paraId="33C3F781" w14:textId="77777777" w:rsidTr="00CC3AC8">
        <w:trPr>
          <w:trHeight w:val="905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4841B52C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70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BD03BAB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11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E8DCB11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0B40AA4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17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560909A6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DE6D19" w:rsidRPr="00563EBA" w14:paraId="7C85C34E" w14:textId="77777777" w:rsidTr="00CC3AC8">
        <w:trPr>
          <w:trHeight w:val="1199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7FFACD4D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2" w:name="RANGE!A20"/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  <w:bookmarkEnd w:id="2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0113" w14:textId="77777777" w:rsidR="00DE6D19" w:rsidRPr="00563EBA" w:rsidRDefault="00DE6D19" w:rsidP="00CC3AC8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2AB8" w14:textId="52A0C516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</w:t>
            </w:r>
            <w:r w:rsidR="00461C0C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8F24" w14:textId="2F28EC15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 xml:space="preserve">54 </w:t>
            </w:r>
            <w:r w:rsidR="00CD567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DC17B2" w14:textId="1D21BAA9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54 </w:t>
            </w:r>
            <w:r w:rsidR="00CD567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DE6D19" w:rsidRPr="00563EBA" w14:paraId="551A36F7" w14:textId="77777777" w:rsidTr="00CC3AC8">
        <w:trPr>
          <w:trHeight w:val="863"/>
          <w:jc w:val="center"/>
        </w:trPr>
        <w:tc>
          <w:tcPr>
            <w:tcW w:w="166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2A277A8" w14:textId="63E3E8EF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</w:t>
            </w:r>
            <w:r w:rsidR="000610A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zawieszone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264D" w14:textId="77777777" w:rsidR="00DE6D19" w:rsidRPr="00563EBA" w:rsidRDefault="00DE6D19" w:rsidP="00CC3AC8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0947" w14:textId="752FF378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 xml:space="preserve">19 </w:t>
            </w:r>
            <w:r w:rsidR="00CD567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B033" w14:textId="3EF5C272" w:rsidR="00DE6D19" w:rsidRPr="00563EBA" w:rsidRDefault="00CD5674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211 325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E77257" w14:textId="2617EE24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CD567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30 749</w:t>
            </w:r>
          </w:p>
        </w:tc>
      </w:tr>
    </w:tbl>
    <w:p w14:paraId="69BB86E2" w14:textId="42A64B85" w:rsidR="00DE6D19" w:rsidRPr="000610A5" w:rsidRDefault="000610A5" w:rsidP="00DE6D19">
      <w:pPr>
        <w:spacing w:after="60"/>
        <w:jc w:val="center"/>
        <w:outlineLvl w:val="1"/>
        <w:rPr>
          <w:rFonts w:ascii="Roboto" w:hAnsi="Roboto"/>
          <w:i/>
          <w:sz w:val="18"/>
          <w:szCs w:val="18"/>
        </w:rPr>
      </w:pPr>
      <w:r w:rsidRPr="000610A5">
        <w:rPr>
          <w:rFonts w:ascii="Roboto" w:hAnsi="Roboto"/>
          <w:i/>
          <w:sz w:val="18"/>
          <w:szCs w:val="18"/>
        </w:rPr>
        <w:t>*statystyka obejmuje dane historyczne programu PBH oraz późniejsze wpisy techniczne wynikające ze zmiany przepisów.</w:t>
      </w:r>
    </w:p>
    <w:p w14:paraId="5A326E2E" w14:textId="77777777" w:rsidR="00DE6D19" w:rsidRPr="00625A96" w:rsidRDefault="00DE6D19" w:rsidP="00DE6D1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1333D34B" w14:textId="5245436C" w:rsidR="002D7144" w:rsidRDefault="002D7144" w:rsidP="00DE6D19">
      <w:pPr>
        <w:jc w:val="both"/>
        <w:rPr>
          <w:rFonts w:ascii="Roboto" w:eastAsia="Times New Roman" w:hAnsi="Roboto"/>
          <w:b/>
        </w:rPr>
      </w:pPr>
      <w:r w:rsidRPr="002D7144">
        <w:rPr>
          <w:rFonts w:ascii="Roboto" w:eastAsia="Times New Roman" w:hAnsi="Roboto"/>
          <w:b/>
        </w:rPr>
        <w:t xml:space="preserve">Korekta interpretacyjna: </w:t>
      </w:r>
      <w:r w:rsidRPr="002D7144">
        <w:rPr>
          <w:rFonts w:ascii="Roboto" w:eastAsia="Times New Roman" w:hAnsi="Roboto"/>
        </w:rPr>
        <w:t xml:space="preserve">Program Poland. Business Harbour został definitywnie </w:t>
      </w:r>
      <w:r w:rsidRPr="002D7144">
        <w:rPr>
          <w:rFonts w:ascii="Roboto" w:eastAsia="Times New Roman" w:hAnsi="Roboto"/>
          <w:b/>
        </w:rPr>
        <w:t xml:space="preserve">zawieszony </w:t>
      </w:r>
      <w:r>
        <w:rPr>
          <w:rFonts w:ascii="Roboto" w:eastAsia="Times New Roman" w:hAnsi="Roboto"/>
          <w:b/>
        </w:rPr>
        <w:br/>
      </w:r>
      <w:r w:rsidRPr="002D7144">
        <w:rPr>
          <w:rFonts w:ascii="Roboto" w:eastAsia="Times New Roman" w:hAnsi="Roboto"/>
          <w:b/>
        </w:rPr>
        <w:t>w styczniu 2024 r.</w:t>
      </w:r>
    </w:p>
    <w:p w14:paraId="23DAB3BA" w14:textId="4638659E" w:rsidR="002D7144" w:rsidRDefault="002D7144" w:rsidP="00DE6D19">
      <w:pPr>
        <w:jc w:val="both"/>
        <w:rPr>
          <w:rFonts w:ascii="Roboto" w:eastAsia="Times New Roman" w:hAnsi="Roboto"/>
          <w:b/>
        </w:rPr>
      </w:pPr>
      <w:r w:rsidRPr="002D7144">
        <w:rPr>
          <w:rFonts w:ascii="Roboto" w:eastAsia="Times New Roman" w:hAnsi="Roboto"/>
          <w:b/>
        </w:rPr>
        <w:t xml:space="preserve">Zmiana kodów: </w:t>
      </w:r>
      <w:r w:rsidRPr="002D7144">
        <w:rPr>
          <w:rFonts w:ascii="Roboto" w:eastAsia="Times New Roman" w:hAnsi="Roboto"/>
        </w:rPr>
        <w:t xml:space="preserve">Wzrost statystyk pod kodem „23” w latach 2025–2026 wynika z wejścia w życie Rozporządzenia MSWiA z dnia 25 czerwca 2025 r., które </w:t>
      </w:r>
      <w:r w:rsidRPr="002D7144">
        <w:rPr>
          <w:rFonts w:ascii="Roboto" w:eastAsia="Times New Roman" w:hAnsi="Roboto"/>
          <w:b/>
        </w:rPr>
        <w:t>zlikwidowało cel nr 18 (Karta Polaka)</w:t>
      </w:r>
      <w:r w:rsidRPr="002D7144">
        <w:rPr>
          <w:rFonts w:ascii="Roboto" w:eastAsia="Times New Roman" w:hAnsi="Roboto"/>
        </w:rPr>
        <w:t xml:space="preserve"> </w:t>
      </w:r>
      <w:r>
        <w:rPr>
          <w:rFonts w:ascii="Roboto" w:eastAsia="Times New Roman" w:hAnsi="Roboto"/>
        </w:rPr>
        <w:br/>
      </w:r>
      <w:r w:rsidRPr="002D7144">
        <w:rPr>
          <w:rFonts w:ascii="Roboto" w:eastAsia="Times New Roman" w:hAnsi="Roboto"/>
        </w:rPr>
        <w:t>i włączyło tę liczną grupę technicznie do kategorii „Inne” (kod 23).</w:t>
      </w:r>
    </w:p>
    <w:p w14:paraId="5B6A8CE5" w14:textId="77777777" w:rsidR="002D7144" w:rsidRDefault="002D7144" w:rsidP="002D7144">
      <w:pPr>
        <w:jc w:val="both"/>
        <w:rPr>
          <w:rFonts w:ascii="Roboto" w:hAnsi="Roboto"/>
          <w:b/>
        </w:rPr>
      </w:pPr>
    </w:p>
    <w:p w14:paraId="413F12E9" w14:textId="33624129" w:rsidR="00DE6D19" w:rsidRPr="002D7144" w:rsidRDefault="002D7144" w:rsidP="002D7144">
      <w:pPr>
        <w:jc w:val="both"/>
        <w:rPr>
          <w:rFonts w:ascii="Roboto" w:hAnsi="Roboto"/>
          <w:b/>
        </w:rPr>
      </w:pPr>
      <w:r w:rsidRPr="002D7144">
        <w:rPr>
          <w:rFonts w:ascii="Roboto" w:hAnsi="Roboto"/>
          <w:b/>
        </w:rPr>
        <w:t>PROGNOZA ROZWOJU TRENDÓW MIGRACYJNYCH</w:t>
      </w:r>
    </w:p>
    <w:p w14:paraId="12F5CAE4" w14:textId="4AC56AC0" w:rsidR="002D7144" w:rsidRDefault="002D7144" w:rsidP="002D714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2D7144">
        <w:rPr>
          <w:rFonts w:ascii="Roboto" w:eastAsia="Times New Roman" w:hAnsi="Roboto"/>
          <w:b/>
        </w:rPr>
        <w:t>Wzrost liczby rezydentów długoterminowych UE:</w:t>
      </w:r>
      <w:r w:rsidRPr="002D7144">
        <w:rPr>
          <w:rFonts w:ascii="Roboto" w:eastAsia="Times New Roman" w:hAnsi="Roboto"/>
        </w:rPr>
        <w:t xml:space="preserve"> Migranci z fali 2020–2021 masowo osiągają próg 5-letniego legalnego i nieprzerwanego pobytu w Polsce, uprawniający do bezterminowych </w:t>
      </w:r>
      <w:r>
        <w:rPr>
          <w:rFonts w:ascii="Roboto" w:eastAsia="Times New Roman" w:hAnsi="Roboto"/>
        </w:rPr>
        <w:t>zezwoleń</w:t>
      </w:r>
      <w:r w:rsidRPr="002D7144">
        <w:rPr>
          <w:rFonts w:ascii="Roboto" w:eastAsia="Times New Roman" w:hAnsi="Roboto"/>
        </w:rPr>
        <w:t>.</w:t>
      </w:r>
    </w:p>
    <w:p w14:paraId="21D03954" w14:textId="129D160E" w:rsidR="00DE6D19" w:rsidRPr="002D7144" w:rsidRDefault="002D7144" w:rsidP="002D714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2D7144">
        <w:rPr>
          <w:rFonts w:ascii="Roboto" w:eastAsia="Times New Roman" w:hAnsi="Roboto"/>
          <w:b/>
        </w:rPr>
        <w:t>Presja na urzędy wojewódzkie</w:t>
      </w:r>
      <w:r w:rsidRPr="002D7144">
        <w:rPr>
          <w:rFonts w:ascii="Roboto" w:eastAsia="Times New Roman" w:hAnsi="Roboto"/>
        </w:rPr>
        <w:t xml:space="preserve">: Przełoży się to na skokowy napływ wniosków o status rezydenta </w:t>
      </w:r>
      <w:r>
        <w:rPr>
          <w:rFonts w:ascii="Roboto" w:eastAsia="Times New Roman" w:hAnsi="Roboto"/>
        </w:rPr>
        <w:br/>
      </w:r>
      <w:bookmarkStart w:id="3" w:name="_GoBack"/>
      <w:bookmarkEnd w:id="3"/>
      <w:r w:rsidRPr="002D7144">
        <w:rPr>
          <w:rFonts w:ascii="Roboto" w:eastAsia="Times New Roman" w:hAnsi="Roboto"/>
        </w:rPr>
        <w:t>w wydziałach spraw cudzoziemców w kolejnych kwartałach.</w:t>
      </w:r>
    </w:p>
    <w:sectPr w:rsidR="00DE6D19" w:rsidRPr="002D7144" w:rsidSect="001A72D9">
      <w:head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9125" w14:textId="77777777" w:rsidR="0009652B" w:rsidRDefault="0009652B" w:rsidP="00AD112D">
      <w:pPr>
        <w:spacing w:after="0" w:line="240" w:lineRule="auto"/>
      </w:pPr>
      <w:r>
        <w:separator/>
      </w:r>
    </w:p>
  </w:endnote>
  <w:endnote w:type="continuationSeparator" w:id="0">
    <w:p w14:paraId="323CD4D9" w14:textId="77777777" w:rsidR="0009652B" w:rsidRDefault="0009652B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743" w14:textId="77777777" w:rsidR="0009652B" w:rsidRDefault="0009652B" w:rsidP="00AD112D">
      <w:pPr>
        <w:spacing w:after="0" w:line="240" w:lineRule="auto"/>
      </w:pPr>
      <w:r>
        <w:separator/>
      </w:r>
    </w:p>
  </w:footnote>
  <w:footnote w:type="continuationSeparator" w:id="0">
    <w:p w14:paraId="5461A601" w14:textId="77777777" w:rsidR="0009652B" w:rsidRDefault="0009652B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15EC" w14:textId="035D1E3A" w:rsidR="0009652B" w:rsidRDefault="0009652B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140"/>
    <w:multiLevelType w:val="hybridMultilevel"/>
    <w:tmpl w:val="B258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1AC"/>
    <w:multiLevelType w:val="hybridMultilevel"/>
    <w:tmpl w:val="816A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9F1"/>
    <w:multiLevelType w:val="hybridMultilevel"/>
    <w:tmpl w:val="EB5E1D1E"/>
    <w:lvl w:ilvl="0" w:tplc="037ABDFC">
      <w:numFmt w:val="bullet"/>
      <w:lvlText w:val="•"/>
      <w:lvlJc w:val="left"/>
      <w:pPr>
        <w:ind w:left="1065" w:hanging="705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3790"/>
    <w:multiLevelType w:val="hybridMultilevel"/>
    <w:tmpl w:val="9AC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799D"/>
    <w:multiLevelType w:val="multilevel"/>
    <w:tmpl w:val="780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D4817"/>
    <w:multiLevelType w:val="hybridMultilevel"/>
    <w:tmpl w:val="B1A8F8E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313E"/>
    <w:multiLevelType w:val="hybridMultilevel"/>
    <w:tmpl w:val="A72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84BE7"/>
    <w:multiLevelType w:val="hybridMultilevel"/>
    <w:tmpl w:val="29A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C5448"/>
    <w:multiLevelType w:val="hybridMultilevel"/>
    <w:tmpl w:val="17C4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7324"/>
    <w:multiLevelType w:val="hybridMultilevel"/>
    <w:tmpl w:val="02AA758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D44906"/>
    <w:multiLevelType w:val="hybridMultilevel"/>
    <w:tmpl w:val="4A32F2FA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2" w15:restartNumberingAfterBreak="0">
    <w:nsid w:val="7159361B"/>
    <w:multiLevelType w:val="hybridMultilevel"/>
    <w:tmpl w:val="D6C0314C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3" w15:restartNumberingAfterBreak="0">
    <w:nsid w:val="716E5043"/>
    <w:multiLevelType w:val="hybridMultilevel"/>
    <w:tmpl w:val="C4CC7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5F6D2E"/>
    <w:multiLevelType w:val="multilevel"/>
    <w:tmpl w:val="B338F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0495"/>
    <w:rsid w:val="00025886"/>
    <w:rsid w:val="0002739A"/>
    <w:rsid w:val="0003267A"/>
    <w:rsid w:val="00044122"/>
    <w:rsid w:val="00045144"/>
    <w:rsid w:val="00047095"/>
    <w:rsid w:val="000610A5"/>
    <w:rsid w:val="0006133D"/>
    <w:rsid w:val="00061B53"/>
    <w:rsid w:val="00066CAF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9652B"/>
    <w:rsid w:val="000A0045"/>
    <w:rsid w:val="000A16B2"/>
    <w:rsid w:val="000A4EAE"/>
    <w:rsid w:val="000B6E19"/>
    <w:rsid w:val="000C123E"/>
    <w:rsid w:val="000C3774"/>
    <w:rsid w:val="000C6030"/>
    <w:rsid w:val="000C7129"/>
    <w:rsid w:val="000D156F"/>
    <w:rsid w:val="000D1EF4"/>
    <w:rsid w:val="000D2EC2"/>
    <w:rsid w:val="000D301B"/>
    <w:rsid w:val="000E39B1"/>
    <w:rsid w:val="000E42C5"/>
    <w:rsid w:val="000E6346"/>
    <w:rsid w:val="000F7FF8"/>
    <w:rsid w:val="00101F04"/>
    <w:rsid w:val="0010249D"/>
    <w:rsid w:val="001150F5"/>
    <w:rsid w:val="001279DA"/>
    <w:rsid w:val="0013022D"/>
    <w:rsid w:val="001327DD"/>
    <w:rsid w:val="00133ADA"/>
    <w:rsid w:val="00141655"/>
    <w:rsid w:val="0014175B"/>
    <w:rsid w:val="00141F73"/>
    <w:rsid w:val="0014394B"/>
    <w:rsid w:val="0014615F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127A"/>
    <w:rsid w:val="001A2E39"/>
    <w:rsid w:val="001A5738"/>
    <w:rsid w:val="001A72D9"/>
    <w:rsid w:val="001B3893"/>
    <w:rsid w:val="001B4045"/>
    <w:rsid w:val="001B4A41"/>
    <w:rsid w:val="001B4F3F"/>
    <w:rsid w:val="001B6B80"/>
    <w:rsid w:val="001D38D7"/>
    <w:rsid w:val="001E5FF2"/>
    <w:rsid w:val="001E67C0"/>
    <w:rsid w:val="001E766C"/>
    <w:rsid w:val="001F0B0E"/>
    <w:rsid w:val="001F1437"/>
    <w:rsid w:val="001F334C"/>
    <w:rsid w:val="001F5EF4"/>
    <w:rsid w:val="001F6F79"/>
    <w:rsid w:val="002059C4"/>
    <w:rsid w:val="00220CA5"/>
    <w:rsid w:val="00221A6C"/>
    <w:rsid w:val="0022543C"/>
    <w:rsid w:val="002263DE"/>
    <w:rsid w:val="0022777C"/>
    <w:rsid w:val="0023112C"/>
    <w:rsid w:val="00231C14"/>
    <w:rsid w:val="00231DB4"/>
    <w:rsid w:val="0023237B"/>
    <w:rsid w:val="00232A34"/>
    <w:rsid w:val="0023472A"/>
    <w:rsid w:val="00234EA8"/>
    <w:rsid w:val="00235C14"/>
    <w:rsid w:val="0023711B"/>
    <w:rsid w:val="0024265F"/>
    <w:rsid w:val="00243551"/>
    <w:rsid w:val="0024360F"/>
    <w:rsid w:val="00244F0B"/>
    <w:rsid w:val="0024599F"/>
    <w:rsid w:val="002470BE"/>
    <w:rsid w:val="00250A8F"/>
    <w:rsid w:val="00251A0F"/>
    <w:rsid w:val="002600BE"/>
    <w:rsid w:val="0026070D"/>
    <w:rsid w:val="00261106"/>
    <w:rsid w:val="00261573"/>
    <w:rsid w:val="00265C55"/>
    <w:rsid w:val="00272FB9"/>
    <w:rsid w:val="00274BA4"/>
    <w:rsid w:val="002768B2"/>
    <w:rsid w:val="0027793E"/>
    <w:rsid w:val="0028002C"/>
    <w:rsid w:val="002818C2"/>
    <w:rsid w:val="0029109E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D7144"/>
    <w:rsid w:val="002F14EC"/>
    <w:rsid w:val="002F3496"/>
    <w:rsid w:val="002F7A42"/>
    <w:rsid w:val="002F7ED8"/>
    <w:rsid w:val="003014BF"/>
    <w:rsid w:val="00314A32"/>
    <w:rsid w:val="00315186"/>
    <w:rsid w:val="00321176"/>
    <w:rsid w:val="003214B8"/>
    <w:rsid w:val="0033418F"/>
    <w:rsid w:val="003353C7"/>
    <w:rsid w:val="00335A7C"/>
    <w:rsid w:val="00343BAB"/>
    <w:rsid w:val="00346F87"/>
    <w:rsid w:val="00352CC0"/>
    <w:rsid w:val="003550E7"/>
    <w:rsid w:val="00356977"/>
    <w:rsid w:val="00356CDB"/>
    <w:rsid w:val="0036123B"/>
    <w:rsid w:val="00364555"/>
    <w:rsid w:val="003647D7"/>
    <w:rsid w:val="00366A6B"/>
    <w:rsid w:val="00374220"/>
    <w:rsid w:val="003858F7"/>
    <w:rsid w:val="00391AE5"/>
    <w:rsid w:val="003941EB"/>
    <w:rsid w:val="003A0536"/>
    <w:rsid w:val="003A114D"/>
    <w:rsid w:val="003A2DD0"/>
    <w:rsid w:val="003A30B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40F0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60F9A"/>
    <w:rsid w:val="004617FF"/>
    <w:rsid w:val="00461C0C"/>
    <w:rsid w:val="00463997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B780B"/>
    <w:rsid w:val="004C0C62"/>
    <w:rsid w:val="004C7C19"/>
    <w:rsid w:val="004D1E0F"/>
    <w:rsid w:val="004D2A30"/>
    <w:rsid w:val="004D3F42"/>
    <w:rsid w:val="004D62C4"/>
    <w:rsid w:val="004E12C8"/>
    <w:rsid w:val="004E306B"/>
    <w:rsid w:val="004E38F6"/>
    <w:rsid w:val="004F03BB"/>
    <w:rsid w:val="004F0F76"/>
    <w:rsid w:val="004F42CC"/>
    <w:rsid w:val="004F7874"/>
    <w:rsid w:val="0051223B"/>
    <w:rsid w:val="00512C4A"/>
    <w:rsid w:val="00513D5B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3EBA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A7D46"/>
    <w:rsid w:val="005B03CA"/>
    <w:rsid w:val="005B130D"/>
    <w:rsid w:val="005B1603"/>
    <w:rsid w:val="005B3EB6"/>
    <w:rsid w:val="005B5187"/>
    <w:rsid w:val="005B718F"/>
    <w:rsid w:val="005C302D"/>
    <w:rsid w:val="005C30F2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5A96"/>
    <w:rsid w:val="00625FCC"/>
    <w:rsid w:val="00627CCF"/>
    <w:rsid w:val="00630F8D"/>
    <w:rsid w:val="00631BA0"/>
    <w:rsid w:val="00634330"/>
    <w:rsid w:val="00635C8E"/>
    <w:rsid w:val="0063705B"/>
    <w:rsid w:val="006428E1"/>
    <w:rsid w:val="00642FE5"/>
    <w:rsid w:val="0064624B"/>
    <w:rsid w:val="00654110"/>
    <w:rsid w:val="006564E7"/>
    <w:rsid w:val="00665CD0"/>
    <w:rsid w:val="00665FF3"/>
    <w:rsid w:val="00666AA5"/>
    <w:rsid w:val="00670250"/>
    <w:rsid w:val="00673334"/>
    <w:rsid w:val="00681AF3"/>
    <w:rsid w:val="00683C66"/>
    <w:rsid w:val="00690ACD"/>
    <w:rsid w:val="00694E4C"/>
    <w:rsid w:val="006A25A3"/>
    <w:rsid w:val="006A5407"/>
    <w:rsid w:val="006A7B47"/>
    <w:rsid w:val="006B2108"/>
    <w:rsid w:val="006B2850"/>
    <w:rsid w:val="006B4A74"/>
    <w:rsid w:val="006B615C"/>
    <w:rsid w:val="006C62B7"/>
    <w:rsid w:val="006E7040"/>
    <w:rsid w:val="006F01AD"/>
    <w:rsid w:val="006F0F94"/>
    <w:rsid w:val="006F10D1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309"/>
    <w:rsid w:val="00711563"/>
    <w:rsid w:val="0071301F"/>
    <w:rsid w:val="00713FB8"/>
    <w:rsid w:val="0071474B"/>
    <w:rsid w:val="00715A0B"/>
    <w:rsid w:val="00726EAF"/>
    <w:rsid w:val="00740BD2"/>
    <w:rsid w:val="00740DB1"/>
    <w:rsid w:val="00743FAA"/>
    <w:rsid w:val="007468DC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635"/>
    <w:rsid w:val="00786E5B"/>
    <w:rsid w:val="00792D69"/>
    <w:rsid w:val="00794BD3"/>
    <w:rsid w:val="007959BB"/>
    <w:rsid w:val="00795AEE"/>
    <w:rsid w:val="007A035D"/>
    <w:rsid w:val="007A1DB2"/>
    <w:rsid w:val="007A1E12"/>
    <w:rsid w:val="007A3AF8"/>
    <w:rsid w:val="007A4BCA"/>
    <w:rsid w:val="007B0718"/>
    <w:rsid w:val="007B32B3"/>
    <w:rsid w:val="007B5264"/>
    <w:rsid w:val="007B5677"/>
    <w:rsid w:val="007C07ED"/>
    <w:rsid w:val="007C21CA"/>
    <w:rsid w:val="007C25F1"/>
    <w:rsid w:val="007C74A9"/>
    <w:rsid w:val="007D77A9"/>
    <w:rsid w:val="007E5E24"/>
    <w:rsid w:val="007E7B70"/>
    <w:rsid w:val="007F2531"/>
    <w:rsid w:val="007F4E2D"/>
    <w:rsid w:val="00802E06"/>
    <w:rsid w:val="00804DA9"/>
    <w:rsid w:val="008168D8"/>
    <w:rsid w:val="00817087"/>
    <w:rsid w:val="00823BE7"/>
    <w:rsid w:val="0083039E"/>
    <w:rsid w:val="00830E5F"/>
    <w:rsid w:val="0083192F"/>
    <w:rsid w:val="00831A83"/>
    <w:rsid w:val="00832AEC"/>
    <w:rsid w:val="00832C68"/>
    <w:rsid w:val="00833942"/>
    <w:rsid w:val="008364BA"/>
    <w:rsid w:val="00837663"/>
    <w:rsid w:val="0084114D"/>
    <w:rsid w:val="008422C0"/>
    <w:rsid w:val="00843F47"/>
    <w:rsid w:val="00845AE5"/>
    <w:rsid w:val="008509F3"/>
    <w:rsid w:val="00853ED3"/>
    <w:rsid w:val="00864560"/>
    <w:rsid w:val="00864BEC"/>
    <w:rsid w:val="00865B85"/>
    <w:rsid w:val="00866301"/>
    <w:rsid w:val="008669B1"/>
    <w:rsid w:val="008678D0"/>
    <w:rsid w:val="00871D5A"/>
    <w:rsid w:val="00875676"/>
    <w:rsid w:val="00875781"/>
    <w:rsid w:val="00877604"/>
    <w:rsid w:val="00880350"/>
    <w:rsid w:val="00885658"/>
    <w:rsid w:val="008856A2"/>
    <w:rsid w:val="00886B8B"/>
    <w:rsid w:val="00886EDE"/>
    <w:rsid w:val="0089196B"/>
    <w:rsid w:val="00894714"/>
    <w:rsid w:val="00894770"/>
    <w:rsid w:val="008A1386"/>
    <w:rsid w:val="008A2AA0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3AD2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4F8E"/>
    <w:rsid w:val="009559D5"/>
    <w:rsid w:val="0096081D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64CD"/>
    <w:rsid w:val="009A741B"/>
    <w:rsid w:val="009B1DCF"/>
    <w:rsid w:val="009B3428"/>
    <w:rsid w:val="009B618B"/>
    <w:rsid w:val="009C1C27"/>
    <w:rsid w:val="009C3050"/>
    <w:rsid w:val="009C4523"/>
    <w:rsid w:val="009C49CD"/>
    <w:rsid w:val="009C66F5"/>
    <w:rsid w:val="009C75A4"/>
    <w:rsid w:val="009D191D"/>
    <w:rsid w:val="009D2BE8"/>
    <w:rsid w:val="009E1FE6"/>
    <w:rsid w:val="009E2353"/>
    <w:rsid w:val="009E5947"/>
    <w:rsid w:val="009E60CB"/>
    <w:rsid w:val="009E7F09"/>
    <w:rsid w:val="009F137B"/>
    <w:rsid w:val="009F4B34"/>
    <w:rsid w:val="00A0181D"/>
    <w:rsid w:val="00A02F75"/>
    <w:rsid w:val="00A04851"/>
    <w:rsid w:val="00A1525D"/>
    <w:rsid w:val="00A300F9"/>
    <w:rsid w:val="00A31FF2"/>
    <w:rsid w:val="00A32648"/>
    <w:rsid w:val="00A376AA"/>
    <w:rsid w:val="00A41878"/>
    <w:rsid w:val="00A45FBE"/>
    <w:rsid w:val="00A46E32"/>
    <w:rsid w:val="00A558E6"/>
    <w:rsid w:val="00A576D8"/>
    <w:rsid w:val="00A60C21"/>
    <w:rsid w:val="00A6133F"/>
    <w:rsid w:val="00A63E62"/>
    <w:rsid w:val="00A65A0B"/>
    <w:rsid w:val="00A73786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B515C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390D"/>
    <w:rsid w:val="00B262FE"/>
    <w:rsid w:val="00B26B31"/>
    <w:rsid w:val="00B35ABA"/>
    <w:rsid w:val="00B42BDD"/>
    <w:rsid w:val="00B506E3"/>
    <w:rsid w:val="00B6458C"/>
    <w:rsid w:val="00B65C2C"/>
    <w:rsid w:val="00B71115"/>
    <w:rsid w:val="00B72680"/>
    <w:rsid w:val="00B73421"/>
    <w:rsid w:val="00B73917"/>
    <w:rsid w:val="00B7751C"/>
    <w:rsid w:val="00B87440"/>
    <w:rsid w:val="00B903D2"/>
    <w:rsid w:val="00B94989"/>
    <w:rsid w:val="00B94AC6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BF1893"/>
    <w:rsid w:val="00C00262"/>
    <w:rsid w:val="00C0126E"/>
    <w:rsid w:val="00C04E6A"/>
    <w:rsid w:val="00C05776"/>
    <w:rsid w:val="00C0631B"/>
    <w:rsid w:val="00C06A32"/>
    <w:rsid w:val="00C173AE"/>
    <w:rsid w:val="00C22DE5"/>
    <w:rsid w:val="00C231A6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771F8"/>
    <w:rsid w:val="00C8644C"/>
    <w:rsid w:val="00C87074"/>
    <w:rsid w:val="00C870E6"/>
    <w:rsid w:val="00C874B6"/>
    <w:rsid w:val="00C95C67"/>
    <w:rsid w:val="00C95F37"/>
    <w:rsid w:val="00C960C4"/>
    <w:rsid w:val="00CA7590"/>
    <w:rsid w:val="00CB44F1"/>
    <w:rsid w:val="00CB5C69"/>
    <w:rsid w:val="00CC0448"/>
    <w:rsid w:val="00CC1585"/>
    <w:rsid w:val="00CC1862"/>
    <w:rsid w:val="00CC2A22"/>
    <w:rsid w:val="00CC3AC8"/>
    <w:rsid w:val="00CC46D3"/>
    <w:rsid w:val="00CD5674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50B"/>
    <w:rsid w:val="00D17D3B"/>
    <w:rsid w:val="00D20B17"/>
    <w:rsid w:val="00D23486"/>
    <w:rsid w:val="00D35FAE"/>
    <w:rsid w:val="00D360C6"/>
    <w:rsid w:val="00D36E52"/>
    <w:rsid w:val="00D444FB"/>
    <w:rsid w:val="00D4534C"/>
    <w:rsid w:val="00D51CC6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746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6D19"/>
    <w:rsid w:val="00DE7C3F"/>
    <w:rsid w:val="00DF0178"/>
    <w:rsid w:val="00DF02DF"/>
    <w:rsid w:val="00DF04B6"/>
    <w:rsid w:val="00DF1FD5"/>
    <w:rsid w:val="00DF52BF"/>
    <w:rsid w:val="00E02F6A"/>
    <w:rsid w:val="00E043CB"/>
    <w:rsid w:val="00E1026D"/>
    <w:rsid w:val="00E1270C"/>
    <w:rsid w:val="00E127D5"/>
    <w:rsid w:val="00E20509"/>
    <w:rsid w:val="00E231A2"/>
    <w:rsid w:val="00E34B9D"/>
    <w:rsid w:val="00E3527F"/>
    <w:rsid w:val="00E35BA1"/>
    <w:rsid w:val="00E36F0C"/>
    <w:rsid w:val="00E44C23"/>
    <w:rsid w:val="00E452EA"/>
    <w:rsid w:val="00E51240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371C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4633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17338"/>
    <w:rsid w:val="00F238C7"/>
    <w:rsid w:val="00F26AC2"/>
    <w:rsid w:val="00F2789B"/>
    <w:rsid w:val="00F27B16"/>
    <w:rsid w:val="00F3538D"/>
    <w:rsid w:val="00F3566B"/>
    <w:rsid w:val="00F35854"/>
    <w:rsid w:val="00F359C3"/>
    <w:rsid w:val="00F35A8A"/>
    <w:rsid w:val="00F36BB3"/>
    <w:rsid w:val="00F4156A"/>
    <w:rsid w:val="00F42CA7"/>
    <w:rsid w:val="00F51C36"/>
    <w:rsid w:val="00F5383C"/>
    <w:rsid w:val="00F53AD4"/>
    <w:rsid w:val="00F55006"/>
    <w:rsid w:val="00F55D79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3DA4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01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90D"/>
    <w:rPr>
      <w:b/>
      <w:bCs/>
    </w:rPr>
  </w:style>
  <w:style w:type="paragraph" w:customStyle="1" w:styleId="z1qcye">
    <w:name w:val="z1qcye"/>
    <w:basedOn w:val="Normalny"/>
    <w:rsid w:val="009E6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9E60CB"/>
  </w:style>
  <w:style w:type="character" w:customStyle="1" w:styleId="Nagwek1Znak">
    <w:name w:val="Nagłówek 1 Znak"/>
    <w:basedOn w:val="Domylnaczcionkaakapitu"/>
    <w:link w:val="Nagwek1"/>
    <w:uiPriority w:val="9"/>
    <w:rsid w:val="0051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7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1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8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2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3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3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1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9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1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449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2109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4863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484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2356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9425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55108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5924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0569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80316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39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79530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48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146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717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5963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790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5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0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0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58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96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54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74245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7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9835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6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97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8976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4255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10849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9791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9175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30918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8877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2283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51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17572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8439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5808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959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0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76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1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91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7630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50907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8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7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9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404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941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44279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33447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12716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76198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35276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4657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9583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19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1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98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6865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909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53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8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84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0807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8916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776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97690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973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3800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4602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060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40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5459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6613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923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4118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5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8088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61967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4249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417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4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04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2360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47620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144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43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3241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917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0796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69267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055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8847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53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83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6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5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9666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675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271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819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1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6086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4211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18266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57765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85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1761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5085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257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6846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0280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29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3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9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9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4823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834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0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553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7026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748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8736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9937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7490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16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63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208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245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4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52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6141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3476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221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6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491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94728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70354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209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3925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6409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93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02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1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0068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552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92781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31382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23200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888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42999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3457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570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91196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58969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733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6751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203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826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1017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44987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66100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52717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24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709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393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808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0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6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06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648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097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257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3096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2257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773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56089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8910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15580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221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3526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855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3431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40948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3600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755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14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85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74823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6579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612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1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5977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331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36161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7543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3565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830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29143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553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7769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50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27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7486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8434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669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3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5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0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777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8751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30137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3305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345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5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7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0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756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25742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9271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29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1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3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0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6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856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6156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8476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40229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3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4174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06914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49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857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7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3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80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2692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2631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13221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7719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70800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21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66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269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5076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510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6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8554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24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512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2062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705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404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7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0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138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03888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95561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51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231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960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168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01543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3560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006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32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2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47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21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810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42120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850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945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0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2259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75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6220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62214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7761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7203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56338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6594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7119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44817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319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22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5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35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81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2303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5526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511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7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8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264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2411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90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8493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53680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41629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622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4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874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45333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29469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9030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5888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30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85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6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79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1976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18919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2052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15002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61984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09469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9262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9419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04825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3741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06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0407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591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916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430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1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735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92363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7265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3462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0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035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2030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931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2485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104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96381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4602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93009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2845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36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388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303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0726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31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5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3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2474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80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6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6047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805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3966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3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7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698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703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5712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1219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879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26233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05463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4463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0659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599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895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494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19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147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0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037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32393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279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44196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67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10208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5001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6836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948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61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27683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2995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2383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3512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77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23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913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364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315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024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8906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37648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307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6436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861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02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5547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9753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7754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9485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3849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13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7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86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001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725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5181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10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03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6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5062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53800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4556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8805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904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7790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3268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4700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17314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9113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489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5499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48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9491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277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5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778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127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20934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2885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8690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0669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927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9728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8454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4885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10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87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41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9417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9713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692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57456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1917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05928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8156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121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35898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1866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70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7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nfskos01\udscnfs\BSZ\Statystyki%20nowe\SZABLONY%20RAPORT&#211;W%20CYKLICZNYCH\Bia&#322;oru&#347;\Miesi&#281;czny\Bia&#322;oru&#347;%20dane_1.07.2026%20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7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7.2026%20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01.07.2026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78681</c:v>
                </c:pt>
                <c:pt idx="1">
                  <c:v>41264</c:v>
                </c:pt>
                <c:pt idx="2">
                  <c:v>9850</c:v>
                </c:pt>
                <c:pt idx="3">
                  <c:v>2489</c:v>
                </c:pt>
                <c:pt idx="4">
                  <c:v>1172</c:v>
                </c:pt>
                <c:pt idx="5">
                  <c:v>214</c:v>
                </c:pt>
                <c:pt idx="6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3D-4C14-9CC2-B6FFA3B737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718811868827162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957</c:v>
                </c:pt>
                <c:pt idx="5">
                  <c:v>14741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E8-4843-962C-798A6BB10C13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E8-4843-962C-798A6BB10C13}"/>
                </c:ext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E8-4843-962C-798A6BB10C13}"/>
                </c:ext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E8-4843-962C-798A6BB10C13}"/>
                </c:ext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E8-4843-962C-798A6BB10C13}"/>
                </c:ext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E8-4843-962C-798A6BB10C13}"/>
                </c:ext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E8-4843-962C-798A6BB10C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2196</c:v>
                </c:pt>
                <c:pt idx="5">
                  <c:v>38143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FE8-4843-962C-798A6BB10C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74713120"/>
        <c:axId val="474708024"/>
        <c:axId val="0"/>
      </c:bar3DChart>
      <c:catAx>
        <c:axId val="4747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8024"/>
        <c:crosses val="autoZero"/>
        <c:auto val="1"/>
        <c:lblAlgn val="ctr"/>
        <c:lblOffset val="100"/>
        <c:noMultiLvlLbl val="0"/>
      </c:catAx>
      <c:valAx>
        <c:axId val="47470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606594912348452"/>
          <c:y val="0.29060270018451867"/>
          <c:w val="0.24513056840601677"/>
          <c:h val="7.8306812576502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2026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1.07.2026 r.</a:t>
            </a:r>
          </a:p>
        </c:rich>
      </c:tx>
      <c:layout>
        <c:manualLayout>
          <c:xMode val="edge"/>
          <c:yMode val="edge"/>
          <c:x val="0.11241592343954548"/>
          <c:y val="6.3960639606396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AB-40F5-B671-6AFB9CB88017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AB-40F5-B671-6AFB9CB88017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AB-40F5-B671-6AFB9CB88017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AB-40F5-B671-6AFB9CB880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6.6500415627597675</c:v>
                </c:pt>
                <c:pt idx="1">
                  <c:v>23.358270989193681</c:v>
                </c:pt>
                <c:pt idx="2">
                  <c:v>3.5910224438902745</c:v>
                </c:pt>
                <c:pt idx="3">
                  <c:v>66.400665004156281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AB-40F5-B671-6AFB9CB8801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Liczba Polskich Dokumentów Podróży dla Cudzoziemców wydanych w latach 2020-2026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'Polski Dokument Podróży'!$A$5</c:f>
              <c:strCache>
                <c:ptCount val="1"/>
                <c:pt idx="0">
                  <c:v>BIAŁORUŚ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Podróży'!$B$5:$H$5</c:f>
              <c:numCache>
                <c:formatCode>#,##0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106</c:v>
                </c:pt>
                <c:pt idx="3">
                  <c:v>983</c:v>
                </c:pt>
                <c:pt idx="4">
                  <c:v>3328</c:v>
                </c:pt>
                <c:pt idx="5">
                  <c:v>5689</c:v>
                </c:pt>
                <c:pt idx="6">
                  <c:v>3524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3A-405C-8670-84FDCA61452E}"/>
            </c:ext>
          </c:extLst>
        </c:ser>
        <c:ser>
          <c:idx val="1"/>
          <c:order val="1"/>
          <c:tx>
            <c:strRef>
              <c:f>'Polski Dokument Podróży'!$A$6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Podróży'!$B$6:$H$6</c:f>
              <c:numCache>
                <c:formatCode>#,##0</c:formatCode>
                <c:ptCount val="7"/>
                <c:pt idx="0">
                  <c:v>185</c:v>
                </c:pt>
                <c:pt idx="1">
                  <c:v>261</c:v>
                </c:pt>
                <c:pt idx="2">
                  <c:v>268</c:v>
                </c:pt>
                <c:pt idx="3">
                  <c:v>275</c:v>
                </c:pt>
                <c:pt idx="4">
                  <c:v>310</c:v>
                </c:pt>
                <c:pt idx="5">
                  <c:v>296</c:v>
                </c:pt>
                <c:pt idx="6" formatCode="General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3A-405C-8670-84FDCA6145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41392"/>
        <c:axId val="439536736"/>
      </c:barChart>
      <c:catAx>
        <c:axId val="29764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536736"/>
        <c:crosses val="autoZero"/>
        <c:auto val="1"/>
        <c:lblAlgn val="ctr"/>
        <c:lblOffset val="100"/>
        <c:noMultiLvlLbl val="0"/>
      </c:catAx>
      <c:valAx>
        <c:axId val="43953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764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0.10854</cdr:x>
      <cdr:y>0.03565</cdr:y>
    </cdr:from>
    <cdr:to>
      <cdr:x>0.90793</cdr:x>
      <cdr:y>0.19722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671717" y="97574"/>
          <a:ext cx="4947192" cy="4421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00" b="1"/>
            <a:t>Liczba obywateli Białorusi ubiegających się o udzielenie ochrony międzynarodowej </a:t>
          </a:r>
          <a:br>
            <a:rPr lang="pl-PL" sz="1000" b="1"/>
          </a:br>
          <a:r>
            <a:rPr lang="pl-PL" sz="1000" b="1"/>
            <a:t>w latach 2022-2026</a:t>
          </a:r>
          <a:r>
            <a:rPr lang="pl-PL" sz="1000" b="1" baseline="0"/>
            <a:t> (stan na 1.07.2026)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BCA3-77C0-46F3-A330-0F24D0DC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Maria Kozłowska</cp:lastModifiedBy>
  <cp:revision>9</cp:revision>
  <dcterms:created xsi:type="dcterms:W3CDTF">2026-07-16T09:07:00Z</dcterms:created>
  <dcterms:modified xsi:type="dcterms:W3CDTF">2026-07-16T14:03:00Z</dcterms:modified>
</cp:coreProperties>
</file>