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562610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9"/>
        </w:rPr>
        <w:t>Ministerstwo</w:t>
      </w:r>
      <w:bookmarkEnd w:id="0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500" w:line="202" w:lineRule="auto"/>
        <w:ind w:left="0" w:right="0" w:firstLine="0"/>
        <w:jc w:val="left"/>
      </w:pPr>
      <w:r>
        <w:rPr>
          <w:rStyle w:val="CharStyle9"/>
          <w:color w:val="1C1C1C"/>
        </w:rPr>
        <w:t xml:space="preserve">^ </w:t>
      </w:r>
      <w:r>
        <w:rPr>
          <w:rStyle w:val="CharStyle9"/>
        </w:rPr>
        <w:t>Klimatu i Środowiska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220"/>
        <w:jc w:val="left"/>
      </w:pPr>
      <w:r>
        <w:rPr>
          <w:rStyle w:val="CharStyle12"/>
        </w:rPr>
        <w:t>Departament Gospodarki Odpadami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12"/>
        </w:rPr>
        <w:t>DGO-OK.053.7.2025.KI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8"/>
          <w:szCs w:val="18"/>
        </w:rPr>
      </w:pPr>
      <w:r>
        <w:rPr>
          <w:rStyle w:val="CharStyle12"/>
          <w:sz w:val="18"/>
          <w:szCs w:val="18"/>
        </w:rPr>
        <w:t>3922329.15715585.13034884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60" w:line="240" w:lineRule="auto"/>
        <w:ind w:left="0" w:right="0" w:firstLine="220"/>
        <w:jc w:val="left"/>
      </w:pPr>
      <w:r>
        <w:rPr>
          <w:rStyle w:val="CharStyle12"/>
        </w:rPr>
        <w:t>Warszawa, 14-10-2025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20"/>
        <w:ind w:left="220" w:right="0" w:firstLine="0"/>
        <w:jc w:val="both"/>
      </w:pPr>
      <w:r>
        <w:rPr>
          <w:rStyle w:val="CharStyle12"/>
          <w:b/>
          <w:bCs/>
        </w:rPr>
        <w:t xml:space="preserve">Dotyczy: </w:t>
      </w:r>
      <w:r>
        <w:rPr>
          <w:rStyle w:val="CharStyle12"/>
        </w:rPr>
        <w:t>Zawiadomienie o sposobie załatwienia petycji w sprawie umożliwienia mieszkańcom samodzielnej organizacji odbioru odpadów komunalnych (z wyłączeniem zamieszkiwanej gminy).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60"/>
        <w:ind w:left="0" w:right="0"/>
        <w:jc w:val="left"/>
      </w:pPr>
      <w:bookmarkStart w:id="3" w:name="bookmark3"/>
      <w:r>
        <w:rPr>
          <w:rStyle w:val="CharStyle16"/>
          <w:b/>
          <w:bCs/>
        </w:rPr>
        <w:t>Szanowny Panie,</w:t>
      </w:r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2"/>
        </w:rPr>
        <w:t>po przeanalizowaniu przesłanej przez Pana 28 lipca 2025 r. petycji informuję, że w trakcie aktualnych prac nad projektem zmiany ustawy z dnia 13 września 1996 r. o utrzymaniu czystości i porządku w gminach Ministerstwo Klimatu i Środowiska nie planuje umożliwienia właścicielom nieruchomości, na których zamieszkują mieszkańcy, zrezygnowania z uczestnictwa w gminnym systemie gospodarowania odpadami komunalnymi.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220"/>
        <w:ind w:left="0" w:right="0"/>
        <w:jc w:val="left"/>
      </w:pPr>
      <w:bookmarkStart w:id="5" w:name="bookmark5"/>
      <w:r>
        <w:rPr>
          <w:rStyle w:val="CharStyle16"/>
          <w:b/>
          <w:bCs/>
        </w:rPr>
        <w:t>Uzasadnienie:</w:t>
      </w:r>
      <w:bookmarkEnd w:id="5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20"/>
        <w:ind w:left="220" w:right="0" w:firstLine="0"/>
        <w:jc w:val="both"/>
      </w:pPr>
      <w:r>
        <w:rPr>
          <w:rStyle w:val="CharStyle12"/>
        </w:rPr>
        <w:t>Zgodnie z ustawą z dnia 13 września 1996 r. o utrzymaniu czystości i porządku w gminach gmina jest obowiązana zorganizować odbieranie odpadów komunalnych od właścicieli nieruchomości zamieszkałych. Oznacza to, że nieruchomości zamieszkałe z definicji muszą być objęte gminnym systemem – nie ma możliwości "wypisania się" z systemu, ponieważ odpady komunalne z takich nieruchomości powstają zawsze i w sposób ciągły.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20"/>
        <w:ind w:left="220" w:right="0" w:firstLine="0"/>
        <w:jc w:val="left"/>
      </w:pPr>
      <w:r>
        <w:rPr>
          <w:rStyle w:val="CharStyle12"/>
        </w:rPr>
        <w:t>Jeśli właściciel nieruchomości zamieszkałej mógłby samodzielnie decydować o wyłączeniu się z systemu gminnego, powstałoby ryzyko: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40" w:val="left"/>
        </w:tabs>
        <w:bidi w:val="0"/>
        <w:spacing w:before="0" w:after="0"/>
        <w:ind w:left="0" w:right="0" w:firstLine="580"/>
        <w:jc w:val="left"/>
      </w:pPr>
      <w:r>
        <w:rPr>
          <w:rStyle w:val="CharStyle12"/>
        </w:rPr>
        <w:t>nielegalnego spalania śmieci w piecach,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40" w:val="left"/>
        </w:tabs>
        <w:bidi w:val="0"/>
        <w:spacing w:before="0" w:after="0"/>
        <w:ind w:left="0" w:right="0" w:firstLine="580"/>
        <w:jc w:val="left"/>
      </w:pPr>
      <w:r>
        <w:rPr>
          <w:rStyle w:val="CharStyle12"/>
        </w:rPr>
        <w:t>porzucania odpadów w lasach, rowach czy na cudzych posesjach,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40" w:val="left"/>
        </w:tabs>
        <w:bidi w:val="0"/>
        <w:spacing w:before="0" w:after="220"/>
        <w:ind w:left="0" w:right="0" w:firstLine="580"/>
        <w:jc w:val="left"/>
      </w:pPr>
      <w:r>
        <w:rPr>
          <w:rStyle w:val="CharStyle12"/>
        </w:rPr>
        <w:t>podrzucania odpadów do systemu innych mieszkańców (np. na osiedlach).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20"/>
        <w:ind w:left="220" w:right="0" w:firstLine="0"/>
        <w:jc w:val="left"/>
      </w:pPr>
      <w:r>
        <w:rPr>
          <w:rStyle w:val="CharStyle12"/>
        </w:rPr>
        <w:t>Ponadto umożliwienie rezygnacji z systemu przez część mieszkańców mogłoby doprowadzić do: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40" w:val="left"/>
        </w:tabs>
        <w:bidi w:val="0"/>
        <w:spacing w:before="0" w:after="0"/>
        <w:ind w:left="0" w:right="0" w:firstLine="580"/>
        <w:jc w:val="left"/>
      </w:pPr>
      <w:r>
        <w:rPr>
          <w:rStyle w:val="CharStyle12"/>
        </w:rPr>
        <w:t>trudności w oszacowaniu ilości odpadów i zaplanowania przetargu,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40" w:val="left"/>
        </w:tabs>
        <w:bidi w:val="0"/>
        <w:spacing w:before="0" w:after="0"/>
        <w:ind w:left="0" w:right="0" w:firstLine="580"/>
        <w:jc w:val="left"/>
      </w:pPr>
      <w:r>
        <w:rPr>
          <w:rStyle w:val="CharStyle12"/>
        </w:rPr>
        <w:t>spadku efektywności ekonomicznej systemu,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40" w:val="left"/>
        </w:tabs>
        <w:bidi w:val="0"/>
        <w:spacing w:before="0" w:after="680"/>
        <w:ind w:left="0" w:right="0" w:firstLine="580"/>
        <w:jc w:val="left"/>
      </w:pPr>
      <w:r>
        <w:rPr>
          <w:rStyle w:val="CharStyle12"/>
        </w:rPr>
        <w:t>wzrostu kosztów dla pozostałych mieszkańców.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60"/>
        <w:ind w:left="220" w:right="0" w:firstLine="0"/>
        <w:jc w:val="both"/>
      </w:pPr>
      <w:r>
        <w:rPr>
          <w:rStyle w:val="CharStyle12"/>
        </w:rPr>
        <w:t>Aktualne prace nad ww. zmianami mają prowadzić do zwiększenia skuteczności, przejrzystości i sprawiedliwości systemu gospodarowania odpadami komunalnymi.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4528185</wp:posOffset>
                </wp:positionH>
                <wp:positionV relativeFrom="paragraph">
                  <wp:posOffset>12700</wp:posOffset>
                </wp:positionV>
                <wp:extent cx="1795145" cy="27749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7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6.55000000000001pt;margin-top:1.pt;width:141.34999999999999pt;height:21.8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5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5"/>
        </w:rPr>
        <w:t>Telefon: (+48) 223-692-262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fldChar w:fldCharType="begin"/>
      </w:r>
      <w:r>
        <w:rPr/>
        <w:instrText> HYPERLINK "mailto:departament.gospodarki.odpadami@klimat.gov.pl" </w:instrText>
      </w:r>
      <w:r>
        <w:fldChar w:fldCharType="separate"/>
      </w:r>
      <w:r>
        <w:rPr>
          <w:rStyle w:val="CharStyle5"/>
        </w:rPr>
        <w:t>departament.gospodarki.odpadami@klimat.gov.pl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2418715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90.45000000000002pt;margin-top:9.pt;width:221.30000000000001pt;height:10.3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5"/>
        </w:rPr>
        <w:t>www.gov.pl/klimat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Jednocześnie proponowane rozwiązania będą odpowiadać na realne potrzeby jednostek samorządu terytorialnego, mieszkańców oraz innych uczestników systemu, a także umożliwią osiągnięcie celów wyznaczonych przez politykę unijną.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Należy zauważyć, że ze środków z opłat pobieranych od mieszkańców finansowany jest nie tylko odbiór i zagospodarowanie wytwarzanych przez mieszkańców odpadów, ale również koszty: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transportu, zbierania, odzysku i unieszkodliwiania odpadów komunalnych,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tworzenia i utrzymania punktów selektywnego zbierania odpadów komunalnych,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obsługi administracyjnej systemu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line="240" w:lineRule="auto"/>
        <w:ind w:left="740" w:right="0" w:hanging="360"/>
        <w:jc w:val="both"/>
      </w:pPr>
      <w:r>
        <w:rPr>
          <w:rStyle w:val="CharStyle12"/>
        </w:rPr>
        <w:t>oraz edukacji ekologicznej w zakresie prawidłowego postępowania z odpadami komunalnymi.</w:t>
      </w:r>
      <w:r>
        <w:rPr>
          <w:rStyle w:val="CharStyle12"/>
          <w:vertAlign w:val="superscript"/>
        </w:rPr>
        <w:footnoteReference w:id="2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 xml:space="preserve">Warto podkreślić, że w ramach ponoszonej opłaty mieszkańcy zyskują gwarancję odbioru </w:t>
      </w:r>
      <w:r>
        <w:rPr>
          <w:rStyle w:val="CharStyle12"/>
          <w:b/>
          <w:bCs/>
        </w:rPr>
        <w:t xml:space="preserve">wszystkich </w:t>
      </w:r>
      <w:r>
        <w:rPr>
          <w:rStyle w:val="CharStyle12"/>
        </w:rPr>
        <w:t>rodzajów odpadów komunalnych wytwarzanych na terenie nieruchomości, których są właścicielami.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Ustanowienie gmin podmiotami odpowiedzialnymi za zorganizowanie systemów gospodarowania odpadami komunalnymi jest również rozwiązaniem optymalnym w świetle konieczności osiągnięcia przez kraje członkowskie Unii Europejskiej wymaganych poziomów recyklingu oraz składowania odpadów.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Kwestia wyboru spółki jest już uregulowana w obowiązującej ustawie. Wójt, burmistrz lub prezydent miasta jest obowiązany udzielić zamówienia publicznego na odbieranie odpadów komunalnych od właścicieli nieruchomości, na których zamieszkują mieszkańcy, albo zamówienia publicznego na odbieranie i zagospodarowanie tych odpadów.</w:t>
      </w:r>
      <w:r>
        <w:rPr>
          <w:rStyle w:val="CharStyle12"/>
          <w:vertAlign w:val="superscript"/>
        </w:rPr>
        <w:footnoteReference w:id="3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Warto też wspomnieć o tym, że ze względu na charakter systemu gospodarowania odpadami komunalnymi, wskazane jest planowanie długoterminowej współpracy ze spółkami. Dzięki temu gminy mają możliwość lepszego oszacowania kosztów systemu gospodarowania odpadami, a firmy mogą dokonywać inwestycji w nowoczesne i wydajne instalacje.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Jednocześnie informuję, że po zakończeniu obecnego etapu, tj. prac wewnętrznych w Ministerstwie Klimatu i Środowiska nad projektem zmian ustawy, projekt zostanie przekazany do konsultacji, opiniowania i uzgodnień oraz do prac w Parlamencie. Każdy będzie miał możliwość zaopiniowania rozwiązań proponowanych przez Ministerstwo oraz zgłoszenia swoich uwag i propozycji.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rStyle w:val="CharStyle12"/>
        </w:rPr>
        <w:t>Z wyrazami szacunku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>Dyrektor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>Departament Gospodarki Odpadami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>Ministerstwo Klimatu i Środowiska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/ – podpisany cyfrowo/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40" w:line="286" w:lineRule="auto"/>
        <w:ind w:left="0" w:right="0" w:firstLine="0"/>
        <w:jc w:val="left"/>
      </w:pPr>
      <w:r>
        <w:rPr>
          <w:rStyle w:val="CharStyle12"/>
        </w:rPr>
        <w:t>Zgodnie z art. 13 ust. 1 i 2 ogólnego rozporządzenia o ochronie danych osobowych z dnia 27 kwietnia 2016 r. informuję, iż: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0" w:line="276" w:lineRule="auto"/>
        <w:ind w:left="380" w:right="0" w:hanging="380"/>
        <w:jc w:val="both"/>
      </w:pPr>
      <w:r>
        <w:rPr>
          <w:rStyle w:val="CharStyle12"/>
        </w:rPr>
        <w:t>Administratorem Pani/Pana danych osobowych jest Minister Klimatu i Środowiska z siedzibą w Warszawie ul. Wawelska 52/54, 00-922.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0" w:line="283" w:lineRule="auto"/>
        <w:ind w:left="380" w:right="0" w:hanging="380"/>
        <w:jc w:val="both"/>
      </w:pPr>
      <w:r>
        <w:rPr>
          <w:rStyle w:val="CharStyle12"/>
        </w:rPr>
        <w:t xml:space="preserve">Kontakt z Inspektorem Ochrony Danych jest możliwy jest pod adresem email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2"/>
          <w:color w:val="0000FF"/>
          <w:u w:val="single"/>
        </w:rPr>
        <w:t>inspektor.ochrony.danych@klimat.gov.pl</w:t>
      </w:r>
      <w:r>
        <w:fldChar w:fldCharType="end"/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0" w:line="283" w:lineRule="auto"/>
        <w:ind w:left="380" w:right="0" w:hanging="380"/>
        <w:jc w:val="both"/>
      </w:pPr>
      <w:r>
        <w:rPr>
          <w:rStyle w:val="CharStyle12"/>
        </w:rPr>
        <w:t>Będziemy przetwarzać Pani/Pana dane osobowe w celu udzielenia odpowiedzi na przesłane zapytanie</w:t>
      </w:r>
      <w:r>
        <w:rPr>
          <w:rStyle w:val="CharStyle12"/>
          <w:vertAlign w:val="superscript"/>
        </w:rPr>
        <w:footnoteReference w:id="4"/>
      </w:r>
      <w:r>
        <w:rPr>
          <w:rStyle w:val="CharStyle12"/>
        </w:rPr>
        <w:t>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after="0"/>
        <w:ind w:left="0" w:right="0" w:firstLine="0"/>
        <w:jc w:val="both"/>
      </w:pPr>
      <w:r>
        <w:rPr>
          <w:rStyle w:val="CharStyle12"/>
        </w:rPr>
        <w:t>Pana/Pani dane osobowe będziemy przechowywać przez okres 50 lat.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12"/>
        </w:rPr>
        <w:t>Posiada Pani/Pan prawo do: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 w:line="302" w:lineRule="auto"/>
        <w:ind w:left="0" w:right="0" w:firstLine="380"/>
        <w:jc w:val="both"/>
      </w:pPr>
      <w:r>
        <w:rPr>
          <w:rStyle w:val="CharStyle12"/>
        </w:rPr>
        <w:t>żądania od administratora dostępu do danych osobowych,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 w:line="302" w:lineRule="auto"/>
        <w:ind w:left="0" w:right="0" w:firstLine="380"/>
        <w:jc w:val="both"/>
      </w:pPr>
      <w:r>
        <w:rPr>
          <w:rStyle w:val="CharStyle12"/>
        </w:rPr>
        <w:t>sprostowania danych osobowych,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 w:line="302" w:lineRule="auto"/>
        <w:ind w:left="0" w:right="0" w:firstLine="380"/>
        <w:jc w:val="both"/>
      </w:pPr>
      <w:r>
        <w:rPr>
          <w:rStyle w:val="CharStyle12"/>
        </w:rPr>
        <w:t>usunięcia lub ograniczenia przetwarzania danych osobowych,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 w:line="302" w:lineRule="auto"/>
        <w:ind w:left="0" w:right="0" w:firstLine="380"/>
        <w:jc w:val="both"/>
      </w:pPr>
      <w:r>
        <w:rPr>
          <w:rStyle w:val="CharStyle12"/>
        </w:rPr>
        <w:t>wniesienia sprzeciwu wobec przetwarzania danych osobowych.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88" w:lineRule="auto"/>
        <w:ind w:left="380" w:right="0" w:hanging="380"/>
        <w:jc w:val="both"/>
      </w:pPr>
      <w:r>
        <w:rPr>
          <w:rStyle w:val="CharStyle12"/>
        </w:rPr>
        <w:t>Ma Pan/Pani prawo wniesienia skargi do organu nadzorczego, jeśli uzna Pani/Pan, że przetwarzanie Pani/Pana danych osobowych narusza przepisy ogólnego rozporządzenia o ochronie danych osobowych z dnia 27 kwietnia 2016 r.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88" w:lineRule="auto"/>
        <w:ind w:left="380" w:right="0" w:hanging="380"/>
        <w:jc w:val="both"/>
      </w:pPr>
      <w:r>
        <w:rPr>
          <w:rStyle w:val="CharStyle12"/>
        </w:rPr>
        <w:t>Podanie danych osobowych jest dobrowolne ale niepodanie danych w zakresie wymaganym przez administratora może skutkować brakiem skutecznego doręczenia odpowiedzi.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735" w:right="1889" w:bottom="919" w:left="1822" w:header="307" w:footer="49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Art. 6r ust. 2 ustawy z dnia 13 września 1996 r. o utrzymaniu czystości i porządku w gminach (Dz. U. z 2025 r. poz. 733)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Art. 6d ust. 1 ustawy z dnia 13 września 1996 r. o utrzymaniu czystości i porządku w gminach (Dz. U. z 2025 r. poz. 733)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Na podstawie art. 6 ust. 1 lit. e ogólnego rozporządzenia o ochronie danych osobowych z dnia 27 kwietnia 2016 r.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Body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Body text (3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Heading #1_"/>
    <w:basedOn w:val="DefaultParagraphFont"/>
    <w:link w:val="Style8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2">
    <w:name w:val="Body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Heading #2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  <w:spacing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auto"/>
      <w:spacing w:line="252" w:lineRule="auto"/>
      <w:ind w:left="150"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Body text (3)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8">
    <w:name w:val="Heading #1"/>
    <w:basedOn w:val="Normal"/>
    <w:link w:val="CharStyle9"/>
    <w:pPr>
      <w:widowControl w:val="0"/>
      <w:shd w:val="clear" w:color="auto" w:fill="auto"/>
      <w:spacing w:after="250" w:line="221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styleId="Style11">
    <w:name w:val="Body text"/>
    <w:basedOn w:val="Normal"/>
    <w:link w:val="CharStyle12"/>
    <w:qFormat/>
    <w:pPr>
      <w:widowControl w:val="0"/>
      <w:shd w:val="clear" w:color="auto" w:fill="auto"/>
      <w:spacing w:after="1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Heading #2"/>
    <w:basedOn w:val="Normal"/>
    <w:link w:val="CharStyle16"/>
    <w:pPr>
      <w:widowControl w:val="0"/>
      <w:shd w:val="clear" w:color="auto" w:fill="auto"/>
      <w:spacing w:after="190" w:line="264" w:lineRule="auto"/>
      <w:ind w:firstLine="2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DGO zapytania interpertacje</dc:title>
  <dc:subject/>
  <dc:creator/>
  <cp:keywords>PL, KOLOR</cp:keywords>
</cp:coreProperties>
</file>