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84204" w14:textId="77777777" w:rsidR="00A53DF0" w:rsidRPr="0054347C" w:rsidRDefault="008B7F27" w:rsidP="00E60673">
      <w:pPr>
        <w:jc w:val="center"/>
        <w:rPr>
          <w:b/>
          <w:bCs/>
          <w:sz w:val="32"/>
          <w:szCs w:val="32"/>
        </w:rPr>
      </w:pPr>
      <w:r w:rsidRPr="0054347C">
        <w:rPr>
          <w:b/>
          <w:bCs/>
          <w:sz w:val="32"/>
          <w:szCs w:val="32"/>
        </w:rPr>
        <w:t xml:space="preserve">Stanowisko konsultantów krajowych: </w:t>
      </w:r>
    </w:p>
    <w:p w14:paraId="05546548" w14:textId="77777777" w:rsidR="0054347C" w:rsidRDefault="00A53DF0" w:rsidP="00E60673">
      <w:pPr>
        <w:jc w:val="center"/>
        <w:rPr>
          <w:b/>
          <w:bCs/>
          <w:sz w:val="28"/>
          <w:szCs w:val="28"/>
        </w:rPr>
      </w:pPr>
      <w:r w:rsidRPr="0054347C">
        <w:rPr>
          <w:b/>
          <w:bCs/>
          <w:sz w:val="28"/>
          <w:szCs w:val="28"/>
        </w:rPr>
        <w:t xml:space="preserve">medycyny rodzinnej, </w:t>
      </w:r>
      <w:r w:rsidR="008B7F27" w:rsidRPr="0054347C">
        <w:rPr>
          <w:b/>
          <w:bCs/>
          <w:sz w:val="28"/>
          <w:szCs w:val="28"/>
        </w:rPr>
        <w:t>chorób zakaźnych</w:t>
      </w:r>
      <w:r w:rsidRPr="0054347C">
        <w:rPr>
          <w:b/>
          <w:bCs/>
          <w:sz w:val="28"/>
          <w:szCs w:val="28"/>
        </w:rPr>
        <w:t xml:space="preserve"> </w:t>
      </w:r>
    </w:p>
    <w:p w14:paraId="001EB299" w14:textId="380079FB" w:rsidR="008B7F27" w:rsidRPr="0054347C" w:rsidRDefault="00A53DF0" w:rsidP="00E60673">
      <w:pPr>
        <w:jc w:val="center"/>
        <w:rPr>
          <w:b/>
          <w:bCs/>
          <w:sz w:val="28"/>
          <w:szCs w:val="28"/>
        </w:rPr>
      </w:pPr>
      <w:r w:rsidRPr="0054347C">
        <w:rPr>
          <w:b/>
          <w:bCs/>
          <w:sz w:val="28"/>
          <w:szCs w:val="28"/>
        </w:rPr>
        <w:t>oraz</w:t>
      </w:r>
      <w:r w:rsidR="008B7F27" w:rsidRPr="0054347C">
        <w:rPr>
          <w:b/>
          <w:bCs/>
          <w:sz w:val="28"/>
          <w:szCs w:val="28"/>
        </w:rPr>
        <w:t xml:space="preserve"> anestezjologii i intensywnej terapii </w:t>
      </w:r>
    </w:p>
    <w:p w14:paraId="7792ED93" w14:textId="6A6DD963" w:rsidR="008B7F27" w:rsidRPr="0054347C" w:rsidRDefault="008B7F27" w:rsidP="00E60673">
      <w:pPr>
        <w:jc w:val="center"/>
        <w:rPr>
          <w:b/>
          <w:bCs/>
          <w:sz w:val="28"/>
          <w:szCs w:val="28"/>
        </w:rPr>
      </w:pPr>
      <w:r w:rsidRPr="0054347C">
        <w:rPr>
          <w:b/>
          <w:bCs/>
          <w:sz w:val="28"/>
          <w:szCs w:val="28"/>
        </w:rPr>
        <w:t>we współpracy z Radą Medyczną przy Premierze RP</w:t>
      </w:r>
    </w:p>
    <w:p w14:paraId="1339985D" w14:textId="78A9CA37" w:rsidR="0054347C" w:rsidRPr="0054347C" w:rsidRDefault="0054347C" w:rsidP="00E60673">
      <w:pPr>
        <w:jc w:val="center"/>
        <w:rPr>
          <w:b/>
          <w:bCs/>
          <w:sz w:val="28"/>
          <w:szCs w:val="28"/>
        </w:rPr>
      </w:pPr>
      <w:r w:rsidRPr="0054347C">
        <w:rPr>
          <w:b/>
          <w:bCs/>
          <w:sz w:val="28"/>
          <w:szCs w:val="28"/>
        </w:rPr>
        <w:t>z dnia 01.02.2021</w:t>
      </w:r>
    </w:p>
    <w:p w14:paraId="5E798BE9" w14:textId="77777777" w:rsidR="00E60673" w:rsidRPr="0054347C" w:rsidRDefault="00E60673" w:rsidP="00E60673">
      <w:pPr>
        <w:jc w:val="center"/>
        <w:rPr>
          <w:b/>
          <w:bCs/>
        </w:rPr>
      </w:pPr>
    </w:p>
    <w:p w14:paraId="30AA3D34" w14:textId="77777777" w:rsidR="00E60673" w:rsidRPr="0054347C" w:rsidRDefault="00E60673" w:rsidP="00E60673">
      <w:pPr>
        <w:jc w:val="center"/>
        <w:rPr>
          <w:b/>
          <w:bCs/>
        </w:rPr>
      </w:pPr>
    </w:p>
    <w:p w14:paraId="73883FFB" w14:textId="24BF8BCE" w:rsidR="004912EE" w:rsidRPr="0054347C" w:rsidRDefault="004912EE" w:rsidP="00E60673">
      <w:pPr>
        <w:jc w:val="center"/>
        <w:rPr>
          <w:b/>
          <w:bCs/>
          <w:sz w:val="32"/>
          <w:szCs w:val="32"/>
        </w:rPr>
      </w:pPr>
      <w:r w:rsidRPr="0054347C">
        <w:rPr>
          <w:b/>
          <w:bCs/>
          <w:sz w:val="32"/>
          <w:szCs w:val="32"/>
        </w:rPr>
        <w:t xml:space="preserve">Zalecenia dotyczące postępowania u </w:t>
      </w:r>
      <w:r w:rsidR="00465E40" w:rsidRPr="0054347C">
        <w:rPr>
          <w:b/>
          <w:bCs/>
          <w:sz w:val="32"/>
          <w:szCs w:val="32"/>
        </w:rPr>
        <w:t>osób</w:t>
      </w:r>
      <w:r w:rsidRPr="0054347C">
        <w:rPr>
          <w:b/>
          <w:bCs/>
          <w:sz w:val="32"/>
          <w:szCs w:val="32"/>
        </w:rPr>
        <w:t xml:space="preserve"> z chorobą COVID-19 </w:t>
      </w:r>
      <w:r w:rsidR="00F9520F" w:rsidRPr="0054347C">
        <w:rPr>
          <w:b/>
          <w:bCs/>
          <w:sz w:val="32"/>
          <w:szCs w:val="32"/>
        </w:rPr>
        <w:br/>
      </w:r>
      <w:r w:rsidRPr="0054347C">
        <w:rPr>
          <w:b/>
          <w:bCs/>
          <w:sz w:val="32"/>
          <w:szCs w:val="32"/>
        </w:rPr>
        <w:t>leczonych w domu</w:t>
      </w:r>
    </w:p>
    <w:p w14:paraId="4D0B675C" w14:textId="7D2E242D" w:rsidR="004912EE" w:rsidRPr="0054347C" w:rsidRDefault="004912EE" w:rsidP="004912EE"/>
    <w:p w14:paraId="6E2EDED6" w14:textId="77777777" w:rsidR="004E6C44" w:rsidRPr="0054347C" w:rsidRDefault="004E6C44" w:rsidP="004912EE"/>
    <w:p w14:paraId="325D813C" w14:textId="00F8A569" w:rsidR="00F57567" w:rsidRPr="0054347C" w:rsidRDefault="00F57567" w:rsidP="004912EE"/>
    <w:p w14:paraId="2DA01D61" w14:textId="78BA51D9" w:rsidR="00794EC7" w:rsidRPr="0054347C" w:rsidRDefault="00794EC7" w:rsidP="004912EE">
      <w:pPr>
        <w:rPr>
          <w:b/>
          <w:bCs/>
        </w:rPr>
      </w:pPr>
      <w:r w:rsidRPr="0054347C">
        <w:rPr>
          <w:b/>
          <w:bCs/>
        </w:rPr>
        <w:t>Podsumowanie zaleceń</w:t>
      </w:r>
    </w:p>
    <w:p w14:paraId="6929A281" w14:textId="64069746" w:rsidR="003C35A9" w:rsidRPr="0054347C" w:rsidRDefault="00794EC7" w:rsidP="004E6C44">
      <w:pPr>
        <w:ind w:firstLine="360"/>
        <w:jc w:val="both"/>
      </w:pPr>
      <w:r w:rsidRPr="0054347C">
        <w:t>Pacjent leczony z powodu COVID-19 w warunkach domowych</w:t>
      </w:r>
      <w:r w:rsidR="003C35A9" w:rsidRPr="0054347C">
        <w:t>, zwłaszcza z czynnikami ryzyka ciężkiego przebiegu choroby,</w:t>
      </w:r>
      <w:r w:rsidRPr="0054347C">
        <w:t xml:space="preserve"> wymaga stałego </w:t>
      </w:r>
      <w:r w:rsidR="003C35A9" w:rsidRPr="0054347C">
        <w:t xml:space="preserve">monitorowania z uwagi na ryzyko nagłego pogorszenia stanu zdrowia. Leczenie stosowane w łagodnym przebiegu sprowadza się do stosowania leków objawowych, jak w innych ostrych infekcjach wirusowych dróg </w:t>
      </w:r>
      <w:r w:rsidR="004E6C44" w:rsidRPr="0054347C">
        <w:t>oddechowych. W sytuacji pogorszenia przebiegu choroby, pacjent powinien jak najszybciej trafić do szpitala, gdzie ma szansę na uzyskanie skutecznego leczenia. Nie należy opóźniać kierowania pacjenta do leczenia szpitalnego.</w:t>
      </w:r>
    </w:p>
    <w:p w14:paraId="6BE64D3E" w14:textId="77777777" w:rsidR="004E6C44" w:rsidRPr="0054347C" w:rsidRDefault="004E6C44" w:rsidP="004E6C44">
      <w:pPr>
        <w:ind w:firstLine="360"/>
        <w:jc w:val="both"/>
      </w:pPr>
    </w:p>
    <w:p w14:paraId="498912E8" w14:textId="77777777" w:rsidR="004912EE" w:rsidRPr="0054347C" w:rsidRDefault="004912EE" w:rsidP="004912EE"/>
    <w:p w14:paraId="0AB3477C" w14:textId="75AE5AF2" w:rsidR="004912EE" w:rsidRPr="0054347C" w:rsidRDefault="004912EE" w:rsidP="008B7F27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4347C">
        <w:rPr>
          <w:b/>
          <w:bCs/>
        </w:rPr>
        <w:t xml:space="preserve">Nie zaleca się stosowania </w:t>
      </w:r>
      <w:proofErr w:type="spellStart"/>
      <w:r w:rsidRPr="0054347C">
        <w:rPr>
          <w:b/>
          <w:bCs/>
        </w:rPr>
        <w:t>deksametazonu</w:t>
      </w:r>
      <w:proofErr w:type="spellEnd"/>
      <w:r w:rsidRPr="0054347C">
        <w:rPr>
          <w:b/>
          <w:bCs/>
        </w:rPr>
        <w:t xml:space="preserve"> u chorych na COVID-19 leczonych w domu.</w:t>
      </w:r>
    </w:p>
    <w:p w14:paraId="171CF464" w14:textId="0889E4B2" w:rsidR="008B7F27" w:rsidRPr="0054347C" w:rsidRDefault="004912EE" w:rsidP="008B7F27">
      <w:pPr>
        <w:ind w:left="360"/>
        <w:jc w:val="both"/>
      </w:pPr>
      <w:r w:rsidRPr="0054347C">
        <w:t xml:space="preserve">Wyniki badań klinicznych, w tym przede wszystkim badania RECOVERY oraz oparte na nich wytyczne </w:t>
      </w:r>
      <w:proofErr w:type="spellStart"/>
      <w:r w:rsidRPr="0054347C">
        <w:t>AOTMiT</w:t>
      </w:r>
      <w:proofErr w:type="spellEnd"/>
      <w:r w:rsidRPr="0054347C">
        <w:t xml:space="preserve"> wskazują na korzyść ze stosowania </w:t>
      </w:r>
      <w:proofErr w:type="spellStart"/>
      <w:r w:rsidRPr="0054347C">
        <w:t>deksametazonu</w:t>
      </w:r>
      <w:proofErr w:type="spellEnd"/>
      <w:r w:rsidRPr="0054347C">
        <w:t xml:space="preserve"> w dawce 6 mg dziennie u </w:t>
      </w:r>
      <w:r w:rsidR="00663160" w:rsidRPr="0054347C">
        <w:t xml:space="preserve">hospitalizowanych </w:t>
      </w:r>
      <w:r w:rsidRPr="0054347C">
        <w:t xml:space="preserve">pacjentów z COVID-19 wymagających tlenoterapii lub mechanicznej wentylacji płuc. </w:t>
      </w:r>
    </w:p>
    <w:p w14:paraId="1ACA1147" w14:textId="7B784001" w:rsidR="004912EE" w:rsidRPr="0054347C" w:rsidRDefault="008B7F27" w:rsidP="008B7F27">
      <w:pPr>
        <w:ind w:left="360"/>
        <w:jc w:val="both"/>
      </w:pPr>
      <w:r w:rsidRPr="0054347C">
        <w:t>U</w:t>
      </w:r>
      <w:r w:rsidR="004912EE" w:rsidRPr="0054347C">
        <w:t xml:space="preserve"> chorych na COVID-19 niewymagających tlenoterapii</w:t>
      </w:r>
      <w:r w:rsidRPr="0054347C">
        <w:t>,</w:t>
      </w:r>
      <w:r w:rsidR="004912EE" w:rsidRPr="0054347C">
        <w:t xml:space="preserve"> ani mechanicznej wentylacji płuc stosowanie </w:t>
      </w:r>
      <w:proofErr w:type="spellStart"/>
      <w:r w:rsidR="00F9520F" w:rsidRPr="0054347C">
        <w:t>gliko</w:t>
      </w:r>
      <w:r w:rsidR="004912EE" w:rsidRPr="0054347C">
        <w:t>kortykosteroidów</w:t>
      </w:r>
      <w:proofErr w:type="spellEnd"/>
      <w:r w:rsidR="004912EE" w:rsidRPr="0054347C">
        <w:t xml:space="preserve"> zwiększa ryzyko zgonu.</w:t>
      </w:r>
    </w:p>
    <w:p w14:paraId="5505913B" w14:textId="77777777" w:rsidR="004912EE" w:rsidRPr="0054347C" w:rsidRDefault="004912EE" w:rsidP="008B7F27">
      <w:pPr>
        <w:jc w:val="both"/>
      </w:pPr>
    </w:p>
    <w:p w14:paraId="2899B183" w14:textId="77777777" w:rsidR="001D3280" w:rsidRPr="0054347C" w:rsidRDefault="001D3280" w:rsidP="001D3280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4347C">
        <w:rPr>
          <w:b/>
          <w:bCs/>
        </w:rPr>
        <w:t xml:space="preserve">Nie zaleca się stosowania tlenoterapii domowej w ostrej fazie choroby w związku z ryzykiem gwałtownego pogorszenia zagrażającego życiu. Konieczność stosowania tlenoterapii w leczeniu COVID-19 stanowi bezwzględne wskazanie do hospitalizacji. </w:t>
      </w:r>
    </w:p>
    <w:p w14:paraId="64ABA9B0" w14:textId="24A93AFF" w:rsidR="001D3280" w:rsidRDefault="001D3280" w:rsidP="001D3280">
      <w:pPr>
        <w:ind w:left="360"/>
        <w:jc w:val="both"/>
      </w:pPr>
      <w:r w:rsidRPr="0054347C">
        <w:t>Pacjent z chorobą COVID-19, u którego pojawia się niewydolność oddechowa wymagająca stosowania tlenoterapii, wymaga niezwłocznego leczenia w warunkach szpitalnych. Tlenoterapia domowa jest powszechnie stosowana w leczeniu pacjentów z przewlekłą niewydolnością oddechową, lecz nie może być stosowana w leczeniu ostrej niewydolności oddechowej. Pojawienie się ostrej niewydolności oddechowej świadczy o postępie choroby i groźbie bardzo szybkiego pogorszenia, mogącego prowadzić do bezpośredniego zagrożenia życia. Dodatkowo, zastosowanie tlenoterapii w domu może spowodować opóźnienie w dotarciu pacjenta do szpitala, przez co pacjent traci szansę na otrzymanie leczenia wymagającego zastosowania w pierwszych dobach choroby COVID-19 o ciężkim przebiegu (5-8 dni od wystąpienia objawów).</w:t>
      </w:r>
    </w:p>
    <w:p w14:paraId="0B490482" w14:textId="77777777" w:rsidR="001D3280" w:rsidRPr="001D3280" w:rsidRDefault="001D3280" w:rsidP="001D3280">
      <w:pPr>
        <w:ind w:left="360"/>
        <w:jc w:val="both"/>
      </w:pPr>
    </w:p>
    <w:p w14:paraId="37E0E723" w14:textId="66F51ECE" w:rsidR="004912EE" w:rsidRPr="0054347C" w:rsidRDefault="001D3280" w:rsidP="008B7F27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lastRenderedPageBreak/>
        <w:t>N</w:t>
      </w:r>
      <w:r w:rsidRPr="0054347C">
        <w:rPr>
          <w:b/>
          <w:bCs/>
        </w:rPr>
        <w:t xml:space="preserve">ie zaleca się stosowania </w:t>
      </w:r>
      <w:proofErr w:type="spellStart"/>
      <w:r w:rsidR="008B7F27" w:rsidRPr="0054347C">
        <w:rPr>
          <w:b/>
          <w:bCs/>
        </w:rPr>
        <w:t>glikokortykosteroidów</w:t>
      </w:r>
      <w:proofErr w:type="spellEnd"/>
      <w:r w:rsidR="004912EE" w:rsidRPr="0054347C">
        <w:rPr>
          <w:b/>
          <w:bCs/>
        </w:rPr>
        <w:t xml:space="preserve"> wziewnych w leczeniu COVID-19 </w:t>
      </w:r>
      <w:r>
        <w:rPr>
          <w:b/>
          <w:bCs/>
        </w:rPr>
        <w:t>- b</w:t>
      </w:r>
      <w:r w:rsidRPr="0054347C">
        <w:rPr>
          <w:b/>
          <w:bCs/>
        </w:rPr>
        <w:t>rak danych dotyczących skuteczności</w:t>
      </w:r>
      <w:r w:rsidR="004912EE" w:rsidRPr="0054347C">
        <w:rPr>
          <w:b/>
          <w:bCs/>
        </w:rPr>
        <w:t>.</w:t>
      </w:r>
    </w:p>
    <w:p w14:paraId="4A0FEC07" w14:textId="77777777" w:rsidR="004912EE" w:rsidRPr="0054347C" w:rsidRDefault="004912EE" w:rsidP="008B7F27">
      <w:pPr>
        <w:ind w:left="360"/>
        <w:jc w:val="both"/>
      </w:pPr>
      <w:r w:rsidRPr="0054347C">
        <w:t xml:space="preserve">Brak danych dotyczących stosowania GKS wziewnych u pacjentów z COVID-19 uzasadniających takie leczenie. W takiej sytuacji </w:t>
      </w:r>
      <w:proofErr w:type="spellStart"/>
      <w:r w:rsidRPr="0054347C">
        <w:t>AOTMiT</w:t>
      </w:r>
      <w:proofErr w:type="spellEnd"/>
      <w:r w:rsidRPr="0054347C">
        <w:t xml:space="preserve"> nie wydał zalecenia w tej sprawie.</w:t>
      </w:r>
    </w:p>
    <w:p w14:paraId="5FDE98DD" w14:textId="77777777" w:rsidR="004912EE" w:rsidRPr="0054347C" w:rsidRDefault="004912EE" w:rsidP="008B7F27">
      <w:pPr>
        <w:jc w:val="both"/>
      </w:pPr>
    </w:p>
    <w:p w14:paraId="55B3DDB4" w14:textId="7E32AF2B" w:rsidR="004912EE" w:rsidRPr="0054347C" w:rsidRDefault="004912EE" w:rsidP="008B7F27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4347C">
        <w:rPr>
          <w:b/>
          <w:bCs/>
        </w:rPr>
        <w:t>Nie zaleca się stosowania w leczeniu COVID-19 leków o potencjalnym działaniu przeciwwirusowym charakteryzujących się wątpliwą skutecznością lub o dowiedzionej nieskuteczności</w:t>
      </w:r>
      <w:r w:rsidR="00F9520F" w:rsidRPr="0054347C">
        <w:rPr>
          <w:b/>
          <w:bCs/>
        </w:rPr>
        <w:t>,</w:t>
      </w:r>
      <w:r w:rsidRPr="0054347C">
        <w:rPr>
          <w:b/>
          <w:bCs/>
        </w:rPr>
        <w:t xml:space="preserve"> w tym: </w:t>
      </w:r>
      <w:r w:rsidR="00CA1380" w:rsidRPr="0054347C">
        <w:rPr>
          <w:b/>
          <w:bCs/>
        </w:rPr>
        <w:t xml:space="preserve">amantadyny, </w:t>
      </w:r>
      <w:proofErr w:type="spellStart"/>
      <w:r w:rsidRPr="0054347C">
        <w:rPr>
          <w:b/>
          <w:bCs/>
        </w:rPr>
        <w:t>chlorochiny</w:t>
      </w:r>
      <w:proofErr w:type="spellEnd"/>
      <w:r w:rsidRPr="0054347C">
        <w:rPr>
          <w:b/>
          <w:bCs/>
        </w:rPr>
        <w:t>,</w:t>
      </w:r>
      <w:r w:rsidR="00663160" w:rsidRPr="0054347C">
        <w:rPr>
          <w:b/>
          <w:bCs/>
        </w:rPr>
        <w:t xml:space="preserve"> </w:t>
      </w:r>
      <w:proofErr w:type="spellStart"/>
      <w:r w:rsidR="00663160" w:rsidRPr="0054347C">
        <w:rPr>
          <w:b/>
          <w:bCs/>
        </w:rPr>
        <w:t>hydrochlorochiny</w:t>
      </w:r>
      <w:proofErr w:type="spellEnd"/>
      <w:r w:rsidR="00663160" w:rsidRPr="0054347C">
        <w:rPr>
          <w:b/>
          <w:bCs/>
        </w:rPr>
        <w:t>,</w:t>
      </w:r>
      <w:r w:rsidRPr="0054347C">
        <w:rPr>
          <w:b/>
          <w:bCs/>
        </w:rPr>
        <w:t xml:space="preserve"> </w:t>
      </w:r>
      <w:proofErr w:type="spellStart"/>
      <w:r w:rsidRPr="0054347C">
        <w:rPr>
          <w:b/>
          <w:bCs/>
        </w:rPr>
        <w:t>lopinawiru</w:t>
      </w:r>
      <w:proofErr w:type="spellEnd"/>
      <w:r w:rsidRPr="0054347C">
        <w:rPr>
          <w:b/>
          <w:bCs/>
        </w:rPr>
        <w:t xml:space="preserve"> z </w:t>
      </w:r>
      <w:proofErr w:type="spellStart"/>
      <w:r w:rsidRPr="0054347C">
        <w:rPr>
          <w:b/>
          <w:bCs/>
        </w:rPr>
        <w:t>rytonawirem</w:t>
      </w:r>
      <w:proofErr w:type="spellEnd"/>
      <w:r w:rsidRPr="0054347C">
        <w:rPr>
          <w:b/>
          <w:bCs/>
        </w:rPr>
        <w:t xml:space="preserve">, </w:t>
      </w:r>
      <w:proofErr w:type="spellStart"/>
      <w:r w:rsidRPr="0054347C">
        <w:rPr>
          <w:b/>
          <w:bCs/>
        </w:rPr>
        <w:t>azytromycyny</w:t>
      </w:r>
      <w:proofErr w:type="spellEnd"/>
      <w:r w:rsidRPr="0054347C">
        <w:rPr>
          <w:b/>
          <w:bCs/>
        </w:rPr>
        <w:t>.</w:t>
      </w:r>
    </w:p>
    <w:p w14:paraId="704D2DE9" w14:textId="77777777" w:rsidR="004912EE" w:rsidRPr="0054347C" w:rsidRDefault="004912EE" w:rsidP="008B7F27">
      <w:pPr>
        <w:ind w:left="360"/>
        <w:jc w:val="both"/>
      </w:pPr>
      <w:r w:rsidRPr="0054347C">
        <w:t xml:space="preserve">Znaczne ilości danych z badań klinicznych, w tym największych – SOLIDARITY, RECOVERY i REMAP-CAP wskazują na brak korzyści ze stosowania </w:t>
      </w:r>
      <w:proofErr w:type="spellStart"/>
      <w:r w:rsidRPr="0054347C">
        <w:t>chlorochiny</w:t>
      </w:r>
      <w:proofErr w:type="spellEnd"/>
      <w:r w:rsidRPr="0054347C">
        <w:t xml:space="preserve">, </w:t>
      </w:r>
      <w:proofErr w:type="spellStart"/>
      <w:r w:rsidRPr="0054347C">
        <w:t>hydroksychlorochiny</w:t>
      </w:r>
      <w:proofErr w:type="spellEnd"/>
      <w:r w:rsidRPr="0054347C">
        <w:t xml:space="preserve">, </w:t>
      </w:r>
      <w:proofErr w:type="spellStart"/>
      <w:r w:rsidRPr="0054347C">
        <w:t>azytromycyny</w:t>
      </w:r>
      <w:proofErr w:type="spellEnd"/>
      <w:r w:rsidRPr="0054347C">
        <w:t xml:space="preserve"> i </w:t>
      </w:r>
      <w:proofErr w:type="spellStart"/>
      <w:r w:rsidRPr="0054347C">
        <w:t>lopinawiru</w:t>
      </w:r>
      <w:proofErr w:type="spellEnd"/>
      <w:r w:rsidRPr="0054347C">
        <w:t xml:space="preserve"> z </w:t>
      </w:r>
      <w:proofErr w:type="spellStart"/>
      <w:r w:rsidRPr="0054347C">
        <w:t>rytonawirem</w:t>
      </w:r>
      <w:proofErr w:type="spellEnd"/>
      <w:r w:rsidRPr="0054347C">
        <w:t xml:space="preserve"> u chorych na COVID-19.</w:t>
      </w:r>
    </w:p>
    <w:p w14:paraId="5BE73695" w14:textId="3EC2198D" w:rsidR="004912EE" w:rsidRPr="0054347C" w:rsidRDefault="00663160" w:rsidP="008B7F27">
      <w:pPr>
        <w:ind w:left="360"/>
        <w:jc w:val="both"/>
      </w:pPr>
      <w:r w:rsidRPr="0054347C">
        <w:t>Opublikowane wyniki badań nie uzasadniają</w:t>
      </w:r>
      <w:r w:rsidR="004912EE" w:rsidRPr="0054347C">
        <w:t xml:space="preserve"> </w:t>
      </w:r>
      <w:r w:rsidRPr="0054347C">
        <w:t xml:space="preserve">stosowania </w:t>
      </w:r>
      <w:r w:rsidR="004912EE" w:rsidRPr="0054347C">
        <w:t xml:space="preserve">amantadyny u chorych na COVID-19. </w:t>
      </w:r>
    </w:p>
    <w:p w14:paraId="5025E48B" w14:textId="77777777" w:rsidR="004912EE" w:rsidRPr="0054347C" w:rsidRDefault="004912EE" w:rsidP="008B7F27">
      <w:pPr>
        <w:jc w:val="both"/>
      </w:pPr>
    </w:p>
    <w:p w14:paraId="5B5232D7" w14:textId="77777777" w:rsidR="001D3280" w:rsidRPr="0054347C" w:rsidRDefault="001D3280" w:rsidP="001D3280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4347C">
        <w:rPr>
          <w:b/>
          <w:bCs/>
        </w:rPr>
        <w:t xml:space="preserve">Nie zaleca się włączania leków przeciwpłytkowych, ani przeciwzakrzepowych w leczeniu COVID-19 u chorych przebywających w domu, o ile nie pojawią się wskazania inne niż zakażenie </w:t>
      </w:r>
      <w:proofErr w:type="spellStart"/>
      <w:r w:rsidRPr="0054347C">
        <w:rPr>
          <w:b/>
          <w:bCs/>
        </w:rPr>
        <w:t>koronawirusem</w:t>
      </w:r>
      <w:proofErr w:type="spellEnd"/>
      <w:r w:rsidRPr="0054347C">
        <w:rPr>
          <w:b/>
          <w:bCs/>
        </w:rPr>
        <w:t>.</w:t>
      </w:r>
    </w:p>
    <w:p w14:paraId="7B753E57" w14:textId="77777777" w:rsidR="001D3280" w:rsidRPr="0054347C" w:rsidRDefault="001D3280" w:rsidP="001D3280">
      <w:pPr>
        <w:ind w:left="360"/>
        <w:jc w:val="both"/>
      </w:pPr>
      <w:r w:rsidRPr="0054347C">
        <w:t>Wyniki wstępnych badań wskazują na zmniejszenie ryzyka postępu choroby u pacjentów z COVID-19, leczonych przewlekle kwasem acetylosalicylowym. Natomiast brak dotychczas danych dotyczących skuteczności stosowania kwasu acetylosalicylowego i innych leków przeciwpłytkowych włączanych w chwili rozpoznania COVID-19.</w:t>
      </w:r>
    </w:p>
    <w:p w14:paraId="5BE58072" w14:textId="77777777" w:rsidR="001D3280" w:rsidRPr="0054347C" w:rsidRDefault="001D3280" w:rsidP="001D3280">
      <w:pPr>
        <w:jc w:val="both"/>
      </w:pPr>
    </w:p>
    <w:p w14:paraId="0E7D8489" w14:textId="77777777" w:rsidR="001D3280" w:rsidRPr="0054347C" w:rsidRDefault="001D3280" w:rsidP="001D3280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4347C">
        <w:rPr>
          <w:b/>
          <w:bCs/>
        </w:rPr>
        <w:t xml:space="preserve">Nie zaleca się stosowania innych leków, w tym inhibitorów ACE i </w:t>
      </w:r>
      <w:proofErr w:type="spellStart"/>
      <w:r w:rsidRPr="0054347C">
        <w:rPr>
          <w:b/>
          <w:bCs/>
        </w:rPr>
        <w:t>statyn</w:t>
      </w:r>
      <w:proofErr w:type="spellEnd"/>
      <w:r w:rsidRPr="0054347C">
        <w:rPr>
          <w:b/>
          <w:bCs/>
        </w:rPr>
        <w:t xml:space="preserve"> w leczeniu choroby COVID-19.</w:t>
      </w:r>
    </w:p>
    <w:p w14:paraId="00523D90" w14:textId="6E105CDB" w:rsidR="001D3280" w:rsidRDefault="001D3280" w:rsidP="001D3280">
      <w:pPr>
        <w:ind w:left="360"/>
        <w:jc w:val="both"/>
      </w:pPr>
      <w:r w:rsidRPr="0054347C">
        <w:t xml:space="preserve">Brak danych uzasadniających stosowanie innych grup leków u chorych z COVID-19, poza badaniami naukowymi prowadzonymi za zgodą komisji bioetycznej. </w:t>
      </w:r>
    </w:p>
    <w:p w14:paraId="04C72976" w14:textId="77777777" w:rsidR="001D3280" w:rsidRPr="0054347C" w:rsidRDefault="001D3280" w:rsidP="001D3280">
      <w:pPr>
        <w:ind w:left="360"/>
        <w:jc w:val="both"/>
      </w:pPr>
    </w:p>
    <w:p w14:paraId="7B5776BA" w14:textId="7CA61692" w:rsidR="004912EE" w:rsidRPr="0054347C" w:rsidRDefault="004912EE" w:rsidP="008B7F27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4347C">
        <w:rPr>
          <w:b/>
          <w:bCs/>
        </w:rPr>
        <w:t xml:space="preserve">Zaleca się kontynuowanie bez zmian dotychczasowego leczenia farmakologicznego, w tym: </w:t>
      </w:r>
      <w:proofErr w:type="spellStart"/>
      <w:r w:rsidR="00F9520F" w:rsidRPr="0054347C">
        <w:rPr>
          <w:b/>
          <w:bCs/>
        </w:rPr>
        <w:t>gliko</w:t>
      </w:r>
      <w:r w:rsidRPr="0054347C">
        <w:rPr>
          <w:b/>
          <w:bCs/>
        </w:rPr>
        <w:t>kortykosteroidów</w:t>
      </w:r>
      <w:proofErr w:type="spellEnd"/>
      <w:r w:rsidRPr="0054347C">
        <w:rPr>
          <w:b/>
          <w:bCs/>
        </w:rPr>
        <w:t xml:space="preserve"> </w:t>
      </w:r>
      <w:r w:rsidR="0020204D" w:rsidRPr="0054347C">
        <w:rPr>
          <w:b/>
          <w:bCs/>
        </w:rPr>
        <w:t xml:space="preserve">– także wziewnych - </w:t>
      </w:r>
      <w:r w:rsidRPr="0054347C">
        <w:rPr>
          <w:b/>
          <w:bCs/>
        </w:rPr>
        <w:t xml:space="preserve">ze wskazań innych niż COVID-19, niesteroidowych leków przeciwzapalnych, leków </w:t>
      </w:r>
      <w:proofErr w:type="spellStart"/>
      <w:r w:rsidRPr="0054347C">
        <w:rPr>
          <w:b/>
          <w:bCs/>
        </w:rPr>
        <w:t>przeciwnadciśnieniowych</w:t>
      </w:r>
      <w:proofErr w:type="spellEnd"/>
      <w:r w:rsidRPr="0054347C">
        <w:rPr>
          <w:b/>
          <w:bCs/>
        </w:rPr>
        <w:t xml:space="preserve"> (w tym inhibitory ACE), </w:t>
      </w:r>
      <w:proofErr w:type="spellStart"/>
      <w:r w:rsidRPr="0054347C">
        <w:rPr>
          <w:b/>
          <w:bCs/>
        </w:rPr>
        <w:t>statyn</w:t>
      </w:r>
      <w:proofErr w:type="spellEnd"/>
      <w:r w:rsidRPr="0054347C">
        <w:rPr>
          <w:b/>
          <w:bCs/>
        </w:rPr>
        <w:t>, leków przeciwpłytkowych i przeciwzakrzepowych.</w:t>
      </w:r>
    </w:p>
    <w:p w14:paraId="6572B9F3" w14:textId="77777777" w:rsidR="004912EE" w:rsidRPr="0054347C" w:rsidRDefault="004912EE" w:rsidP="008B7F27">
      <w:pPr>
        <w:ind w:left="360"/>
        <w:jc w:val="both"/>
      </w:pPr>
      <w:r w:rsidRPr="0054347C">
        <w:t>Nie wykazano zwiększenia ryzyka zgonu związanego z leczeniem częstych chorób przewlekłych. Dlatego zaleca się kontynuację stałego leczenia tych schorzeń.</w:t>
      </w:r>
    </w:p>
    <w:p w14:paraId="2FB9A2EA" w14:textId="77777777" w:rsidR="004912EE" w:rsidRPr="0054347C" w:rsidRDefault="004912EE" w:rsidP="008B7F27">
      <w:pPr>
        <w:jc w:val="both"/>
      </w:pPr>
    </w:p>
    <w:p w14:paraId="55B2D6A5" w14:textId="77777777" w:rsidR="001D3280" w:rsidRPr="0054347C" w:rsidRDefault="001D3280" w:rsidP="001D3280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4347C">
        <w:rPr>
          <w:b/>
          <w:bCs/>
        </w:rPr>
        <w:t>Zaleca się stosowanie leków przeciwgorączkowych (najskuteczniejsze są niesteroidowe leki przeciwzapalne lub paracetamol) w przypadku gorączki &gt;38,5 st. C.</w:t>
      </w:r>
    </w:p>
    <w:p w14:paraId="48E15F44" w14:textId="77777777" w:rsidR="001D3280" w:rsidRPr="0054347C" w:rsidRDefault="001D3280" w:rsidP="001D3280">
      <w:pPr>
        <w:ind w:left="360"/>
        <w:jc w:val="both"/>
      </w:pPr>
      <w:r w:rsidRPr="0054347C">
        <w:t xml:space="preserve">Na podstawie zaleceń </w:t>
      </w:r>
      <w:proofErr w:type="spellStart"/>
      <w:r w:rsidRPr="0054347C">
        <w:t>National</w:t>
      </w:r>
      <w:proofErr w:type="spellEnd"/>
      <w:r w:rsidRPr="0054347C">
        <w:t xml:space="preserve"> </w:t>
      </w:r>
      <w:proofErr w:type="spellStart"/>
      <w:r w:rsidRPr="0054347C">
        <w:t>Institutes</w:t>
      </w:r>
      <w:proofErr w:type="spellEnd"/>
      <w:r w:rsidRPr="0054347C">
        <w:t xml:space="preserve"> of </w:t>
      </w:r>
      <w:proofErr w:type="spellStart"/>
      <w:r w:rsidRPr="0054347C">
        <w:t>Health</w:t>
      </w:r>
      <w:proofErr w:type="spellEnd"/>
      <w:r w:rsidRPr="0054347C">
        <w:t xml:space="preserve"> (NIH), opartych na zasadach ogólnie przyjętych w chorobach infekcyjnych. </w:t>
      </w:r>
    </w:p>
    <w:p w14:paraId="4BC2515C" w14:textId="77777777" w:rsidR="004912EE" w:rsidRPr="0054347C" w:rsidRDefault="004912EE" w:rsidP="008B7F27">
      <w:pPr>
        <w:jc w:val="both"/>
      </w:pPr>
    </w:p>
    <w:p w14:paraId="481B2E99" w14:textId="4AD75982" w:rsidR="004912EE" w:rsidRPr="0054347C" w:rsidRDefault="004912EE" w:rsidP="008B7F27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4347C">
        <w:rPr>
          <w:b/>
          <w:bCs/>
        </w:rPr>
        <w:t>Brak danych dotyczących wyższości poszczególnych niesteroidowych leków przeciwzapalnych nad innymi. Brak również dowodów na ich szkodliwość.</w:t>
      </w:r>
    </w:p>
    <w:p w14:paraId="55D782D1" w14:textId="77777777" w:rsidR="004912EE" w:rsidRPr="0054347C" w:rsidRDefault="004912EE" w:rsidP="008B7F27">
      <w:pPr>
        <w:ind w:left="360"/>
        <w:jc w:val="both"/>
      </w:pPr>
      <w:r w:rsidRPr="0054347C">
        <w:t xml:space="preserve">Pomimo wstępnych doniesień o ewentualnej szkodliwości stosowania </w:t>
      </w:r>
      <w:proofErr w:type="spellStart"/>
      <w:r w:rsidRPr="0054347C">
        <w:t>ibuprofenu</w:t>
      </w:r>
      <w:proofErr w:type="spellEnd"/>
      <w:r w:rsidRPr="0054347C">
        <w:t>, kolejne badania kliniczne na dużych populacjach chorych na COVID-19 nie wykazały takiej zależności. Dlatego brak jest danych uzasadniających wybór poszczególnych leków z tej grupy.</w:t>
      </w:r>
    </w:p>
    <w:p w14:paraId="7AB812E9" w14:textId="77777777" w:rsidR="004912EE" w:rsidRPr="0054347C" w:rsidRDefault="004912EE" w:rsidP="008B7F27">
      <w:pPr>
        <w:jc w:val="both"/>
      </w:pPr>
    </w:p>
    <w:p w14:paraId="451066CA" w14:textId="61026832" w:rsidR="004912EE" w:rsidRPr="0054347C" w:rsidRDefault="004912EE" w:rsidP="008B7F27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4347C">
        <w:rPr>
          <w:b/>
          <w:bCs/>
        </w:rPr>
        <w:t>Zaleca się utrzymanie podaży płynów odpowiedniej do temperatury ciała, ale nie mniejszej niż 2000 ml na dobę. W przypadku chorych z przewlekłą niewydolnością serca i przewlekłą niewydolnością nerek wskazana jest samokontrola diurezy, nasilenia obrzęków oraz codzienny pomiar masy ciała.</w:t>
      </w:r>
    </w:p>
    <w:p w14:paraId="214434A5" w14:textId="77777777" w:rsidR="004912EE" w:rsidRPr="0054347C" w:rsidRDefault="004912EE" w:rsidP="008B7F27">
      <w:pPr>
        <w:ind w:firstLine="360"/>
        <w:jc w:val="both"/>
      </w:pPr>
      <w:r w:rsidRPr="0054347C">
        <w:t>Zalecenie oparte na zasadach ogólnie przyjętych w chorobach infekcyjnych.</w:t>
      </w:r>
    </w:p>
    <w:p w14:paraId="50A45F94" w14:textId="77777777" w:rsidR="004912EE" w:rsidRPr="0054347C" w:rsidRDefault="004912EE" w:rsidP="008B7F27">
      <w:pPr>
        <w:jc w:val="both"/>
      </w:pPr>
    </w:p>
    <w:p w14:paraId="36C5A639" w14:textId="42B62B01" w:rsidR="004912EE" w:rsidRPr="0054347C" w:rsidRDefault="004912EE" w:rsidP="008B7F27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4347C">
        <w:rPr>
          <w:b/>
          <w:bCs/>
        </w:rPr>
        <w:t xml:space="preserve">Stosowanie antybiotyków w chorobie COVID-19 jest uzasadnione wyłącznie u osób z przewlekłymi </w:t>
      </w:r>
      <w:r w:rsidR="0020204D" w:rsidRPr="0054347C">
        <w:rPr>
          <w:b/>
          <w:bCs/>
        </w:rPr>
        <w:t xml:space="preserve">chorobami zapalnymi z zakażeniem </w:t>
      </w:r>
      <w:r w:rsidRPr="0054347C">
        <w:rPr>
          <w:b/>
          <w:bCs/>
        </w:rPr>
        <w:t>(np. POChP), poddawanych immunosupresji lub z niedoborami odporności z innych przyczyn</w:t>
      </w:r>
      <w:r w:rsidR="00F9520F" w:rsidRPr="0054347C">
        <w:rPr>
          <w:b/>
          <w:bCs/>
        </w:rPr>
        <w:t>,</w:t>
      </w:r>
      <w:r w:rsidRPr="0054347C">
        <w:rPr>
          <w:b/>
          <w:bCs/>
        </w:rPr>
        <w:t xml:space="preserve"> oraz w razie przewlekającej się infekcji dolnych dróg oddechowych (&gt;14 dni) z cechami zakażenia bakteryjnego – np. pojawienie się ropnej plwociny.</w:t>
      </w:r>
    </w:p>
    <w:p w14:paraId="5786A103" w14:textId="619CAB44" w:rsidR="004912EE" w:rsidRPr="0054347C" w:rsidRDefault="004912EE" w:rsidP="008B7F27">
      <w:pPr>
        <w:ind w:left="360"/>
        <w:jc w:val="both"/>
      </w:pPr>
      <w:r w:rsidRPr="0054347C">
        <w:t>Zalecenie oparte na zasadach ogólnie przyjętych w chorobach infekcyjnych na podłożu wirusowym</w:t>
      </w:r>
      <w:r w:rsidR="00F9520F" w:rsidRPr="0054347C">
        <w:t>,</w:t>
      </w:r>
      <w:r w:rsidRPr="0054347C">
        <w:t xml:space="preserve"> w związku z nieskutecznością antybiotyków w zakażeniach wirusowych oraz w celu zapobiegania selekcji szczepów bakterii lekoopornych.  </w:t>
      </w:r>
    </w:p>
    <w:p w14:paraId="62DBD4CB" w14:textId="77777777" w:rsidR="004912EE" w:rsidRPr="0054347C" w:rsidRDefault="004912EE" w:rsidP="008B7F27">
      <w:pPr>
        <w:jc w:val="both"/>
      </w:pPr>
    </w:p>
    <w:p w14:paraId="7CEEC8E2" w14:textId="0389AD32" w:rsidR="004912EE" w:rsidRPr="0054347C" w:rsidRDefault="004912EE" w:rsidP="008B7F27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4347C">
        <w:rPr>
          <w:b/>
          <w:bCs/>
        </w:rPr>
        <w:t>Zaleca się stosowanie leków przeciwkaszlowych u chorych z nasilonym kaszlem (utrudniającym mówienie i sen). W ciężkich przypadkach można rozważyć stosowanie preparatów z zawartością kodeiny.</w:t>
      </w:r>
    </w:p>
    <w:p w14:paraId="7B711614" w14:textId="0B3EA7BA" w:rsidR="008B7F27" w:rsidRPr="0054347C" w:rsidRDefault="004912EE" w:rsidP="001D3280">
      <w:pPr>
        <w:ind w:left="360"/>
        <w:jc w:val="both"/>
      </w:pPr>
      <w:r w:rsidRPr="0054347C">
        <w:t>Zalecenie wydane przez NIH w związku z obserwacją, że kaszel jest częstym objawem pogarszającym wydolność oddechową oraz utrudniającym funkcjonowanie pacjentów z COVID-19.</w:t>
      </w:r>
    </w:p>
    <w:p w14:paraId="53BBDBDF" w14:textId="77777777" w:rsidR="004912EE" w:rsidRPr="0054347C" w:rsidRDefault="004912EE" w:rsidP="008B7F27">
      <w:pPr>
        <w:jc w:val="both"/>
      </w:pPr>
    </w:p>
    <w:p w14:paraId="2F952919" w14:textId="53AFD8B3" w:rsidR="004912EE" w:rsidRPr="0054347C" w:rsidRDefault="004912EE" w:rsidP="008B7F27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4347C">
        <w:rPr>
          <w:b/>
          <w:bCs/>
        </w:rPr>
        <w:t xml:space="preserve">Brak wiarygodnych danych dotyczących wpływu stosowania witaminy D na ryzyko zakażenia i przebieg choroby COVID-19. Ze względu na powszechny niedobór </w:t>
      </w:r>
      <w:proofErr w:type="spellStart"/>
      <w:r w:rsidRPr="0054347C">
        <w:rPr>
          <w:b/>
          <w:bCs/>
        </w:rPr>
        <w:t>wit</w:t>
      </w:r>
      <w:proofErr w:type="spellEnd"/>
      <w:r w:rsidRPr="0054347C">
        <w:rPr>
          <w:b/>
          <w:bCs/>
        </w:rPr>
        <w:t xml:space="preserve">. D w populacji – szczególnie w okresie jesiennym i zimowym – oraz niewielkie ryzyko powikłań </w:t>
      </w:r>
      <w:r w:rsidR="00F57567" w:rsidRPr="0054347C">
        <w:rPr>
          <w:b/>
          <w:bCs/>
        </w:rPr>
        <w:t>zaleca się</w:t>
      </w:r>
      <w:r w:rsidRPr="0054347C">
        <w:rPr>
          <w:b/>
          <w:bCs/>
        </w:rPr>
        <w:t xml:space="preserve"> stosowanie </w:t>
      </w:r>
      <w:proofErr w:type="spellStart"/>
      <w:r w:rsidRPr="0054347C">
        <w:rPr>
          <w:b/>
          <w:bCs/>
        </w:rPr>
        <w:t>suplementacyjnej</w:t>
      </w:r>
      <w:proofErr w:type="spellEnd"/>
      <w:r w:rsidRPr="0054347C">
        <w:rPr>
          <w:b/>
          <w:bCs/>
        </w:rPr>
        <w:t xml:space="preserve"> dawki </w:t>
      </w:r>
      <w:proofErr w:type="spellStart"/>
      <w:r w:rsidRPr="0054347C">
        <w:rPr>
          <w:b/>
          <w:bCs/>
        </w:rPr>
        <w:t>wit</w:t>
      </w:r>
      <w:proofErr w:type="spellEnd"/>
      <w:r w:rsidRPr="0054347C">
        <w:rPr>
          <w:b/>
          <w:bCs/>
        </w:rPr>
        <w:t xml:space="preserve">. D do 2000 IU dziennie u </w:t>
      </w:r>
      <w:r w:rsidR="00F57567" w:rsidRPr="0054347C">
        <w:rPr>
          <w:b/>
          <w:bCs/>
        </w:rPr>
        <w:t>dorosł</w:t>
      </w:r>
      <w:r w:rsidR="00016209" w:rsidRPr="0054347C">
        <w:rPr>
          <w:b/>
          <w:bCs/>
        </w:rPr>
        <w:t>ych (do 4000 IU u osób powyżej 75 roku życia), zgodnie z zaleceniami suplementacji tej witaminy w populacji polskiej.</w:t>
      </w:r>
    </w:p>
    <w:p w14:paraId="7B83535F" w14:textId="1BA0C029" w:rsidR="00016209" w:rsidRPr="0054347C" w:rsidRDefault="004912EE" w:rsidP="00794EC7">
      <w:pPr>
        <w:ind w:left="360"/>
        <w:jc w:val="both"/>
      </w:pPr>
      <w:r w:rsidRPr="0054347C">
        <w:t xml:space="preserve">Zalecenie </w:t>
      </w:r>
      <w:proofErr w:type="spellStart"/>
      <w:r w:rsidRPr="0054347C">
        <w:t>AOTMiT</w:t>
      </w:r>
      <w:proofErr w:type="spellEnd"/>
      <w:r w:rsidR="00794EC7" w:rsidRPr="0054347C">
        <w:t xml:space="preserve"> wskazują na </w:t>
      </w:r>
      <w:r w:rsidRPr="0054347C">
        <w:t>ryzyk</w:t>
      </w:r>
      <w:r w:rsidR="00794EC7" w:rsidRPr="0054347C">
        <w:t>o</w:t>
      </w:r>
      <w:r w:rsidRPr="0054347C">
        <w:t xml:space="preserve"> cięższego przebiegu choroby u pacjentów z niedoborami witaminy D, przy jednoczesnym małym ryzyku związanym ze stosowaniem tego preparatu.</w:t>
      </w:r>
      <w:r w:rsidR="00794EC7" w:rsidRPr="0054347C">
        <w:t xml:space="preserve"> </w:t>
      </w:r>
      <w:bookmarkStart w:id="0" w:name="_Hlk61765432"/>
      <w:r w:rsidR="00016209" w:rsidRPr="0054347C">
        <w:t>Zasady suplementacji i leczenia witaminą D – nowelizacja 2018 r.</w:t>
      </w:r>
      <w:r w:rsidR="00794EC7" w:rsidRPr="0054347C">
        <w:t xml:space="preserve"> jednoznacznie wskazują na konieczność suplementacji tej witaminy w całej populacji polskiej, przez większość roku. Jednocześnie ostatnie dane opublikowane w </w:t>
      </w:r>
      <w:r w:rsidR="00794EC7" w:rsidRPr="0054347C">
        <w:rPr>
          <w:i/>
          <w:iCs/>
        </w:rPr>
        <w:t xml:space="preserve">The Lancet </w:t>
      </w:r>
      <w:proofErr w:type="spellStart"/>
      <w:r w:rsidR="00794EC7" w:rsidRPr="0054347C">
        <w:rPr>
          <w:i/>
          <w:iCs/>
        </w:rPr>
        <w:t>Diabetes&amp;Endocrinology</w:t>
      </w:r>
      <w:proofErr w:type="spellEnd"/>
      <w:r w:rsidR="00794EC7" w:rsidRPr="0054347C">
        <w:t xml:space="preserve"> wskazują na brak istotnego wpływu podawania witaminy D na przebieg ostrych infekcji dróg oddechowych.</w:t>
      </w:r>
    </w:p>
    <w:bookmarkEnd w:id="0"/>
    <w:p w14:paraId="77BC88D4" w14:textId="77777777" w:rsidR="004912EE" w:rsidRPr="0054347C" w:rsidRDefault="004912EE" w:rsidP="00F57567">
      <w:pPr>
        <w:ind w:left="360"/>
        <w:jc w:val="both"/>
      </w:pPr>
    </w:p>
    <w:p w14:paraId="48E6479C" w14:textId="5EEC7ADE" w:rsidR="004912EE" w:rsidRPr="0054347C" w:rsidRDefault="004912EE" w:rsidP="008B7F27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4347C">
        <w:rPr>
          <w:b/>
          <w:bCs/>
        </w:rPr>
        <w:t>Brak wiarygodnych danych dotyczących skuteczności innych leków i suplementów diety w leczeniu COVID-19</w:t>
      </w:r>
      <w:r w:rsidR="008B7F27" w:rsidRPr="0054347C">
        <w:rPr>
          <w:b/>
          <w:bCs/>
        </w:rPr>
        <w:t>,</w:t>
      </w:r>
      <w:r w:rsidRPr="0054347C">
        <w:rPr>
          <w:b/>
          <w:bCs/>
        </w:rPr>
        <w:t xml:space="preserve"> w tym witaminy C i cynku.</w:t>
      </w:r>
    </w:p>
    <w:p w14:paraId="4555F840" w14:textId="77777777" w:rsidR="004912EE" w:rsidRPr="0054347C" w:rsidRDefault="004912EE" w:rsidP="008B7F27">
      <w:pPr>
        <w:ind w:left="360"/>
        <w:jc w:val="both"/>
      </w:pPr>
      <w:r w:rsidRPr="0054347C">
        <w:t xml:space="preserve">Wyniki dotychczasowych badań nie uzasadniają stosowania witaminy C, ani cynku u chorych z ciężką sepsą. Dotychczas brak danych dotyczących korzyści ze stosowania tych preparatów u chorych z COVID-19. </w:t>
      </w:r>
    </w:p>
    <w:p w14:paraId="0E217B28" w14:textId="77777777" w:rsidR="004912EE" w:rsidRPr="0054347C" w:rsidRDefault="004912EE" w:rsidP="008B7F27">
      <w:pPr>
        <w:jc w:val="both"/>
      </w:pPr>
    </w:p>
    <w:p w14:paraId="4C5F3B45" w14:textId="6E491A2F" w:rsidR="004912EE" w:rsidRPr="0054347C" w:rsidRDefault="004912EE" w:rsidP="008B7F27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4347C">
        <w:rPr>
          <w:b/>
          <w:bCs/>
        </w:rPr>
        <w:t>Zaleca się regularne pomiary ciśnienia tętniczego u chorych na COVID-19 w wieku &gt;65 lat oraz u wszystkich leczonych z powodu nadciśnienia tętniczego i niewydolności serca.</w:t>
      </w:r>
    </w:p>
    <w:p w14:paraId="7C719B55" w14:textId="77777777" w:rsidR="004912EE" w:rsidRPr="0054347C" w:rsidRDefault="004912EE" w:rsidP="008B7F27">
      <w:pPr>
        <w:ind w:left="360"/>
        <w:jc w:val="both"/>
      </w:pPr>
      <w:r w:rsidRPr="0054347C">
        <w:t>Zalecenie oparte na ogólnych zasadach postępowania u chorych z nadciśnieniem tętniczym oraz niewydolnością serca, szczególnie z współistniejącą chorobą infekcyjną.</w:t>
      </w:r>
    </w:p>
    <w:p w14:paraId="2D6100D8" w14:textId="77777777" w:rsidR="004912EE" w:rsidRPr="0054347C" w:rsidRDefault="004912EE" w:rsidP="008B7F27">
      <w:pPr>
        <w:jc w:val="both"/>
      </w:pPr>
    </w:p>
    <w:p w14:paraId="6C5E5EA2" w14:textId="3EE11456" w:rsidR="004912EE" w:rsidRPr="0054347C" w:rsidRDefault="008C1607" w:rsidP="008B7F27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4347C">
        <w:rPr>
          <w:b/>
          <w:bCs/>
        </w:rPr>
        <w:t>Z</w:t>
      </w:r>
      <w:r w:rsidR="004912EE" w:rsidRPr="0054347C">
        <w:rPr>
          <w:b/>
          <w:bCs/>
        </w:rPr>
        <w:t xml:space="preserve">aleca się monitorowanie saturacji krwi tętniczej tlenem za pomocą </w:t>
      </w:r>
      <w:proofErr w:type="spellStart"/>
      <w:r w:rsidR="004912EE" w:rsidRPr="0054347C">
        <w:rPr>
          <w:b/>
          <w:bCs/>
        </w:rPr>
        <w:t>pulsoksymetru</w:t>
      </w:r>
      <w:proofErr w:type="spellEnd"/>
      <w:r w:rsidR="004912EE" w:rsidRPr="0054347C">
        <w:rPr>
          <w:b/>
          <w:bCs/>
        </w:rPr>
        <w:t xml:space="preserve"> u wszystkich pacjentów z dusznością spoczynkową, a szczególnie u osób w wieku &gt;6</w:t>
      </w:r>
      <w:r w:rsidR="0020204D" w:rsidRPr="0054347C">
        <w:rPr>
          <w:b/>
          <w:bCs/>
        </w:rPr>
        <w:t>0</w:t>
      </w:r>
      <w:r w:rsidR="004912EE" w:rsidRPr="0054347C">
        <w:rPr>
          <w:b/>
          <w:bCs/>
        </w:rPr>
        <w:t xml:space="preserve"> lat.</w:t>
      </w:r>
    </w:p>
    <w:p w14:paraId="7B614B7C" w14:textId="1A3AD3D4" w:rsidR="004912EE" w:rsidRPr="0054347C" w:rsidRDefault="004912EE" w:rsidP="008B7F27">
      <w:pPr>
        <w:ind w:left="360"/>
        <w:jc w:val="both"/>
        <w:rPr>
          <w:rStyle w:val="Hipercze"/>
        </w:rPr>
      </w:pPr>
      <w:r w:rsidRPr="0054347C">
        <w:t>W związku z częstym występowaniem u chorych na COVID-19 niewydolności oddechowej z głęboką hipoksemią bez subiektywnego uczucia duszności</w:t>
      </w:r>
      <w:r w:rsidR="00F57567" w:rsidRPr="0054347C">
        <w:t>,</w:t>
      </w:r>
      <w:r w:rsidRPr="0054347C">
        <w:t xml:space="preserve"> uzasadnione jest monitorowani</w:t>
      </w:r>
      <w:r w:rsidR="00CA1380" w:rsidRPr="0054347C">
        <w:t>e</w:t>
      </w:r>
      <w:r w:rsidRPr="0054347C">
        <w:t xml:space="preserve"> saturacji, szczególnie u pacjentów w podeszłym wieku i/lub osób obciążonych schorzeniami towarzyszącymi.</w:t>
      </w:r>
      <w:r w:rsidR="00794EC7" w:rsidRPr="0054347C">
        <w:t xml:space="preserve"> Optymalnym rozwiązaniem jest włączenie pacjenta do </w:t>
      </w:r>
      <w:r w:rsidR="00546CD0" w:rsidRPr="0054347C">
        <w:t xml:space="preserve">programu Domowej Opieki Medycznej (system </w:t>
      </w:r>
      <w:proofErr w:type="spellStart"/>
      <w:r w:rsidR="00546CD0" w:rsidRPr="0054347C">
        <w:t>PulsoCare</w:t>
      </w:r>
      <w:proofErr w:type="spellEnd"/>
      <w:r w:rsidR="00546CD0" w:rsidRPr="0054347C">
        <w:t xml:space="preserve">), w którym będzie stale monitorowany - </w:t>
      </w:r>
      <w:hyperlink r:id="rId7" w:history="1">
        <w:r w:rsidR="00546CD0" w:rsidRPr="0054347C">
          <w:rPr>
            <w:rStyle w:val="Hipercze"/>
          </w:rPr>
          <w:t>https://www.gov.pl/web/domowaopiekamedyczna</w:t>
        </w:r>
      </w:hyperlink>
    </w:p>
    <w:p w14:paraId="446F5173" w14:textId="7D94926C" w:rsidR="001A1F00" w:rsidRPr="0054347C" w:rsidRDefault="001A1F00" w:rsidP="008B7F27">
      <w:pPr>
        <w:ind w:left="360"/>
        <w:jc w:val="both"/>
      </w:pPr>
    </w:p>
    <w:p w14:paraId="5D3495B1" w14:textId="45B7A055" w:rsidR="001A1F00" w:rsidRPr="0054347C" w:rsidRDefault="00CA1380" w:rsidP="00A53DF0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4347C">
        <w:rPr>
          <w:b/>
          <w:bCs/>
        </w:rPr>
        <w:t>Zaleca się</w:t>
      </w:r>
      <w:r w:rsidR="001A1F00" w:rsidRPr="0054347C">
        <w:rPr>
          <w:b/>
          <w:bCs/>
        </w:rPr>
        <w:t xml:space="preserve"> skierowani</w:t>
      </w:r>
      <w:r w:rsidRPr="0054347C">
        <w:rPr>
          <w:b/>
          <w:bCs/>
        </w:rPr>
        <w:t>e</w:t>
      </w:r>
      <w:r w:rsidR="001A1F00" w:rsidRPr="0054347C">
        <w:rPr>
          <w:b/>
          <w:bCs/>
        </w:rPr>
        <w:t xml:space="preserve"> pacjenta do szpitala</w:t>
      </w:r>
      <w:r w:rsidRPr="0054347C">
        <w:rPr>
          <w:b/>
          <w:bCs/>
        </w:rPr>
        <w:t>, w razie wystąpienia następujących okoliczności:</w:t>
      </w:r>
    </w:p>
    <w:p w14:paraId="111D270C" w14:textId="0DFDA141" w:rsidR="001A1F00" w:rsidRPr="0054347C" w:rsidRDefault="001A1F00" w:rsidP="00A53DF0">
      <w:pPr>
        <w:pStyle w:val="Akapitzlist"/>
        <w:numPr>
          <w:ilvl w:val="0"/>
          <w:numId w:val="6"/>
        </w:numPr>
        <w:jc w:val="both"/>
      </w:pPr>
      <w:r w:rsidRPr="0054347C">
        <w:t>Duszności występującej w spoczynku i utrudniającej mówienie, częstości oddechów powyżej 30 na minutę</w:t>
      </w:r>
    </w:p>
    <w:p w14:paraId="266FB5ED" w14:textId="7CF32376" w:rsidR="001A1F00" w:rsidRPr="0054347C" w:rsidRDefault="001A1F00" w:rsidP="00A53DF0">
      <w:pPr>
        <w:pStyle w:val="Akapitzlist"/>
        <w:numPr>
          <w:ilvl w:val="0"/>
          <w:numId w:val="6"/>
        </w:numPr>
        <w:jc w:val="both"/>
        <w:rPr>
          <w:b/>
          <w:bCs/>
        </w:rPr>
      </w:pPr>
      <w:r w:rsidRPr="0054347C">
        <w:t>Sinicy lub</w:t>
      </w:r>
      <w:r w:rsidR="00E70D99" w:rsidRPr="0054347C">
        <w:t xml:space="preserve"> hipoksemii –</w:t>
      </w:r>
      <w:r w:rsidRPr="0054347C">
        <w:t xml:space="preserve"> saturacji krwi tętniczej tlenem zmierzonej </w:t>
      </w:r>
      <w:proofErr w:type="spellStart"/>
      <w:r w:rsidRPr="0054347C">
        <w:t>pulsoksymetrem</w:t>
      </w:r>
      <w:proofErr w:type="spellEnd"/>
      <w:r w:rsidRPr="0054347C">
        <w:t xml:space="preserve"> &lt;9</w:t>
      </w:r>
      <w:r w:rsidR="0020204D" w:rsidRPr="0054347C">
        <w:t>4</w:t>
      </w:r>
      <w:r w:rsidRPr="0054347C">
        <w:t xml:space="preserve">% (w przypadku chorych z przewlekłą niewydolnością oddechową – np. POChP, zwłóknienie płuc </w:t>
      </w:r>
      <w:r w:rsidR="00CA1380" w:rsidRPr="0054347C">
        <w:t xml:space="preserve">– </w:t>
      </w:r>
      <w:r w:rsidRPr="0054347C">
        <w:t>SpO</w:t>
      </w:r>
      <w:r w:rsidRPr="0054347C">
        <w:rPr>
          <w:vertAlign w:val="subscript"/>
        </w:rPr>
        <w:t>2</w:t>
      </w:r>
      <w:r w:rsidRPr="0054347C">
        <w:t xml:space="preserve"> &lt;88%)</w:t>
      </w:r>
      <w:r w:rsidR="00CA1380" w:rsidRPr="0054347C">
        <w:t xml:space="preserve">. </w:t>
      </w:r>
      <w:r w:rsidR="00CA1380" w:rsidRPr="0054347C">
        <w:rPr>
          <w:b/>
          <w:bCs/>
        </w:rPr>
        <w:t xml:space="preserve">Hipoksemia jest wskazaniem do hospitalizacji niezależnie od subiektywnego uczucia duszności. </w:t>
      </w:r>
    </w:p>
    <w:p w14:paraId="26A31247" w14:textId="7D2B4B47" w:rsidR="001A1F00" w:rsidRPr="0054347C" w:rsidRDefault="001A1F00" w:rsidP="00A53DF0">
      <w:pPr>
        <w:pStyle w:val="Akapitzlist"/>
        <w:numPr>
          <w:ilvl w:val="0"/>
          <w:numId w:val="6"/>
        </w:numPr>
        <w:jc w:val="both"/>
      </w:pPr>
      <w:r w:rsidRPr="0054347C">
        <w:t>Gorączki powyżej 39 stopni Celsjusza - szczególnie utrzymującej się przez ponad dobę</w:t>
      </w:r>
      <w:r w:rsidR="0020204D" w:rsidRPr="0054347C">
        <w:t xml:space="preserve"> i powodującej bardzo znaczne osłabienie pacjenta</w:t>
      </w:r>
      <w:r w:rsidR="00354CF2" w:rsidRPr="0054347C">
        <w:t xml:space="preserve"> w wieku średnim lub podeszłym</w:t>
      </w:r>
      <w:r w:rsidR="0020204D" w:rsidRPr="0054347C">
        <w:t>.</w:t>
      </w:r>
    </w:p>
    <w:p w14:paraId="5900E4B7" w14:textId="77777777" w:rsidR="001A1F00" w:rsidRPr="0054347C" w:rsidRDefault="001A1F00" w:rsidP="00A53DF0">
      <w:pPr>
        <w:pStyle w:val="Akapitzlist"/>
        <w:numPr>
          <w:ilvl w:val="0"/>
          <w:numId w:val="6"/>
        </w:numPr>
        <w:jc w:val="both"/>
      </w:pPr>
      <w:r w:rsidRPr="0054347C">
        <w:t>Kaszlu utrudniającego swobodne oddychanie i mówienie</w:t>
      </w:r>
    </w:p>
    <w:p w14:paraId="12531FCB" w14:textId="77777777" w:rsidR="001A1F00" w:rsidRPr="0054347C" w:rsidRDefault="001A1F00" w:rsidP="00A53DF0">
      <w:pPr>
        <w:pStyle w:val="Akapitzlist"/>
        <w:numPr>
          <w:ilvl w:val="0"/>
          <w:numId w:val="6"/>
        </w:numPr>
        <w:jc w:val="both"/>
      </w:pPr>
      <w:r w:rsidRPr="0054347C">
        <w:t>Bólu w klatce piersiowej</w:t>
      </w:r>
    </w:p>
    <w:p w14:paraId="19F76406" w14:textId="77777777" w:rsidR="001A1F00" w:rsidRPr="0054347C" w:rsidRDefault="001A1F00" w:rsidP="00A53DF0">
      <w:pPr>
        <w:pStyle w:val="Akapitzlist"/>
        <w:numPr>
          <w:ilvl w:val="0"/>
          <w:numId w:val="6"/>
        </w:numPr>
        <w:jc w:val="both"/>
      </w:pPr>
      <w:r w:rsidRPr="0054347C">
        <w:t>Spadku ciśnienia tętniczego krwi poniżej 90/60 mmHg (jeśli chory zazwyczaj ma wyższe)</w:t>
      </w:r>
    </w:p>
    <w:p w14:paraId="42C4F346" w14:textId="77777777" w:rsidR="001A1F00" w:rsidRPr="0054347C" w:rsidRDefault="001A1F00" w:rsidP="00A53DF0">
      <w:pPr>
        <w:pStyle w:val="Akapitzlist"/>
        <w:numPr>
          <w:ilvl w:val="0"/>
          <w:numId w:val="6"/>
        </w:numPr>
        <w:jc w:val="both"/>
      </w:pPr>
      <w:r w:rsidRPr="0054347C">
        <w:t>Zmian świadomości i zachowania – trudność w obudzeniu chorego, niepokojąca zmiana zachowania i sposobu mówienia, utrudniony lub niemożliwy kontakt z chorym, utrata przytomności</w:t>
      </w:r>
    </w:p>
    <w:p w14:paraId="3F952C47" w14:textId="5BD5F398" w:rsidR="004912EE" w:rsidRPr="0054347C" w:rsidRDefault="004912EE" w:rsidP="008B7F27">
      <w:pPr>
        <w:pStyle w:val="Akapitzlist"/>
        <w:jc w:val="both"/>
      </w:pPr>
    </w:p>
    <w:p w14:paraId="0F8E3BCD" w14:textId="77777777" w:rsidR="004912EE" w:rsidRPr="0054347C" w:rsidRDefault="004912EE" w:rsidP="008B7F27">
      <w:pPr>
        <w:jc w:val="both"/>
      </w:pPr>
    </w:p>
    <w:p w14:paraId="5E98CDE9" w14:textId="77777777" w:rsidR="004912EE" w:rsidRPr="0054347C" w:rsidRDefault="004912EE" w:rsidP="008B7F27">
      <w:pPr>
        <w:jc w:val="both"/>
        <w:rPr>
          <w:sz w:val="22"/>
          <w:szCs w:val="22"/>
        </w:rPr>
      </w:pPr>
      <w:r w:rsidRPr="0054347C">
        <w:rPr>
          <w:sz w:val="22"/>
          <w:szCs w:val="22"/>
        </w:rPr>
        <w:t>Źródła danych:</w:t>
      </w:r>
    </w:p>
    <w:p w14:paraId="40931A23" w14:textId="77777777" w:rsidR="00016209" w:rsidRPr="0054347C" w:rsidRDefault="004912EE" w:rsidP="00BD50F1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4347C">
        <w:rPr>
          <w:sz w:val="22"/>
          <w:szCs w:val="22"/>
        </w:rPr>
        <w:t xml:space="preserve">Agencja Oceny Technologii Medycznych i Taryfikacji: </w:t>
      </w:r>
      <w:hyperlink r:id="rId8" w:history="1">
        <w:r w:rsidRPr="0054347C">
          <w:rPr>
            <w:sz w:val="22"/>
            <w:szCs w:val="22"/>
          </w:rPr>
          <w:t>Farmakoterapia COVID-19 – aktualizacja Zaleceń (wersja 2.0, 27 listopada 2020 r.)</w:t>
        </w:r>
      </w:hyperlink>
    </w:p>
    <w:p w14:paraId="1BEEE3B2" w14:textId="1B61F487" w:rsidR="004912EE" w:rsidRPr="0054347C" w:rsidRDefault="00C53C67" w:rsidP="00016209">
      <w:pPr>
        <w:pStyle w:val="Akapitzlist"/>
        <w:ind w:left="360"/>
        <w:jc w:val="both"/>
        <w:rPr>
          <w:sz w:val="22"/>
          <w:szCs w:val="22"/>
        </w:rPr>
      </w:pPr>
      <w:hyperlink r:id="rId9" w:history="1">
        <w:r w:rsidR="00016209" w:rsidRPr="0054347C">
          <w:rPr>
            <w:rStyle w:val="Hipercze"/>
            <w:sz w:val="22"/>
            <w:szCs w:val="22"/>
          </w:rPr>
          <w:t>https://www.aotm.gov.pl/media/2020/12/Farmakoterapia-COVID-19-Aktualizacja-wersja-2.0-27-listopada-2020-r._new_aktualna.pdf</w:t>
        </w:r>
      </w:hyperlink>
    </w:p>
    <w:p w14:paraId="25DACB38" w14:textId="3E39FC0F" w:rsidR="0054347C" w:rsidRPr="0054347C" w:rsidRDefault="004912EE" w:rsidP="0054347C">
      <w:pPr>
        <w:pStyle w:val="Akapitzlist"/>
        <w:numPr>
          <w:ilvl w:val="0"/>
          <w:numId w:val="3"/>
        </w:numPr>
        <w:jc w:val="both"/>
        <w:rPr>
          <w:sz w:val="22"/>
          <w:szCs w:val="22"/>
          <w:lang w:val="en-US"/>
        </w:rPr>
      </w:pPr>
      <w:r w:rsidRPr="0054347C">
        <w:rPr>
          <w:sz w:val="22"/>
          <w:szCs w:val="22"/>
          <w:lang w:val="en-US"/>
        </w:rPr>
        <w:t>National Institutes of Health: Therapeutic Management of Patients with COVID-19</w:t>
      </w:r>
      <w:r w:rsidR="0054347C" w:rsidRPr="0054347C">
        <w:rPr>
          <w:sz w:val="22"/>
          <w:szCs w:val="22"/>
          <w:lang w:val="en-US"/>
        </w:rPr>
        <w:t xml:space="preserve"> </w:t>
      </w:r>
      <w:hyperlink r:id="rId10" w:history="1">
        <w:r w:rsidR="0054347C" w:rsidRPr="0054347C">
          <w:rPr>
            <w:rStyle w:val="Hipercze"/>
            <w:sz w:val="22"/>
            <w:szCs w:val="22"/>
            <w:lang w:val="en-US"/>
          </w:rPr>
          <w:t>https://www.covid19treatmentguidelines.nih.gov/therapeutic-management/</w:t>
        </w:r>
      </w:hyperlink>
      <w:r w:rsidR="0054347C" w:rsidRPr="0054347C">
        <w:rPr>
          <w:sz w:val="22"/>
          <w:szCs w:val="22"/>
          <w:lang w:val="en-US"/>
        </w:rPr>
        <w:t xml:space="preserve"> </w:t>
      </w:r>
    </w:p>
    <w:p w14:paraId="063C8F8C" w14:textId="5F20F04F" w:rsidR="00016209" w:rsidRPr="0054347C" w:rsidRDefault="004912EE" w:rsidP="00016209">
      <w:pPr>
        <w:pStyle w:val="Akapitzlist"/>
        <w:numPr>
          <w:ilvl w:val="0"/>
          <w:numId w:val="3"/>
        </w:numPr>
        <w:jc w:val="both"/>
        <w:rPr>
          <w:rStyle w:val="Hipercze"/>
          <w:sz w:val="22"/>
          <w:szCs w:val="22"/>
        </w:rPr>
      </w:pPr>
      <w:r w:rsidRPr="0054347C">
        <w:rPr>
          <w:sz w:val="22"/>
          <w:szCs w:val="22"/>
          <w:lang w:val="en-US"/>
        </w:rPr>
        <w:t>UpToDate Coronavirus disease 2019 (COVID-19): Outpatient evaluation and management in adults</w:t>
      </w:r>
      <w:r w:rsidR="00016209" w:rsidRPr="0054347C">
        <w:rPr>
          <w:sz w:val="22"/>
          <w:szCs w:val="22"/>
          <w:lang w:val="en-US"/>
        </w:rPr>
        <w:t xml:space="preserve">. </w:t>
      </w:r>
      <w:hyperlink r:id="rId11" w:history="1">
        <w:r w:rsidRPr="0054347C">
          <w:rPr>
            <w:rStyle w:val="Hipercze"/>
            <w:sz w:val="22"/>
            <w:szCs w:val="22"/>
          </w:rPr>
          <w:t>https://www.uptodate.com/contents/coronavirus-disease-2019-covid-19-outpatient-evaluation-and-management-in-adults</w:t>
        </w:r>
      </w:hyperlink>
    </w:p>
    <w:p w14:paraId="61D0B54E" w14:textId="3C953B80" w:rsidR="00016209" w:rsidRPr="0054347C" w:rsidRDefault="00203B44" w:rsidP="0001620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4347C">
        <w:rPr>
          <w:sz w:val="22"/>
          <w:szCs w:val="22"/>
        </w:rPr>
        <w:t xml:space="preserve">Rusińska A. i </w:t>
      </w:r>
      <w:proofErr w:type="spellStart"/>
      <w:r w:rsidRPr="0054347C">
        <w:rPr>
          <w:sz w:val="22"/>
          <w:szCs w:val="22"/>
        </w:rPr>
        <w:t>wsp</w:t>
      </w:r>
      <w:proofErr w:type="spellEnd"/>
      <w:r w:rsidRPr="0054347C">
        <w:rPr>
          <w:sz w:val="22"/>
          <w:szCs w:val="22"/>
        </w:rPr>
        <w:t xml:space="preserve">. </w:t>
      </w:r>
      <w:r w:rsidR="00016209" w:rsidRPr="0054347C">
        <w:rPr>
          <w:sz w:val="22"/>
          <w:szCs w:val="22"/>
        </w:rPr>
        <w:t>Zasady suplementacji i leczenia witaminą D – nowelizacja 2018 r.</w:t>
      </w:r>
    </w:p>
    <w:p w14:paraId="150ACAA1" w14:textId="552B3A45" w:rsidR="00CA1380" w:rsidRPr="0054347C" w:rsidRDefault="00016209" w:rsidP="00CA1380">
      <w:pPr>
        <w:pStyle w:val="Akapitzlist"/>
        <w:ind w:left="360"/>
        <w:jc w:val="both"/>
        <w:rPr>
          <w:sz w:val="22"/>
          <w:szCs w:val="22"/>
        </w:rPr>
      </w:pPr>
      <w:r w:rsidRPr="0054347C">
        <w:rPr>
          <w:sz w:val="22"/>
          <w:szCs w:val="22"/>
        </w:rPr>
        <w:t xml:space="preserve"> </w:t>
      </w:r>
      <w:hyperlink r:id="rId12" w:history="1">
        <w:r w:rsidRPr="0054347C">
          <w:rPr>
            <w:rStyle w:val="Hipercze"/>
            <w:sz w:val="22"/>
            <w:szCs w:val="22"/>
          </w:rPr>
          <w:t>http://mavipuro.pl/jourarch/PN2018001.pdf</w:t>
        </w:r>
      </w:hyperlink>
      <w:r w:rsidR="00203B44" w:rsidRPr="0054347C">
        <w:rPr>
          <w:sz w:val="22"/>
          <w:szCs w:val="22"/>
        </w:rPr>
        <w:t xml:space="preserve"> (dostęp 17.01.2021)</w:t>
      </w:r>
    </w:p>
    <w:p w14:paraId="76035409" w14:textId="783CDEB7" w:rsidR="00CA1380" w:rsidRPr="0054347C" w:rsidRDefault="00203B44" w:rsidP="00203B4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4347C">
        <w:rPr>
          <w:sz w:val="22"/>
          <w:szCs w:val="22"/>
          <w:lang w:val="en-US"/>
        </w:rPr>
        <w:t xml:space="preserve">Hai Pham et al. The effect of vitamin D supplementation on acute respiratory tract infection in older Australian adults: an analysis of data from the D-Health Trial. </w:t>
      </w:r>
      <w:hyperlink r:id="rId13" w:history="1">
        <w:r w:rsidRPr="0054347C">
          <w:rPr>
            <w:rStyle w:val="Hipercze"/>
            <w:sz w:val="22"/>
            <w:szCs w:val="22"/>
          </w:rPr>
          <w:t>https://www.thelancet.com/journals/landia/article/PIIS2213-8587(20)30380-6/fulltext</w:t>
        </w:r>
      </w:hyperlink>
      <w:r w:rsidRPr="0054347C">
        <w:rPr>
          <w:sz w:val="22"/>
          <w:szCs w:val="22"/>
        </w:rPr>
        <w:t xml:space="preserve"> (dostęp 17.01.2021)</w:t>
      </w:r>
    </w:p>
    <w:p w14:paraId="52390B57" w14:textId="30C57156" w:rsidR="004D508A" w:rsidRPr="0054347C" w:rsidRDefault="004D508A">
      <w:pPr>
        <w:pStyle w:val="Akapitzlist"/>
        <w:numPr>
          <w:ilvl w:val="0"/>
          <w:numId w:val="3"/>
        </w:numPr>
        <w:jc w:val="both"/>
        <w:rPr>
          <w:sz w:val="22"/>
          <w:szCs w:val="22"/>
          <w:lang w:val="en-US"/>
        </w:rPr>
      </w:pPr>
      <w:r w:rsidRPr="0054347C">
        <w:rPr>
          <w:sz w:val="22"/>
          <w:szCs w:val="22"/>
          <w:lang w:val="en-GB"/>
        </w:rPr>
        <w:t>Flisiak R, Parczewski M, Horban A, et al. Management of SARS</w:t>
      </w:r>
      <w:r w:rsidRPr="0054347C">
        <w:rPr>
          <w:rFonts w:ascii="Cambria Math" w:hAnsi="Cambria Math" w:cs="Cambria Math"/>
          <w:sz w:val="22"/>
          <w:szCs w:val="22"/>
          <w:lang w:val="en-GB"/>
        </w:rPr>
        <w:t>‑</w:t>
      </w:r>
      <w:r w:rsidRPr="0054347C">
        <w:rPr>
          <w:sz w:val="22"/>
          <w:szCs w:val="22"/>
          <w:lang w:val="en-GB"/>
        </w:rPr>
        <w:t>CoV</w:t>
      </w:r>
      <w:r w:rsidRPr="0054347C">
        <w:rPr>
          <w:rFonts w:ascii="Cambria Math" w:hAnsi="Cambria Math" w:cs="Cambria Math"/>
          <w:sz w:val="22"/>
          <w:szCs w:val="22"/>
          <w:lang w:val="en-GB"/>
        </w:rPr>
        <w:t>‑</w:t>
      </w:r>
      <w:r w:rsidRPr="0054347C">
        <w:rPr>
          <w:sz w:val="22"/>
          <w:szCs w:val="22"/>
          <w:lang w:val="en-GB"/>
        </w:rPr>
        <w:t xml:space="preserve">2 infection: recommendations of the Polish Association of Epidemiologists and Infectiologists. Annex no. 2 as of October 13, 2020. </w:t>
      </w:r>
      <w:r w:rsidRPr="0054347C">
        <w:rPr>
          <w:sz w:val="22"/>
          <w:szCs w:val="22"/>
          <w:lang w:val="en-US"/>
        </w:rPr>
        <w:t>Pol Arch Intern Med. 2020; 130: 915-918. doi:10.20452/pamw.15658</w:t>
      </w:r>
    </w:p>
    <w:p w14:paraId="5C7AD5A4" w14:textId="3640C1D5" w:rsidR="000F0DBE" w:rsidRPr="0054347C" w:rsidRDefault="000F0DBE" w:rsidP="000F0DBE">
      <w:pPr>
        <w:jc w:val="both"/>
        <w:rPr>
          <w:lang w:val="en-US"/>
        </w:rPr>
      </w:pPr>
    </w:p>
    <w:p w14:paraId="6D58DE8B" w14:textId="055E765B" w:rsidR="000F0DBE" w:rsidRPr="0054347C" w:rsidRDefault="000F0DBE" w:rsidP="000F0DBE">
      <w:pPr>
        <w:jc w:val="both"/>
        <w:rPr>
          <w:lang w:val="en-US"/>
        </w:rPr>
      </w:pPr>
    </w:p>
    <w:p w14:paraId="13EF3E47" w14:textId="3397C666" w:rsidR="000F0DBE" w:rsidRPr="0054347C" w:rsidRDefault="0054347C" w:rsidP="000F0DBE">
      <w:pPr>
        <w:jc w:val="both"/>
      </w:pPr>
      <w:r w:rsidRPr="0054347C">
        <w:t>Autorzy stanowiska:</w:t>
      </w:r>
    </w:p>
    <w:p w14:paraId="7566B739" w14:textId="6B27EEB9" w:rsidR="000F0DBE" w:rsidRPr="0054347C" w:rsidRDefault="0054347C" w:rsidP="000F0DBE">
      <w:pPr>
        <w:jc w:val="both"/>
      </w:pPr>
      <w:r>
        <w:t>K</w:t>
      </w:r>
      <w:r w:rsidR="00414728" w:rsidRPr="0054347C">
        <w:t>onsultant krajowy w dziedzinie medycyny rodzinnej - d</w:t>
      </w:r>
      <w:r w:rsidR="000F0DBE" w:rsidRPr="0054347C">
        <w:t>r hab. Agnieszka Mastalerz-Migas</w:t>
      </w:r>
    </w:p>
    <w:p w14:paraId="7B40F445" w14:textId="33D8C6A8" w:rsidR="00414728" w:rsidRPr="0054347C" w:rsidRDefault="0054347C" w:rsidP="000F0DBE">
      <w:pPr>
        <w:jc w:val="both"/>
        <w:rPr>
          <w:lang w:val="en-US"/>
        </w:rPr>
      </w:pPr>
      <w:r>
        <w:t>K</w:t>
      </w:r>
      <w:r w:rsidR="00414728" w:rsidRPr="0054347C">
        <w:t>onsultant krajowy w dziedzinie chorób zakaźnych</w:t>
      </w:r>
      <w:r w:rsidR="00F85B72">
        <w:t xml:space="preserve"> -</w:t>
      </w:r>
      <w:r w:rsidR="00414728" w:rsidRPr="0054347C">
        <w:t xml:space="preserve"> p</w:t>
      </w:r>
      <w:r w:rsidR="00E3686E" w:rsidRPr="0054347C">
        <w:t xml:space="preserve">rof. dr hab. </w:t>
      </w:r>
      <w:r w:rsidR="00E3686E" w:rsidRPr="0054347C">
        <w:rPr>
          <w:lang w:val="en-US"/>
        </w:rPr>
        <w:t xml:space="preserve">Andrzej Horban </w:t>
      </w:r>
    </w:p>
    <w:p w14:paraId="1CEBAE65" w14:textId="51511EC4" w:rsidR="000F0DBE" w:rsidRPr="0054347C" w:rsidRDefault="0054347C" w:rsidP="000F0DBE">
      <w:pPr>
        <w:jc w:val="both"/>
      </w:pPr>
      <w:r>
        <w:t>K</w:t>
      </w:r>
      <w:r w:rsidR="000F0DBE" w:rsidRPr="0054347C">
        <w:t>onsultant krajowy w dziedzinie anestezjologii i intensywnej terapii</w:t>
      </w:r>
      <w:r w:rsidR="00414728" w:rsidRPr="0054347C">
        <w:t xml:space="preserve"> - </w:t>
      </w:r>
      <w:r>
        <w:t>p</w:t>
      </w:r>
      <w:r w:rsidR="00414728" w:rsidRPr="0054347C">
        <w:t xml:space="preserve">rof. dr hab. Radosław </w:t>
      </w:r>
      <w:proofErr w:type="spellStart"/>
      <w:r w:rsidR="00414728" w:rsidRPr="0054347C">
        <w:t>Owczuk</w:t>
      </w:r>
      <w:proofErr w:type="spellEnd"/>
      <w:r w:rsidR="00414728" w:rsidRPr="0054347C">
        <w:t xml:space="preserve"> </w:t>
      </w:r>
    </w:p>
    <w:p w14:paraId="1B7CF629" w14:textId="5D3E8C31" w:rsidR="000F0DBE" w:rsidRPr="0054347C" w:rsidRDefault="00E3686E" w:rsidP="000F0DBE">
      <w:pPr>
        <w:jc w:val="both"/>
      </w:pPr>
      <w:r w:rsidRPr="0054347C">
        <w:t>Członkowie Rady Medycznej:</w:t>
      </w:r>
    </w:p>
    <w:p w14:paraId="43952BE9" w14:textId="0DC1337E" w:rsidR="00414728" w:rsidRPr="0054347C" w:rsidRDefault="00414728" w:rsidP="000F0DBE">
      <w:pPr>
        <w:jc w:val="both"/>
      </w:pPr>
      <w:r w:rsidRPr="0054347C">
        <w:t>Wyżej wymienieni oraz:</w:t>
      </w:r>
    </w:p>
    <w:p w14:paraId="20861F8C" w14:textId="77777777" w:rsidR="0054347C" w:rsidRPr="0054347C" w:rsidRDefault="0054347C" w:rsidP="0054347C">
      <w:pPr>
        <w:jc w:val="both"/>
      </w:pPr>
      <w:r w:rsidRPr="0054347C">
        <w:t xml:space="preserve">Prof. dr hab. Piotr </w:t>
      </w:r>
      <w:proofErr w:type="spellStart"/>
      <w:r w:rsidRPr="0054347C">
        <w:t>Czauderna</w:t>
      </w:r>
      <w:proofErr w:type="spellEnd"/>
    </w:p>
    <w:p w14:paraId="47A75D61" w14:textId="77777777" w:rsidR="0054347C" w:rsidRPr="0054347C" w:rsidRDefault="0054347C" w:rsidP="0054347C">
      <w:pPr>
        <w:jc w:val="both"/>
        <w:rPr>
          <w:lang w:val="en-US"/>
        </w:rPr>
      </w:pPr>
      <w:r w:rsidRPr="0054347C">
        <w:rPr>
          <w:lang w:val="en-US"/>
        </w:rPr>
        <w:t>Prof. dr hab. Robert Flisiak</w:t>
      </w:r>
    </w:p>
    <w:p w14:paraId="680D4608" w14:textId="77777777" w:rsidR="0054347C" w:rsidRPr="0054347C" w:rsidRDefault="0054347C" w:rsidP="0054347C">
      <w:pPr>
        <w:jc w:val="both"/>
      </w:pPr>
      <w:r w:rsidRPr="0054347C">
        <w:t>Prof. dr hab. Tomasz Laskus</w:t>
      </w:r>
    </w:p>
    <w:p w14:paraId="4DE5EE49" w14:textId="77777777" w:rsidR="0054347C" w:rsidRPr="0054347C" w:rsidRDefault="0054347C" w:rsidP="0054347C">
      <w:pPr>
        <w:jc w:val="both"/>
      </w:pPr>
      <w:r w:rsidRPr="0054347C">
        <w:t>Prof. dr hab. Bartosz Łoza</w:t>
      </w:r>
    </w:p>
    <w:p w14:paraId="2D2AF365" w14:textId="77777777" w:rsidR="0054347C" w:rsidRPr="0054347C" w:rsidRDefault="0054347C" w:rsidP="0054347C">
      <w:pPr>
        <w:jc w:val="both"/>
      </w:pPr>
      <w:r w:rsidRPr="0054347C">
        <w:t>Prof. dr hab. Magdalena Marczyńska</w:t>
      </w:r>
    </w:p>
    <w:p w14:paraId="2AE99060" w14:textId="77777777" w:rsidR="0054347C" w:rsidRPr="0054347C" w:rsidRDefault="0054347C" w:rsidP="0054347C">
      <w:pPr>
        <w:jc w:val="both"/>
      </w:pPr>
      <w:r w:rsidRPr="0054347C">
        <w:t>Dr hab. Iwona Paradowska-Stankiewicz</w:t>
      </w:r>
    </w:p>
    <w:p w14:paraId="10312C0A" w14:textId="32A5D191" w:rsidR="0054347C" w:rsidRPr="0054347C" w:rsidRDefault="0054347C" w:rsidP="0054347C">
      <w:pPr>
        <w:jc w:val="both"/>
      </w:pPr>
      <w:r w:rsidRPr="0054347C">
        <w:t>Prof. dr hab. Miłosz Parczewski</w:t>
      </w:r>
    </w:p>
    <w:p w14:paraId="3766305F" w14:textId="77777777" w:rsidR="0054347C" w:rsidRPr="0054347C" w:rsidRDefault="0054347C" w:rsidP="0054347C">
      <w:pPr>
        <w:jc w:val="both"/>
      </w:pPr>
      <w:r w:rsidRPr="0054347C">
        <w:t>Prof. dr hab. Małgorzata Pawłowska</w:t>
      </w:r>
    </w:p>
    <w:p w14:paraId="568C20D6" w14:textId="77777777" w:rsidR="0054347C" w:rsidRPr="0054347C" w:rsidRDefault="0054347C" w:rsidP="0054347C">
      <w:pPr>
        <w:jc w:val="both"/>
      </w:pPr>
      <w:r w:rsidRPr="0054347C">
        <w:t>Prof. dr hab. Anna Piekarska</w:t>
      </w:r>
    </w:p>
    <w:p w14:paraId="1C2CDEF3" w14:textId="77777777" w:rsidR="0054347C" w:rsidRPr="0054347C" w:rsidRDefault="0054347C" w:rsidP="0054347C">
      <w:pPr>
        <w:jc w:val="both"/>
      </w:pPr>
      <w:r w:rsidRPr="0054347C">
        <w:t xml:space="preserve">Prof. dr hab. Krzysztof </w:t>
      </w:r>
      <w:proofErr w:type="spellStart"/>
      <w:r w:rsidRPr="0054347C">
        <w:t>Pyrć</w:t>
      </w:r>
      <w:proofErr w:type="spellEnd"/>
    </w:p>
    <w:p w14:paraId="2FE2377F" w14:textId="77777777" w:rsidR="0054347C" w:rsidRPr="0054347C" w:rsidRDefault="0054347C" w:rsidP="0054347C">
      <w:pPr>
        <w:jc w:val="both"/>
        <w:rPr>
          <w:lang w:val="en-US"/>
        </w:rPr>
      </w:pPr>
      <w:r w:rsidRPr="0054347C">
        <w:rPr>
          <w:lang w:val="en-US"/>
        </w:rPr>
        <w:t>Prof. dr hab. Krzysztof Simon</w:t>
      </w:r>
    </w:p>
    <w:p w14:paraId="7455E389" w14:textId="676142E9" w:rsidR="00414728" w:rsidRPr="0054347C" w:rsidRDefault="00414728" w:rsidP="000F0DBE">
      <w:pPr>
        <w:jc w:val="both"/>
      </w:pPr>
      <w:r w:rsidRPr="0054347C">
        <w:t xml:space="preserve">Dr n. med. Konstanty </w:t>
      </w:r>
      <w:proofErr w:type="spellStart"/>
      <w:r w:rsidRPr="0054347C">
        <w:t>Szułdrzyński</w:t>
      </w:r>
      <w:proofErr w:type="spellEnd"/>
    </w:p>
    <w:p w14:paraId="037A6298" w14:textId="77777777" w:rsidR="0054347C" w:rsidRPr="0054347C" w:rsidRDefault="0054347C" w:rsidP="0054347C">
      <w:pPr>
        <w:jc w:val="both"/>
      </w:pPr>
      <w:r w:rsidRPr="0054347C">
        <w:t>Prof. dr hab. Krzysztof Tomasiewicz</w:t>
      </w:r>
    </w:p>
    <w:p w14:paraId="25A5F327" w14:textId="77777777" w:rsidR="0054347C" w:rsidRPr="0054347C" w:rsidRDefault="0054347C" w:rsidP="0054347C">
      <w:pPr>
        <w:jc w:val="both"/>
      </w:pPr>
      <w:r w:rsidRPr="0054347C">
        <w:t>Prof. dr hab. Jacek Wysocki</w:t>
      </w:r>
    </w:p>
    <w:p w14:paraId="4165FBF0" w14:textId="53875D62" w:rsidR="00E3686E" w:rsidRPr="0054347C" w:rsidRDefault="00E3686E" w:rsidP="000F0DBE">
      <w:pPr>
        <w:jc w:val="both"/>
      </w:pPr>
      <w:r w:rsidRPr="0054347C">
        <w:t>Dr n. med. Artur Zaczyński</w:t>
      </w:r>
    </w:p>
    <w:p w14:paraId="6817A67F" w14:textId="77777777" w:rsidR="000F0DBE" w:rsidRPr="0054347C" w:rsidRDefault="000F0DBE" w:rsidP="000F0DBE">
      <w:pPr>
        <w:jc w:val="both"/>
      </w:pPr>
    </w:p>
    <w:sectPr w:rsidR="000F0DBE" w:rsidRPr="0054347C">
      <w:footerReference w:type="even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2AD6E" w14:textId="77777777" w:rsidR="00BC2A38" w:rsidRDefault="00BC2A38" w:rsidP="00F86C00">
      <w:r>
        <w:separator/>
      </w:r>
    </w:p>
  </w:endnote>
  <w:endnote w:type="continuationSeparator" w:id="0">
    <w:p w14:paraId="35EE69B3" w14:textId="77777777" w:rsidR="00BC2A38" w:rsidRDefault="00BC2A38" w:rsidP="00F8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205465619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E65CC52" w14:textId="3D48D874" w:rsidR="00F86C00" w:rsidRDefault="00F86C00" w:rsidP="00FB296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46B2B38" w14:textId="77777777" w:rsidR="00F86C00" w:rsidRDefault="00F86C00" w:rsidP="00F86C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214415810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51FEA54" w14:textId="58D9C666" w:rsidR="00F86C00" w:rsidRDefault="00F86C00" w:rsidP="00FB296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4D508A"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2508292A" w14:textId="77777777" w:rsidR="00F86C00" w:rsidRDefault="00F86C00" w:rsidP="00F86C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95805" w14:textId="77777777" w:rsidR="00BC2A38" w:rsidRDefault="00BC2A38" w:rsidP="00F86C00">
      <w:r>
        <w:separator/>
      </w:r>
    </w:p>
  </w:footnote>
  <w:footnote w:type="continuationSeparator" w:id="0">
    <w:p w14:paraId="562A9526" w14:textId="77777777" w:rsidR="00BC2A38" w:rsidRDefault="00BC2A38" w:rsidP="00F86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50533"/>
    <w:multiLevelType w:val="hybridMultilevel"/>
    <w:tmpl w:val="03EA9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07E8A"/>
    <w:multiLevelType w:val="hybridMultilevel"/>
    <w:tmpl w:val="20A011BE"/>
    <w:lvl w:ilvl="0" w:tplc="13029E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F797A"/>
    <w:multiLevelType w:val="hybridMultilevel"/>
    <w:tmpl w:val="12FEEC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E217AC"/>
    <w:multiLevelType w:val="hybridMultilevel"/>
    <w:tmpl w:val="C4BAC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DD0C2F"/>
    <w:multiLevelType w:val="hybridMultilevel"/>
    <w:tmpl w:val="10608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C62B4"/>
    <w:multiLevelType w:val="hybridMultilevel"/>
    <w:tmpl w:val="D5968E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2EE"/>
    <w:rsid w:val="00016209"/>
    <w:rsid w:val="000F0DBE"/>
    <w:rsid w:val="00186632"/>
    <w:rsid w:val="001A1F00"/>
    <w:rsid w:val="001D3280"/>
    <w:rsid w:val="0020204D"/>
    <w:rsid w:val="00203B44"/>
    <w:rsid w:val="00354CF2"/>
    <w:rsid w:val="00373F2E"/>
    <w:rsid w:val="003C35A9"/>
    <w:rsid w:val="00414728"/>
    <w:rsid w:val="00465E40"/>
    <w:rsid w:val="004912EE"/>
    <w:rsid w:val="004D508A"/>
    <w:rsid w:val="004E6C44"/>
    <w:rsid w:val="0054347C"/>
    <w:rsid w:val="00546CD0"/>
    <w:rsid w:val="00663160"/>
    <w:rsid w:val="006821DF"/>
    <w:rsid w:val="00794EC7"/>
    <w:rsid w:val="008331C5"/>
    <w:rsid w:val="008B7F27"/>
    <w:rsid w:val="008C1607"/>
    <w:rsid w:val="00A22476"/>
    <w:rsid w:val="00A53DF0"/>
    <w:rsid w:val="00AB6655"/>
    <w:rsid w:val="00BC2A38"/>
    <w:rsid w:val="00C53C67"/>
    <w:rsid w:val="00CA1380"/>
    <w:rsid w:val="00D1411E"/>
    <w:rsid w:val="00D82F90"/>
    <w:rsid w:val="00E3686E"/>
    <w:rsid w:val="00E60673"/>
    <w:rsid w:val="00E70D99"/>
    <w:rsid w:val="00F20F83"/>
    <w:rsid w:val="00F57567"/>
    <w:rsid w:val="00F85B72"/>
    <w:rsid w:val="00F86C00"/>
    <w:rsid w:val="00F9520F"/>
    <w:rsid w:val="00F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F027"/>
  <w15:chartTrackingRefBased/>
  <w15:docId w15:val="{06B8E482-E9F8-6D43-A605-485366DF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209"/>
  </w:style>
  <w:style w:type="paragraph" w:styleId="Nagwek1">
    <w:name w:val="heading 1"/>
    <w:basedOn w:val="Normalny"/>
    <w:link w:val="Nagwek1Znak"/>
    <w:uiPriority w:val="9"/>
    <w:qFormat/>
    <w:rsid w:val="00203B4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12E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12EE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620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03B44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F86C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6C00"/>
  </w:style>
  <w:style w:type="character" w:styleId="Numerstrony">
    <w:name w:val="page number"/>
    <w:basedOn w:val="Domylnaczcionkaakapitu"/>
    <w:uiPriority w:val="99"/>
    <w:semiHidden/>
    <w:unhideWhenUsed/>
    <w:rsid w:val="00F86C00"/>
  </w:style>
  <w:style w:type="paragraph" w:styleId="Tekstdymka">
    <w:name w:val="Balloon Text"/>
    <w:basedOn w:val="Normalny"/>
    <w:link w:val="TekstdymkaZnak"/>
    <w:uiPriority w:val="99"/>
    <w:semiHidden/>
    <w:unhideWhenUsed/>
    <w:rsid w:val="00A53DF0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DF0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D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3D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3D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D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DF0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3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1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4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tm.gov.pl/media/2020/12/Farmakoterapia-COVID-19-Aktualizacja-wersja-2.0-27-listopada-2020-r._new_aktualna.pdf" TargetMode="External" /><Relationship Id="rId13" Type="http://schemas.openxmlformats.org/officeDocument/2006/relationships/hyperlink" Target="https://www.thelancet.com/journals/landia/article/PIIS2213-8587(20)30380-6/fulltext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gov.pl/web/domowaopiekamedyczna" TargetMode="External" /><Relationship Id="rId12" Type="http://schemas.openxmlformats.org/officeDocument/2006/relationships/hyperlink" Target="http://mavipuro.pl/jourarch/PN2018001.pdf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uptodate.com/contents/coronavirus-disease-2019-covid-19-outpatient-evaluation-and-management-in-adults" TargetMode="External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hyperlink" Target="https://www.covid19treatmentguidelines.nih.gov/therapeutic-management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aotm.gov.pl/media/2020/12/Farmakoterapia-COVID-19-Aktualizacja-wersja-2.0-27-listopada-2020-r._new_aktualna.pdf" TargetMode="External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1794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Konstanty Szułdrzyński</dc:creator>
  <cp:keywords/>
  <dc:description/>
  <cp:lastModifiedBy>Wojciech Andrusiewicz</cp:lastModifiedBy>
  <cp:revision>2</cp:revision>
  <dcterms:created xsi:type="dcterms:W3CDTF">2021-02-02T12:17:00Z</dcterms:created>
  <dcterms:modified xsi:type="dcterms:W3CDTF">2021-02-02T12:17:00Z</dcterms:modified>
</cp:coreProperties>
</file>