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9E" w:rsidRDefault="00E21D4B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E21D4B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241442406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E21D4B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6192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6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28 grudnia 2021 r.</w:t>
      </w:r>
      <w:bookmarkEnd w:id="0"/>
    </w:p>
    <w:p w:rsidR="004824F3" w:rsidRPr="00727528" w:rsidRDefault="00E21D4B" w:rsidP="00691727">
      <w:pPr>
        <w:spacing w:before="840"/>
        <w:ind w:right="66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br/>
      </w:r>
      <w:bookmarkStart w:id="1" w:name="_GoBack"/>
      <w:r w:rsidRPr="00727528">
        <w:rPr>
          <w:rFonts w:ascii="Calibri" w:hAnsi="Calibri" w:cs="Calibri"/>
          <w:bCs/>
        </w:rPr>
        <w:t>WNP-P.4131.11.2021</w:t>
      </w:r>
      <w:bookmarkEnd w:id="1"/>
    </w:p>
    <w:p w:rsidR="00C623C6" w:rsidRPr="00357ABC" w:rsidRDefault="00E21D4B" w:rsidP="00A82335">
      <w:pPr>
        <w:spacing w:before="720" w:line="276" w:lineRule="auto"/>
        <w:ind w:left="5387"/>
        <w:rPr>
          <w:rFonts w:ascii="Calibri" w:hAnsi="Calibri" w:cs="Calibri"/>
          <w:b/>
        </w:rPr>
      </w:pPr>
      <w:r w:rsidRPr="00357ABC">
        <w:rPr>
          <w:rFonts w:ascii="Calibri" w:hAnsi="Calibri" w:cs="Calibri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-5403215</wp:posOffset>
            </wp:positionH>
            <wp:positionV relativeFrom="paragraph">
              <wp:posOffset>292735</wp:posOffset>
            </wp:positionV>
            <wp:extent cx="2448560" cy="8267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ABC">
        <w:rPr>
          <w:rFonts w:ascii="Calibri" w:hAnsi="Calibri" w:cs="Calibri"/>
          <w:b/>
        </w:rPr>
        <w:t xml:space="preserve">Rada Gminy Pacyna </w:t>
      </w:r>
    </w:p>
    <w:p w:rsidR="00214105" w:rsidRDefault="00E21D4B" w:rsidP="00DC34C7">
      <w:pPr>
        <w:spacing w:line="276" w:lineRule="auto"/>
        <w:rPr>
          <w:rFonts w:ascii="Calibri" w:hAnsi="Calibri" w:cs="Calibri"/>
        </w:rPr>
      </w:pPr>
    </w:p>
    <w:p w:rsidR="004C2869" w:rsidRDefault="00E21D4B" w:rsidP="00DC34C7">
      <w:pPr>
        <w:spacing w:line="276" w:lineRule="auto"/>
        <w:rPr>
          <w:rFonts w:ascii="Calibri" w:hAnsi="Calibri" w:cs="Calibri"/>
        </w:rPr>
      </w:pPr>
    </w:p>
    <w:p w:rsidR="00214105" w:rsidRPr="00357ABC" w:rsidRDefault="00E21D4B" w:rsidP="00357ABC">
      <w:pPr>
        <w:spacing w:line="276" w:lineRule="auto"/>
        <w:jc w:val="center"/>
        <w:rPr>
          <w:rFonts w:ascii="Calibri" w:hAnsi="Calibri" w:cs="Calibri"/>
          <w:b/>
        </w:rPr>
      </w:pPr>
      <w:r w:rsidRPr="00357ABC">
        <w:rPr>
          <w:rFonts w:ascii="Calibri" w:hAnsi="Calibri" w:cs="Calibri"/>
          <w:b/>
        </w:rPr>
        <w:t>Rozstrzygnięcie nadzorcze</w:t>
      </w:r>
    </w:p>
    <w:p w:rsidR="00357ABC" w:rsidRDefault="00E21D4B" w:rsidP="00DC34C7">
      <w:pPr>
        <w:spacing w:line="276" w:lineRule="auto"/>
        <w:rPr>
          <w:rFonts w:ascii="Calibri" w:hAnsi="Calibri" w:cs="Calibri"/>
        </w:rPr>
      </w:pPr>
    </w:p>
    <w:p w:rsidR="00214105" w:rsidRDefault="00E21D4B" w:rsidP="00357ABC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podstawie art. 91 ustawy z dnia 8 marca 1990 r. o samorządzie gminnym (Dz. U. z 2021 r. poz. 1372 i 1834)</w:t>
      </w:r>
    </w:p>
    <w:p w:rsidR="00214105" w:rsidRPr="00357ABC" w:rsidRDefault="00E21D4B" w:rsidP="00357ABC">
      <w:pPr>
        <w:spacing w:line="276" w:lineRule="auto"/>
        <w:jc w:val="center"/>
        <w:rPr>
          <w:rFonts w:ascii="Calibri" w:hAnsi="Calibri" w:cs="Calibri"/>
          <w:b/>
        </w:rPr>
      </w:pPr>
      <w:r w:rsidRPr="00357ABC">
        <w:rPr>
          <w:rFonts w:ascii="Calibri" w:hAnsi="Calibri" w:cs="Calibri"/>
          <w:b/>
        </w:rPr>
        <w:t>stwierdzam nieważność</w:t>
      </w:r>
    </w:p>
    <w:p w:rsidR="00357ABC" w:rsidRDefault="00E21D4B" w:rsidP="00214105">
      <w:pPr>
        <w:spacing w:line="276" w:lineRule="auto"/>
        <w:rPr>
          <w:rFonts w:ascii="Calibri" w:hAnsi="Calibri" w:cs="Calibri"/>
        </w:rPr>
      </w:pPr>
    </w:p>
    <w:p w:rsidR="00F228AB" w:rsidRDefault="00E21D4B" w:rsidP="00357ABC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chwały Nr 137/XXVI/2021 Rady Gminy Pacyna z dnia 30 listopada 2021 r. w sprawie ustalenia wysokości diet dla radnych oraz sołtysów. </w:t>
      </w:r>
    </w:p>
    <w:p w:rsidR="00357ABC" w:rsidRDefault="00E21D4B" w:rsidP="00357ABC">
      <w:pPr>
        <w:spacing w:line="276" w:lineRule="auto"/>
        <w:jc w:val="center"/>
        <w:rPr>
          <w:rFonts w:ascii="Calibri" w:hAnsi="Calibri" w:cs="Calibri"/>
          <w:b/>
        </w:rPr>
      </w:pPr>
    </w:p>
    <w:p w:rsidR="00214105" w:rsidRPr="00357ABC" w:rsidRDefault="00E21D4B" w:rsidP="00357ABC">
      <w:pPr>
        <w:spacing w:line="276" w:lineRule="auto"/>
        <w:jc w:val="center"/>
        <w:rPr>
          <w:rFonts w:ascii="Calibri" w:hAnsi="Calibri" w:cs="Calibri"/>
          <w:b/>
        </w:rPr>
      </w:pPr>
      <w:r w:rsidRPr="00357ABC">
        <w:rPr>
          <w:rFonts w:ascii="Calibri" w:hAnsi="Calibri" w:cs="Calibri"/>
          <w:b/>
        </w:rPr>
        <w:t>Uzasadnienie</w:t>
      </w:r>
    </w:p>
    <w:p w:rsidR="00357ABC" w:rsidRDefault="00E21D4B" w:rsidP="00214105">
      <w:pPr>
        <w:spacing w:line="276" w:lineRule="auto"/>
        <w:rPr>
          <w:rFonts w:ascii="Calibri" w:hAnsi="Calibri" w:cs="Calibri"/>
        </w:rPr>
      </w:pPr>
    </w:p>
    <w:p w:rsidR="00357ABC" w:rsidRDefault="00E21D4B" w:rsidP="00357ABC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Przedmiotową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chwałą, doręczoną organowi nadzoru w dniu 3 grudnia 2021 r., Rada Gminy Pacyna ustaliła wysokość diet Radnych tej Gminy, z uwzględnieniem pełnionych przez nich funkcji oraz ustaliła zasady jej przyznawania, stanowiąc w § 2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chwały, że przysługująca dieta z</w:t>
      </w:r>
      <w:r>
        <w:rPr>
          <w:rFonts w:ascii="Calibri" w:hAnsi="Calibri" w:cs="Calibri"/>
        </w:rPr>
        <w:t xml:space="preserve">ostanie obniżona o 30 % za każdą nieobecność na sesjach i komisjach, których radny jest członkiem. Rada określiła również regułę wskazującą sposób i termin wejścia w życie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chwały, stanowiąc w §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8, iż wchodzi ona w życie z dniem 1 stycznia 2022 r. </w:t>
      </w:r>
    </w:p>
    <w:p w:rsidR="00357ABC" w:rsidRDefault="00E21D4B" w:rsidP="00357ABC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pierw</w:t>
      </w:r>
      <w:r>
        <w:rPr>
          <w:rFonts w:ascii="Calibri" w:hAnsi="Calibri" w:cs="Calibri"/>
        </w:rPr>
        <w:t xml:space="preserve">szej kolejności organ nadzoru wskazuje, że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chwała Rady Gminy Pacyna jest aktem prawa miejscowego, powinna więc zostać opublikowana w Dzienniku Urzędowym Województwa Mazowieckiego z uwzględnieniem ustawowego terminu wejścia w życie (14 dni od dnia publikac</w:t>
      </w:r>
      <w:r>
        <w:rPr>
          <w:rFonts w:ascii="Calibri" w:hAnsi="Calibri" w:cs="Calibri"/>
        </w:rPr>
        <w:t xml:space="preserve">ji). </w:t>
      </w:r>
    </w:p>
    <w:p w:rsidR="00357ABC" w:rsidRDefault="00E21D4B" w:rsidP="00357ABC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orzecznictwie sądów administracyjnych przyjęto, że charakter aktu prawa miejscowego mają akty normatywne zawierające normy postępowania o charakterze abstrakcyjnym i generalnym. Normatywny charakter aktu oznacza, że zawiera on wypowiedzi wyznaczają</w:t>
      </w:r>
      <w:r>
        <w:rPr>
          <w:rFonts w:ascii="Calibri" w:hAnsi="Calibri" w:cs="Calibri"/>
        </w:rPr>
        <w:t>ce adresatom pewien sposób zachowania się, przybierający postać nakazu, zakazu lub uprawnienia. Charakter generalny oznacza, że normy zawarte w akcie definiują adresatów poprzez wskazanie cech, a nie poprzez wymienienie ich z nazwy. Natomiast abstrakcyjnoś</w:t>
      </w:r>
      <w:r>
        <w:rPr>
          <w:rFonts w:ascii="Calibri" w:hAnsi="Calibri" w:cs="Calibri"/>
        </w:rPr>
        <w:t xml:space="preserve">ć normy wyraża się w tym, że nakazywane, zakazywane lub dozwolone zachowanie ma mieć miejsce w pewnych, z reguły powtarzalnych okolicznościach, nie zaś w jednej, konkretnej sytuacji, akty te nie mogą się  konsumować poprzez jednorazowe zastosowanie. </w:t>
      </w:r>
    </w:p>
    <w:p w:rsidR="00357ABC" w:rsidRDefault="00E21D4B" w:rsidP="00357ABC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uchwa</w:t>
      </w:r>
      <w:r>
        <w:rPr>
          <w:rFonts w:ascii="Calibri" w:hAnsi="Calibri" w:cs="Calibri"/>
        </w:rPr>
        <w:t xml:space="preserve">ła rady gminy w sprawie ustalenia zasad przyznawania i wysokości diet radnych zawiera normy abstrakcyjne, ponieważ diety mają charakter powtarzalny, jest aktem generalnym, </w:t>
      </w:r>
      <w:r>
        <w:rPr>
          <w:rFonts w:ascii="Calibri" w:hAnsi="Calibri" w:cs="Calibri"/>
        </w:rPr>
        <w:lastRenderedPageBreak/>
        <w:t>ponieważ jej adresaci zostali określeni poprzez wskazanie wspólnej ich cechy, jaką j</w:t>
      </w:r>
      <w:r>
        <w:rPr>
          <w:rFonts w:ascii="Calibri" w:hAnsi="Calibri" w:cs="Calibri"/>
        </w:rPr>
        <w:t xml:space="preserve">est pełnienie funkcji radnego, nie zaś w sposób zindywidualizowany, ponadto zawiera przepisy normatywne, na podstawie których jej adresaci uzyskali uprawnienie do diety. </w:t>
      </w:r>
    </w:p>
    <w:p w:rsidR="00357ABC" w:rsidRDefault="00E21D4B" w:rsidP="00373C63">
      <w:pPr>
        <w:spacing w:before="120"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Nieuwzględnienie w treści § 8 </w:t>
      </w:r>
      <w:r>
        <w:rPr>
          <w:rFonts w:ascii="Calibri" w:hAnsi="Calibri" w:cs="Calibri"/>
        </w:rPr>
        <w:t>u</w:t>
      </w:r>
      <w:r w:rsidRPr="00EC6E5E">
        <w:rPr>
          <w:rFonts w:ascii="Calibri" w:hAnsi="Calibri" w:cs="Calibri"/>
        </w:rPr>
        <w:t xml:space="preserve">chwały powyższego trybu publikacji </w:t>
      </w:r>
      <w:r>
        <w:rPr>
          <w:rFonts w:ascii="Calibri" w:hAnsi="Calibri" w:cs="Calibri"/>
        </w:rPr>
        <w:t>stanowi istotne nar</w:t>
      </w:r>
      <w:r>
        <w:rPr>
          <w:rFonts w:ascii="Calibri" w:hAnsi="Calibri" w:cs="Calibri"/>
        </w:rPr>
        <w:t xml:space="preserve">uszenie art. 13 pkt 2 ustawy z dnia 20 lipca 2000 r. o ogłaszaniu aktów normatywnych i niektórych innych aktów (Dz. U. z 2019 r. poz. 1461) i skutkuje nieważnością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 w całości</w:t>
      </w:r>
      <w:r w:rsidRPr="00EC6E5E">
        <w:rPr>
          <w:rFonts w:ascii="Calibri" w:hAnsi="Calibri" w:cs="Calibri"/>
        </w:rPr>
        <w:t xml:space="preserve"> (por. wyroki Naczelnego Sądu Administracyjnego z dnia 29 stycznia 2015 r. </w:t>
      </w:r>
      <w:r w:rsidRPr="00EC6E5E">
        <w:rPr>
          <w:rFonts w:ascii="Calibri" w:hAnsi="Calibri" w:cs="Calibri"/>
        </w:rPr>
        <w:t>sygn. akt II OSK 3270/14 oraz z dnia 9 stycznia 2013 r. sygn. akt I OSK 1608/12).</w:t>
      </w:r>
    </w:p>
    <w:p w:rsidR="00357ABC" w:rsidRDefault="00E21D4B" w:rsidP="00357ABC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Jako podstawę prawną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 wskazano art. 25 ust. 4, 6 i 8 ustawy o samorządzie gminnym (dalej: ustawa), zgodnie z którym, na zasadach ustalonych przez radę gminy, radnemu p</w:t>
      </w:r>
      <w:r>
        <w:rPr>
          <w:rFonts w:ascii="Calibri" w:hAnsi="Calibri" w:cs="Calibri"/>
        </w:rPr>
        <w:t xml:space="preserve">rzysługują diety oraz zwrot kosztów podróży; wysokość diet przysługujących radnemu nie może przekroczyć w ciągu miesiąca łącznie 2,4 krotności kwoty bazowej określonej w ustawie budżetowej dla osób zajmujących kierownicze stanowiska państwowe na podstawie </w:t>
      </w:r>
      <w:r>
        <w:rPr>
          <w:rFonts w:ascii="Calibri" w:hAnsi="Calibri" w:cs="Calibri"/>
        </w:rPr>
        <w:t>przepisów ustawy z dnia 23 grudnia 1999 r. o kształtowaniu wynagrodzeń w państwowej sferze budżetowej oraz o zmianie niektórych ustaw (Dz. U. z 2020 r. poz. 1658 z późn. zm.); rada gminy przy ustalaniu wysokości diet bierze pod uwagę funkcje pełnione przez</w:t>
      </w:r>
      <w:r>
        <w:rPr>
          <w:rFonts w:ascii="Calibri" w:hAnsi="Calibri" w:cs="Calibri"/>
        </w:rPr>
        <w:t xml:space="preserve"> radnego. </w:t>
      </w:r>
    </w:p>
    <w:p w:rsidR="00357ABC" w:rsidRDefault="00E21D4B" w:rsidP="00357ABC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 z utrwaloną linią orzeczniczą sądów administracyjnych, wykładnia art. 25 ust. 4 ustawy o samorządzie gminnym wskazuje na to, że diety należą się radnemu za uczestnictwo w pracach organów gminy, a nie z tytułu samego faktu bycia radnym. Z</w:t>
      </w:r>
      <w:r>
        <w:rPr>
          <w:rFonts w:ascii="Calibri" w:hAnsi="Calibri" w:cs="Calibri"/>
        </w:rPr>
        <w:t>godnie z art. 24 ust. 1 ustawy, „radny jest obowiązany brać udział w pracach rady i jej komisji oraz innych instytucji samorządowych, do których został wybrany lub desygnowany”, jeżeli zatem nie wypełnia tego obowiązku, to diety mu nie przysługują. Taka in</w:t>
      </w:r>
      <w:r>
        <w:rPr>
          <w:rFonts w:ascii="Calibri" w:hAnsi="Calibri" w:cs="Calibri"/>
        </w:rPr>
        <w:t>terpretacja wynika, w ocenie sądów, z istoty pojęcia „dieta”, jako świadczenia typowo kompensacyjnego - środki uzyskiwane przez radnego w ramach przysługującej mu diety, mają w istocie tylko i wyłącznie minimalizować poniesione koszty wynikające z potrącan</w:t>
      </w:r>
      <w:r>
        <w:rPr>
          <w:rFonts w:ascii="Calibri" w:hAnsi="Calibri" w:cs="Calibri"/>
        </w:rPr>
        <w:t>ego mu wynagrodzenia za pracę na skutek uczestnictwa w aktywności rady gminy. Dieta nie może zatem mieć charakteru stałego, miesięcznego wynagrodzenia, niezależnego od kosztów i wydatków, jakie generuje wykonywanie przez radnego mandatu wyborczego (tak prz</w:t>
      </w:r>
      <w:r>
        <w:rPr>
          <w:rFonts w:ascii="Calibri" w:hAnsi="Calibri" w:cs="Calibri"/>
        </w:rPr>
        <w:t xml:space="preserve">ykładowo: wyrok WSA w Opolu z 07.11.2013 r., II SA/Op 316/13;, wyrok WSA w Białymstoku z 9.03.2017 r, II SA/Bk 14/17; wyrok NSA z 26.06.2014 r., II OSK 406/14; wyrok WSA w Opolu z 4.03.2021 r., II SA/Op 301/20). </w:t>
      </w:r>
    </w:p>
    <w:p w:rsidR="00357ABC" w:rsidRDefault="00E21D4B" w:rsidP="00357ABC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Skoro przysługująca radnym dieta ma charakt</w:t>
      </w:r>
      <w:r>
        <w:rPr>
          <w:rFonts w:ascii="Calibri" w:hAnsi="Calibri" w:cs="Calibri"/>
        </w:rPr>
        <w:t>er kompensacyjny, to ustalając jej miesięczną wysokość, rada gminy powinna określić zasady potrącania diet (w całości) za niestawiennictwo radnego bądź nie branie udziału w posiedzeniach organów gminny i innych czynnościach wynikających ze sprawowanego man</w:t>
      </w:r>
      <w:r>
        <w:rPr>
          <w:rFonts w:ascii="Calibri" w:hAnsi="Calibri" w:cs="Calibri"/>
        </w:rPr>
        <w:t xml:space="preserve">datu, zaś brak wprowadzenia takich potrąceń, stanowi zaprzeczenie pojęcia „należnej diety” i tym samym jest sprzeczny z art. 25 ust. 4 ustawy.  </w:t>
      </w:r>
    </w:p>
    <w:p w:rsidR="00357ABC" w:rsidRDefault="00E21D4B" w:rsidP="00357ABC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Wskazany w §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 sposób pomniejszania diety za nieobecność na sesji lub posiedzeniu komisji o 30%, jest n</w:t>
      </w:r>
      <w:r>
        <w:rPr>
          <w:rFonts w:ascii="Calibri" w:hAnsi="Calibri" w:cs="Calibri"/>
        </w:rPr>
        <w:t xml:space="preserve">iewystarczający wobec faktu, że dieta ma wyłącznie rekompensować poniesione przez radnego straty, które nie powstaną, ze względu na nieobecność radnego na posiedzeniach organów gminy. Oznacza to, że dieta wypłacana zgodnie z postanowieniami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chwały będzie </w:t>
      </w:r>
      <w:r>
        <w:rPr>
          <w:rFonts w:ascii="Calibri" w:hAnsi="Calibri" w:cs="Calibri"/>
        </w:rPr>
        <w:t xml:space="preserve">miała postać stałego wynagrodzenia, tylko do pewnego stopnia uzależnionego od obecności </w:t>
      </w:r>
      <w:r>
        <w:rPr>
          <w:rFonts w:ascii="Calibri" w:hAnsi="Calibri" w:cs="Calibri"/>
        </w:rPr>
        <w:lastRenderedPageBreak/>
        <w:t xml:space="preserve">radnego na sesji czy posiedzeniu komisji i będzie ona należna nawet wówczas, gdy radny nie poniesie żadnego wydatku czy straty związanej z wykonywaniem obowiązków. </w:t>
      </w:r>
    </w:p>
    <w:p w:rsidR="00357ABC" w:rsidRDefault="00E21D4B" w:rsidP="00357ABC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 w:rsidRPr="00B63ECA">
        <w:rPr>
          <w:rFonts w:ascii="Calibri" w:hAnsi="Calibri" w:cs="Calibri"/>
          <w:lang w:eastAsia="ar-SA"/>
        </w:rPr>
        <w:t>Sta</w:t>
      </w:r>
      <w:r w:rsidRPr="00B63ECA">
        <w:rPr>
          <w:rFonts w:ascii="Calibri" w:hAnsi="Calibri" w:cs="Calibri"/>
          <w:lang w:eastAsia="ar-SA"/>
        </w:rPr>
        <w:t>nowisko organu nadzoru znajduje oparcie w wyrokach sądów ad</w:t>
      </w:r>
      <w:r>
        <w:rPr>
          <w:rFonts w:ascii="Calibri" w:hAnsi="Calibri" w:cs="Calibri"/>
          <w:lang w:eastAsia="ar-SA"/>
        </w:rPr>
        <w:t xml:space="preserve">ministracyjnych zapadłych </w:t>
      </w:r>
      <w:r w:rsidRPr="00B63ECA">
        <w:rPr>
          <w:rFonts w:ascii="Calibri" w:hAnsi="Calibri" w:cs="Calibri"/>
          <w:lang w:eastAsia="ar-SA"/>
        </w:rPr>
        <w:t>w następstwie rozpoznania skarg Wojewody Mazowieckiego na uchwały w sprawie zasad ustalania diet dla radnych (zob. wyroki WSA w Warszawie z dnia 23 październi</w:t>
      </w:r>
      <w:r>
        <w:rPr>
          <w:rFonts w:ascii="Calibri" w:hAnsi="Calibri" w:cs="Calibri"/>
          <w:lang w:eastAsia="ar-SA"/>
        </w:rPr>
        <w:t xml:space="preserve">ka 2019 r. </w:t>
      </w:r>
      <w:r>
        <w:rPr>
          <w:rFonts w:ascii="Calibri" w:hAnsi="Calibri" w:cs="Calibri"/>
          <w:lang w:eastAsia="ar-SA"/>
        </w:rPr>
        <w:t>sygn. II SA/Wa 978/19;</w:t>
      </w:r>
      <w:r w:rsidRPr="00B63ECA">
        <w:rPr>
          <w:rFonts w:ascii="Calibri" w:hAnsi="Calibri" w:cs="Calibri"/>
          <w:lang w:eastAsia="ar-SA"/>
        </w:rPr>
        <w:t xml:space="preserve"> z dnia 24 października </w:t>
      </w:r>
      <w:r>
        <w:rPr>
          <w:rFonts w:ascii="Calibri" w:hAnsi="Calibri" w:cs="Calibri"/>
          <w:lang w:eastAsia="ar-SA"/>
        </w:rPr>
        <w:t xml:space="preserve">2019 r. sygn. II SA/Wa 921/19; </w:t>
      </w:r>
      <w:r w:rsidRPr="00B63ECA">
        <w:rPr>
          <w:rFonts w:ascii="Calibri" w:hAnsi="Calibri" w:cs="Calibri"/>
          <w:lang w:eastAsia="ar-SA"/>
        </w:rPr>
        <w:t>z dnia 29 listopada 2019r.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br/>
      </w:r>
      <w:r w:rsidRPr="00B63ECA">
        <w:rPr>
          <w:rFonts w:ascii="Calibri" w:hAnsi="Calibri" w:cs="Calibri"/>
          <w:lang w:eastAsia="ar-SA"/>
        </w:rPr>
        <w:t>sygn. II SA/Wa 1259/19</w:t>
      </w:r>
      <w:r>
        <w:rPr>
          <w:rFonts w:ascii="Calibri" w:hAnsi="Calibri" w:cs="Calibri"/>
          <w:lang w:eastAsia="ar-SA"/>
        </w:rPr>
        <w:t>; z dnia 25 lutego 2020 r. sygn. II SA/Wa 2121/19)</w:t>
      </w:r>
      <w:r w:rsidRPr="00B63ECA">
        <w:rPr>
          <w:rFonts w:ascii="Calibri" w:hAnsi="Calibri" w:cs="Calibri"/>
          <w:lang w:eastAsia="ar-SA"/>
        </w:rPr>
        <w:t xml:space="preserve">. </w:t>
      </w:r>
    </w:p>
    <w:p w:rsidR="00357ABC" w:rsidRDefault="00E21D4B" w:rsidP="00357ABC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Mając powyższe na uwadze, organ nadzoru stwierdził, że Rada Gminy </w:t>
      </w:r>
      <w:r>
        <w:rPr>
          <w:rFonts w:asciiTheme="minorHAnsi" w:hAnsiTheme="minorHAnsi" w:cstheme="minorHAnsi"/>
        </w:rPr>
        <w:t>Pacyna</w:t>
      </w:r>
      <w:r>
        <w:rPr>
          <w:rFonts w:asciiTheme="minorHAnsi" w:hAnsiTheme="minorHAnsi" w:cstheme="minorHAnsi"/>
        </w:rPr>
        <w:t xml:space="preserve"> nie</w:t>
      </w:r>
      <w:r>
        <w:rPr>
          <w:rFonts w:asciiTheme="minorHAnsi" w:hAnsiTheme="minorHAnsi" w:cstheme="minorHAnsi"/>
        </w:rPr>
        <w:t xml:space="preserve"> wypełniła należycie delegacji ustawowej z art. 25 ust. 4 ustawy o samorządzie gminnym, w sposób sprzeczny z prawem ustalając </w:t>
      </w:r>
      <w:r>
        <w:rPr>
          <w:rFonts w:asciiTheme="minorHAnsi" w:hAnsiTheme="minorHAnsi" w:cstheme="minorHAnsi"/>
        </w:rPr>
        <w:t xml:space="preserve">w § 2 </w:t>
      </w: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chwały </w:t>
      </w:r>
      <w:r>
        <w:rPr>
          <w:rFonts w:asciiTheme="minorHAnsi" w:hAnsiTheme="minorHAnsi" w:cstheme="minorHAnsi"/>
        </w:rPr>
        <w:t>zasady przyznawania diet radnym</w:t>
      </w:r>
      <w:r w:rsidRPr="00FF14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oraz nie określiła prawidłowo trybu i terminu wejścia w życie </w:t>
      </w: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chwały, należało zate</w:t>
      </w:r>
      <w:r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orzec, jak w petitum rozstrzygnięcia. </w:t>
      </w:r>
      <w:r>
        <w:rPr>
          <w:rFonts w:asciiTheme="minorHAnsi" w:hAnsiTheme="minorHAnsi" w:cstheme="minorHAnsi"/>
        </w:rPr>
        <w:t xml:space="preserve"> </w:t>
      </w:r>
    </w:p>
    <w:p w:rsidR="00357ABC" w:rsidRDefault="00E21D4B" w:rsidP="00357ABC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rozstrzygnięcie nadzorcze przysługuje Gminie skarga do Wojewódzkiego Sądu Administracyjnego w Warszawie, wnoszona za pośrednictwem Wojewody Mazowieckiego, w terminie 30 dni od daty doręczenia rozstrzygnięcia nad</w:t>
      </w:r>
      <w:r>
        <w:rPr>
          <w:rFonts w:asciiTheme="minorHAnsi" w:hAnsiTheme="minorHAnsi" w:cstheme="minorHAnsi"/>
        </w:rPr>
        <w:t xml:space="preserve">zorczego. </w:t>
      </w:r>
    </w:p>
    <w:p w:rsidR="00357ABC" w:rsidRDefault="00E21D4B" w:rsidP="00357ABC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Stwierdzenie nieważności uchwały wstrzymuje jej wykonanie z mocy prawa z dniem doręczenia rozstrzygnięcia nadzorczego.</w:t>
      </w:r>
    </w:p>
    <w:p w:rsidR="00357ABC" w:rsidRDefault="00E21D4B" w:rsidP="00214105">
      <w:pPr>
        <w:spacing w:line="276" w:lineRule="auto"/>
        <w:rPr>
          <w:rFonts w:ascii="Calibri" w:hAnsi="Calibri" w:cs="Calibri"/>
        </w:rPr>
      </w:pPr>
    </w:p>
    <w:p w:rsidR="004824F3" w:rsidRDefault="00E21D4B" w:rsidP="00691727">
      <w:pPr>
        <w:spacing w:before="840" w:after="240" w:line="276" w:lineRule="auto"/>
        <w:ind w:left="3402"/>
        <w:jc w:val="center"/>
        <w:rPr>
          <w:rFonts w:ascii="Calibri" w:hAnsi="Calibri" w:cs="Calibri"/>
        </w:rPr>
      </w:pPr>
    </w:p>
    <w:p w:rsidR="004824F3" w:rsidRDefault="00E21D4B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2" w:name="ezdPracownikStanowisko"/>
      <w:r>
        <w:rPr>
          <w:rFonts w:ascii="Calibri" w:hAnsi="Calibri" w:cs="Calibri"/>
        </w:rPr>
        <w:t>Wojewoda Mazowiecki</w:t>
      </w:r>
      <w:bookmarkEnd w:id="2"/>
    </w:p>
    <w:p w:rsidR="004824F3" w:rsidRDefault="00E21D4B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3" w:name="ezdPracownikNazwa"/>
      <w:r>
        <w:rPr>
          <w:rFonts w:ascii="Calibri" w:hAnsi="Calibri" w:cs="Calibri"/>
        </w:rPr>
        <w:t>Konstanty Radziwiłł</w:t>
      </w:r>
      <w:bookmarkEnd w:id="3"/>
    </w:p>
    <w:p w:rsidR="00691727" w:rsidRDefault="00E21D4B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E21D4B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weryfikowanym ważnym kwalifikowanym </w:t>
      </w:r>
      <w:r>
        <w:rPr>
          <w:rFonts w:ascii="Calibri" w:hAnsi="Calibri" w:cs="Calibri"/>
        </w:rPr>
        <w:t>certyfikatem/</w:t>
      </w:r>
    </w:p>
    <w:sectPr w:rsidR="004824F3" w:rsidRPr="00504F2F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4B"/>
    <w:rsid w:val="00E2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E9E04D-57CF-465E-A973-F9F5A97D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7DF4A-A67D-4301-A682-DB1C4F92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2021-12-29T14:06:00Z</dcterms:created>
  <dcterms:modified xsi:type="dcterms:W3CDTF">2021-12-29T14:06:00Z</dcterms:modified>
</cp:coreProperties>
</file>