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4C922" w14:textId="699B767F" w:rsidR="0030454B" w:rsidRPr="004D6641" w:rsidRDefault="0030454B" w:rsidP="0060433D">
      <w:pPr>
        <w:spacing w:before="120" w:after="120" w:line="276" w:lineRule="auto"/>
        <w:rPr>
          <w:rFonts w:ascii="Arial" w:hAnsi="Arial" w:cs="Arial"/>
          <w:b/>
          <w:caps/>
          <w:sz w:val="22"/>
          <w:szCs w:val="22"/>
          <w:u w:val="single"/>
        </w:rPr>
      </w:pPr>
    </w:p>
    <w:p w14:paraId="6794FC6F" w14:textId="77777777" w:rsidR="0030454B" w:rsidRPr="004D6641" w:rsidRDefault="0030454B" w:rsidP="0060433D">
      <w:pPr>
        <w:spacing w:before="120" w:after="120" w:line="276" w:lineRule="auto"/>
        <w:jc w:val="center"/>
        <w:rPr>
          <w:rFonts w:ascii="Arial" w:hAnsi="Arial" w:cs="Arial"/>
          <w:b/>
          <w:caps/>
          <w:sz w:val="22"/>
          <w:szCs w:val="22"/>
          <w:u w:val="single"/>
        </w:rPr>
      </w:pPr>
      <w:bookmarkStart w:id="0" w:name="_Hlk216852811"/>
      <w:r w:rsidRPr="004D6641">
        <w:rPr>
          <w:rFonts w:ascii="Arial" w:hAnsi="Arial" w:cs="Arial"/>
          <w:b/>
          <w:caps/>
          <w:sz w:val="22"/>
          <w:szCs w:val="22"/>
          <w:u w:val="single"/>
        </w:rPr>
        <w:t>Opis Przedmiotu Zamówienia</w:t>
      </w:r>
    </w:p>
    <w:bookmarkEnd w:id="0"/>
    <w:p w14:paraId="59A51B6B" w14:textId="77777777" w:rsidR="0030454B" w:rsidRDefault="0030454B" w:rsidP="0060433D">
      <w:pPr>
        <w:spacing w:before="120" w:after="120" w:line="276" w:lineRule="auto"/>
        <w:jc w:val="center"/>
        <w:rPr>
          <w:rFonts w:ascii="Arial" w:hAnsi="Arial" w:cs="Arial"/>
          <w:b/>
          <w:sz w:val="22"/>
          <w:szCs w:val="22"/>
        </w:rPr>
      </w:pPr>
    </w:p>
    <w:p w14:paraId="671300BA" w14:textId="77777777" w:rsidR="0060433D" w:rsidRPr="004D6641" w:rsidRDefault="0060433D" w:rsidP="0060433D">
      <w:pPr>
        <w:spacing w:before="120" w:after="120" w:line="276" w:lineRule="auto"/>
        <w:jc w:val="center"/>
        <w:rPr>
          <w:rFonts w:ascii="Arial" w:hAnsi="Arial" w:cs="Arial"/>
          <w:b/>
          <w:sz w:val="22"/>
          <w:szCs w:val="22"/>
        </w:rPr>
      </w:pPr>
    </w:p>
    <w:p w14:paraId="1E6003E0" w14:textId="45BB0A6F" w:rsidR="00652F8F" w:rsidRPr="004D6641" w:rsidRDefault="0030454B" w:rsidP="0060433D">
      <w:pPr>
        <w:pStyle w:val="Akapitzlist"/>
        <w:numPr>
          <w:ilvl w:val="0"/>
          <w:numId w:val="12"/>
        </w:numPr>
        <w:spacing w:before="120" w:after="120" w:line="276" w:lineRule="auto"/>
        <w:ind w:left="426" w:hanging="284"/>
        <w:contextualSpacing w:val="0"/>
        <w:rPr>
          <w:rFonts w:ascii="Arial" w:hAnsi="Arial" w:cs="Arial"/>
          <w:b/>
          <w:sz w:val="22"/>
          <w:szCs w:val="22"/>
        </w:rPr>
      </w:pPr>
      <w:bookmarkStart w:id="1" w:name="_Hlk216853564"/>
      <w:r w:rsidRPr="004D6641">
        <w:rPr>
          <w:rFonts w:ascii="Arial" w:hAnsi="Arial" w:cs="Arial"/>
          <w:b/>
          <w:sz w:val="22"/>
          <w:szCs w:val="22"/>
        </w:rPr>
        <w:t>PRZEDMIOT ZAMÓWIENIA</w:t>
      </w:r>
      <w:bookmarkEnd w:id="1"/>
    </w:p>
    <w:p w14:paraId="45FD41CE" w14:textId="1448C3F2" w:rsidR="00272158" w:rsidRPr="004D6641" w:rsidRDefault="00272158" w:rsidP="0060433D">
      <w:pPr>
        <w:spacing w:before="120" w:after="120" w:line="276" w:lineRule="auto"/>
        <w:jc w:val="both"/>
        <w:rPr>
          <w:rFonts w:ascii="Arial" w:hAnsi="Arial" w:cs="Arial"/>
          <w:sz w:val="22"/>
          <w:szCs w:val="22"/>
        </w:rPr>
      </w:pPr>
      <w:r w:rsidRPr="004D6641">
        <w:rPr>
          <w:rFonts w:ascii="Arial" w:hAnsi="Arial" w:cs="Arial"/>
          <w:sz w:val="22"/>
          <w:szCs w:val="22"/>
        </w:rPr>
        <w:t>Przedmiotem zamówienia jest świadczenie usługi dostępu do sieci Internet dla Ministerstwa Infrastruktury</w:t>
      </w:r>
      <w:r w:rsidR="003E484B">
        <w:rPr>
          <w:rFonts w:ascii="Arial" w:hAnsi="Arial" w:cs="Arial"/>
          <w:sz w:val="22"/>
          <w:szCs w:val="22"/>
        </w:rPr>
        <w:t xml:space="preserve"> wraz z usługą </w:t>
      </w:r>
      <w:proofErr w:type="spellStart"/>
      <w:r w:rsidR="003E484B">
        <w:rPr>
          <w:rFonts w:ascii="Arial" w:hAnsi="Arial" w:cs="Arial"/>
          <w:sz w:val="22"/>
          <w:szCs w:val="22"/>
        </w:rPr>
        <w:t>DDoS</w:t>
      </w:r>
      <w:proofErr w:type="spellEnd"/>
      <w:r w:rsidR="003E484B">
        <w:rPr>
          <w:rFonts w:ascii="Arial" w:hAnsi="Arial" w:cs="Arial"/>
          <w:sz w:val="22"/>
          <w:szCs w:val="22"/>
        </w:rPr>
        <w:t xml:space="preserve"> Attack </w:t>
      </w:r>
      <w:proofErr w:type="spellStart"/>
      <w:r w:rsidR="003E484B">
        <w:rPr>
          <w:rFonts w:ascii="Arial" w:hAnsi="Arial" w:cs="Arial"/>
          <w:sz w:val="22"/>
          <w:szCs w:val="22"/>
        </w:rPr>
        <w:t>Protection</w:t>
      </w:r>
      <w:proofErr w:type="spellEnd"/>
      <w:r w:rsidRPr="004D6641">
        <w:rPr>
          <w:rFonts w:ascii="Arial" w:hAnsi="Arial" w:cs="Arial"/>
          <w:sz w:val="22"/>
          <w:szCs w:val="22"/>
        </w:rPr>
        <w:t xml:space="preserve"> </w:t>
      </w:r>
      <w:r w:rsidR="00E85E99">
        <w:rPr>
          <w:rFonts w:ascii="Arial" w:hAnsi="Arial" w:cs="Arial"/>
          <w:sz w:val="22"/>
          <w:szCs w:val="22"/>
        </w:rPr>
        <w:t xml:space="preserve">(wersja standard) </w:t>
      </w:r>
      <w:r w:rsidRPr="004D6641">
        <w:rPr>
          <w:rFonts w:ascii="Arial" w:hAnsi="Arial" w:cs="Arial"/>
          <w:sz w:val="22"/>
          <w:szCs w:val="22"/>
        </w:rPr>
        <w:t>w siedzibie przy ul. Nowy Świat 6/12, 00-400 Warszawa</w:t>
      </w:r>
      <w:r w:rsidR="00296C02">
        <w:rPr>
          <w:rFonts w:ascii="Arial" w:hAnsi="Arial" w:cs="Arial"/>
          <w:sz w:val="22"/>
          <w:szCs w:val="22"/>
        </w:rPr>
        <w:t xml:space="preserve"> na okres </w:t>
      </w:r>
      <w:r w:rsidR="0060433D">
        <w:rPr>
          <w:rFonts w:ascii="Arial" w:hAnsi="Arial" w:cs="Arial"/>
          <w:sz w:val="22"/>
          <w:szCs w:val="22"/>
        </w:rPr>
        <w:t>48</w:t>
      </w:r>
      <w:r w:rsidR="00296C02">
        <w:rPr>
          <w:rFonts w:ascii="Arial" w:hAnsi="Arial" w:cs="Arial"/>
          <w:sz w:val="22"/>
          <w:szCs w:val="22"/>
        </w:rPr>
        <w:t xml:space="preserve"> miesięcy.</w:t>
      </w:r>
    </w:p>
    <w:p w14:paraId="4939DC0B" w14:textId="77777777" w:rsidR="0030454B" w:rsidRPr="004D6641" w:rsidRDefault="0030454B" w:rsidP="0060433D">
      <w:pPr>
        <w:spacing w:before="120" w:after="120" w:line="276" w:lineRule="auto"/>
        <w:jc w:val="both"/>
        <w:rPr>
          <w:rFonts w:ascii="Arial" w:hAnsi="Arial" w:cs="Arial"/>
          <w:b/>
          <w:bCs/>
          <w:sz w:val="22"/>
          <w:szCs w:val="22"/>
        </w:rPr>
      </w:pPr>
    </w:p>
    <w:p w14:paraId="1C621BA0" w14:textId="2C857188" w:rsidR="00D4237C" w:rsidRPr="004D6641" w:rsidRDefault="00D4237C" w:rsidP="0060433D">
      <w:pPr>
        <w:pStyle w:val="Akapitzlist"/>
        <w:numPr>
          <w:ilvl w:val="0"/>
          <w:numId w:val="12"/>
        </w:numPr>
        <w:spacing w:before="120" w:after="120" w:line="276" w:lineRule="auto"/>
        <w:ind w:left="426" w:hanging="284"/>
        <w:contextualSpacing w:val="0"/>
        <w:rPr>
          <w:rFonts w:ascii="Arial" w:hAnsi="Arial" w:cs="Arial"/>
          <w:b/>
          <w:sz w:val="22"/>
          <w:szCs w:val="22"/>
        </w:rPr>
      </w:pPr>
      <w:r w:rsidRPr="004D6641">
        <w:rPr>
          <w:rFonts w:ascii="Arial" w:hAnsi="Arial" w:cs="Arial"/>
          <w:b/>
          <w:sz w:val="22"/>
          <w:szCs w:val="22"/>
        </w:rPr>
        <w:t>SPECYFIKACJA</w:t>
      </w:r>
    </w:p>
    <w:p w14:paraId="0BBF6CDE" w14:textId="77777777" w:rsidR="00D4237C" w:rsidRPr="004D6641" w:rsidRDefault="00D4237C" w:rsidP="0060433D">
      <w:pPr>
        <w:pStyle w:val="Akapitzlist"/>
        <w:spacing w:before="120" w:after="120" w:line="276" w:lineRule="auto"/>
        <w:ind w:left="426"/>
        <w:contextualSpacing w:val="0"/>
        <w:rPr>
          <w:rFonts w:ascii="Arial" w:hAnsi="Arial" w:cs="Arial"/>
          <w:b/>
          <w:sz w:val="22"/>
          <w:szCs w:val="22"/>
        </w:rPr>
      </w:pPr>
    </w:p>
    <w:p w14:paraId="1298F687" w14:textId="64F71BB9" w:rsidR="00D4237C" w:rsidRPr="004D6641" w:rsidRDefault="00D4237C" w:rsidP="0060433D">
      <w:pPr>
        <w:pStyle w:val="Akapitzlist"/>
        <w:widowControl w:val="0"/>
        <w:numPr>
          <w:ilvl w:val="0"/>
          <w:numId w:val="16"/>
        </w:numPr>
        <w:autoSpaceDE w:val="0"/>
        <w:autoSpaceDN w:val="0"/>
        <w:adjustRightInd w:val="0"/>
        <w:spacing w:before="120" w:after="120" w:line="276" w:lineRule="auto"/>
        <w:contextualSpacing w:val="0"/>
        <w:jc w:val="both"/>
        <w:rPr>
          <w:rFonts w:ascii="Arial" w:eastAsia="Arial Unicode MS" w:hAnsi="Arial" w:cs="Arial"/>
          <w:b/>
          <w:color w:val="000000"/>
          <w:sz w:val="22"/>
          <w:szCs w:val="22"/>
          <w:u w:color="000000"/>
          <w:bdr w:val="nil"/>
        </w:rPr>
      </w:pPr>
      <w:r w:rsidRPr="004D6641">
        <w:rPr>
          <w:rFonts w:ascii="Arial" w:eastAsia="Arial Unicode MS" w:hAnsi="Arial" w:cs="Arial"/>
          <w:b/>
          <w:color w:val="000000"/>
          <w:sz w:val="22"/>
          <w:szCs w:val="22"/>
          <w:u w:color="000000"/>
          <w:bdr w:val="nil"/>
        </w:rPr>
        <w:t>Warunki techniczne</w:t>
      </w:r>
    </w:p>
    <w:p w14:paraId="11365A15" w14:textId="77777777" w:rsidR="00D4237C" w:rsidRPr="004D6641" w:rsidRDefault="00D4237C" w:rsidP="0060433D">
      <w:pPr>
        <w:pStyle w:val="Akapitzlist"/>
        <w:widowControl w:val="0"/>
        <w:numPr>
          <w:ilvl w:val="0"/>
          <w:numId w:val="17"/>
        </w:numPr>
        <w:autoSpaceDE w:val="0"/>
        <w:autoSpaceDN w:val="0"/>
        <w:adjustRightInd w:val="0"/>
        <w:spacing w:before="120" w:after="120" w:line="276" w:lineRule="auto"/>
        <w:ind w:left="1134"/>
        <w:contextualSpacing w:val="0"/>
        <w:jc w:val="both"/>
        <w:rPr>
          <w:rFonts w:ascii="Arial" w:eastAsia="Arial Unicode MS" w:hAnsi="Arial" w:cs="Arial"/>
          <w:color w:val="000000"/>
          <w:sz w:val="22"/>
          <w:szCs w:val="22"/>
          <w:u w:color="000000"/>
          <w:bdr w:val="nil"/>
        </w:rPr>
      </w:pPr>
      <w:r w:rsidRPr="004D6641">
        <w:rPr>
          <w:rFonts w:ascii="Arial" w:eastAsia="Arial Unicode MS" w:hAnsi="Arial" w:cs="Arial"/>
          <w:color w:val="000000"/>
          <w:sz w:val="22"/>
          <w:szCs w:val="22"/>
          <w:u w:color="000000"/>
          <w:bdr w:val="nil"/>
        </w:rPr>
        <w:t xml:space="preserve">Wykonawca zapewni łącza dostępowe </w:t>
      </w:r>
      <w:proofErr w:type="spellStart"/>
      <w:r w:rsidRPr="004D6641">
        <w:rPr>
          <w:rFonts w:ascii="Arial" w:eastAsia="Arial Unicode MS" w:hAnsi="Arial" w:cs="Arial"/>
          <w:color w:val="000000"/>
          <w:sz w:val="22"/>
          <w:szCs w:val="22"/>
          <w:u w:color="000000"/>
          <w:bdr w:val="nil"/>
        </w:rPr>
        <w:t>full</w:t>
      </w:r>
      <w:proofErr w:type="spellEnd"/>
      <w:r w:rsidRPr="004D6641">
        <w:rPr>
          <w:rFonts w:ascii="Arial" w:eastAsia="Arial Unicode MS" w:hAnsi="Arial" w:cs="Arial"/>
          <w:color w:val="000000"/>
          <w:sz w:val="22"/>
          <w:szCs w:val="22"/>
          <w:u w:color="000000"/>
          <w:bdr w:val="nil"/>
        </w:rPr>
        <w:t>-duplex bez limitu transferu, do lokalizacji Zamawiającego ul. Nowy Świat 6/12, 00-400 Warszawa zgodne z poniżej podanymi wymaganiami:</w:t>
      </w:r>
    </w:p>
    <w:p w14:paraId="3E3D1D73" w14:textId="77777777" w:rsidR="00D4237C" w:rsidRPr="004D6641" w:rsidRDefault="00D4237C" w:rsidP="0060433D">
      <w:pPr>
        <w:pStyle w:val="Akapitzlist"/>
        <w:widowControl w:val="0"/>
        <w:numPr>
          <w:ilvl w:val="0"/>
          <w:numId w:val="19"/>
        </w:numPr>
        <w:autoSpaceDE w:val="0"/>
        <w:autoSpaceDN w:val="0"/>
        <w:adjustRightInd w:val="0"/>
        <w:spacing w:before="120" w:after="120" w:line="276" w:lineRule="auto"/>
        <w:ind w:left="1701" w:hanging="425"/>
        <w:contextualSpacing w:val="0"/>
        <w:jc w:val="both"/>
        <w:rPr>
          <w:rFonts w:ascii="Arial" w:eastAsia="Arial Unicode MS" w:hAnsi="Arial" w:cs="Arial"/>
          <w:color w:val="000000"/>
          <w:sz w:val="22"/>
          <w:szCs w:val="22"/>
          <w:u w:color="000000"/>
          <w:bdr w:val="nil"/>
        </w:rPr>
      </w:pPr>
      <w:r w:rsidRPr="004D6641">
        <w:rPr>
          <w:rFonts w:ascii="Arial" w:eastAsia="Arial Unicode MS" w:hAnsi="Arial" w:cs="Arial"/>
          <w:color w:val="000000"/>
          <w:sz w:val="22"/>
          <w:szCs w:val="22"/>
          <w:u w:color="000000"/>
          <w:bdr w:val="nil"/>
        </w:rPr>
        <w:t xml:space="preserve">łącze do Internetu o przepustowości gwarantowanej min. 400 </w:t>
      </w:r>
      <w:proofErr w:type="spellStart"/>
      <w:r w:rsidRPr="004D6641">
        <w:rPr>
          <w:rFonts w:ascii="Arial" w:eastAsia="Arial Unicode MS" w:hAnsi="Arial" w:cs="Arial"/>
          <w:color w:val="000000"/>
          <w:sz w:val="22"/>
          <w:szCs w:val="22"/>
          <w:u w:color="000000"/>
          <w:bdr w:val="nil"/>
        </w:rPr>
        <w:t>Mbps</w:t>
      </w:r>
      <w:proofErr w:type="spellEnd"/>
      <w:r w:rsidRPr="004D6641">
        <w:rPr>
          <w:rFonts w:ascii="Arial" w:eastAsia="Arial Unicode MS" w:hAnsi="Arial" w:cs="Arial"/>
          <w:color w:val="000000"/>
          <w:sz w:val="22"/>
          <w:szCs w:val="22"/>
          <w:u w:color="000000"/>
          <w:bdr w:val="nil"/>
        </w:rPr>
        <w:t xml:space="preserve"> wykonane w technologii światłowodowej; </w:t>
      </w:r>
    </w:p>
    <w:p w14:paraId="590BDC34" w14:textId="77777777" w:rsidR="00D4237C" w:rsidRPr="004D6641" w:rsidRDefault="00D4237C" w:rsidP="0060433D">
      <w:pPr>
        <w:pStyle w:val="Akapitzlist"/>
        <w:widowControl w:val="0"/>
        <w:numPr>
          <w:ilvl w:val="0"/>
          <w:numId w:val="19"/>
        </w:numPr>
        <w:autoSpaceDE w:val="0"/>
        <w:autoSpaceDN w:val="0"/>
        <w:adjustRightInd w:val="0"/>
        <w:spacing w:before="120" w:after="120" w:line="276" w:lineRule="auto"/>
        <w:ind w:left="1701" w:hanging="425"/>
        <w:contextualSpacing w:val="0"/>
        <w:jc w:val="both"/>
        <w:rPr>
          <w:rFonts w:ascii="Arial" w:eastAsia="Arial Unicode MS" w:hAnsi="Arial" w:cs="Arial"/>
          <w:color w:val="000000"/>
          <w:sz w:val="22"/>
          <w:szCs w:val="22"/>
          <w:u w:color="000000"/>
          <w:bdr w:val="nil"/>
        </w:rPr>
      </w:pPr>
      <w:bookmarkStart w:id="2" w:name="_Hlk220933777"/>
      <w:r w:rsidRPr="004D6641">
        <w:rPr>
          <w:rFonts w:ascii="Arial" w:eastAsia="Arial Unicode MS" w:hAnsi="Arial" w:cs="Arial"/>
          <w:color w:val="000000"/>
          <w:sz w:val="22"/>
          <w:szCs w:val="22"/>
          <w:u w:color="000000"/>
          <w:bdr w:val="nil"/>
        </w:rPr>
        <w:t>podłączenie i konfiguracja dostępu do sieci Internet nastąpi do dnia 14.04.2026r</w:t>
      </w:r>
      <w:bookmarkEnd w:id="2"/>
      <w:r w:rsidRPr="004D6641">
        <w:rPr>
          <w:rFonts w:ascii="Arial" w:eastAsia="Arial Unicode MS" w:hAnsi="Arial" w:cs="Arial"/>
          <w:color w:val="000000"/>
          <w:sz w:val="22"/>
          <w:szCs w:val="22"/>
          <w:u w:color="000000"/>
          <w:bdr w:val="nil"/>
        </w:rPr>
        <w:t xml:space="preserve">; </w:t>
      </w:r>
    </w:p>
    <w:p w14:paraId="4D644C75" w14:textId="20DC8812" w:rsidR="00D4237C" w:rsidRPr="004D6641" w:rsidRDefault="00D4237C" w:rsidP="0060433D">
      <w:pPr>
        <w:pStyle w:val="Akapitzlist"/>
        <w:widowControl w:val="0"/>
        <w:numPr>
          <w:ilvl w:val="0"/>
          <w:numId w:val="19"/>
        </w:numPr>
        <w:autoSpaceDE w:val="0"/>
        <w:autoSpaceDN w:val="0"/>
        <w:adjustRightInd w:val="0"/>
        <w:spacing w:before="120" w:after="120" w:line="276" w:lineRule="auto"/>
        <w:ind w:left="1701" w:hanging="425"/>
        <w:contextualSpacing w:val="0"/>
        <w:jc w:val="both"/>
        <w:rPr>
          <w:rFonts w:ascii="Arial" w:eastAsia="Arial Unicode MS" w:hAnsi="Arial" w:cs="Arial"/>
          <w:color w:val="000000"/>
          <w:sz w:val="22"/>
          <w:szCs w:val="22"/>
          <w:u w:color="000000"/>
          <w:bdr w:val="nil"/>
        </w:rPr>
      </w:pPr>
      <w:r w:rsidRPr="004D6641">
        <w:rPr>
          <w:rFonts w:ascii="Arial" w:eastAsia="Arial Unicode MS" w:hAnsi="Arial" w:cs="Arial"/>
          <w:color w:val="000000"/>
          <w:spacing w:val="-2"/>
          <w:sz w:val="22"/>
          <w:szCs w:val="22"/>
          <w:u w:color="000000"/>
          <w:bdr w:val="nil"/>
        </w:rPr>
        <w:t xml:space="preserve">świadczenie usługi dostępu do sieci Internet nastąpi od dnia 15.04.2026r. </w:t>
      </w:r>
    </w:p>
    <w:p w14:paraId="01504FD0" w14:textId="7F8B525D" w:rsidR="00D4237C" w:rsidRPr="004D6641" w:rsidRDefault="00D4237C" w:rsidP="0060433D">
      <w:pPr>
        <w:pStyle w:val="Akapitzlist"/>
        <w:widowControl w:val="0"/>
        <w:numPr>
          <w:ilvl w:val="0"/>
          <w:numId w:val="17"/>
        </w:numPr>
        <w:autoSpaceDE w:val="0"/>
        <w:autoSpaceDN w:val="0"/>
        <w:adjustRightInd w:val="0"/>
        <w:spacing w:before="120" w:after="120" w:line="276" w:lineRule="auto"/>
        <w:ind w:left="1134"/>
        <w:contextualSpacing w:val="0"/>
        <w:jc w:val="both"/>
        <w:rPr>
          <w:rFonts w:ascii="Arial" w:eastAsia="Arial Unicode MS" w:hAnsi="Arial" w:cs="Arial"/>
          <w:color w:val="000000"/>
          <w:sz w:val="22"/>
          <w:szCs w:val="22"/>
          <w:u w:color="000000"/>
          <w:bdr w:val="nil"/>
        </w:rPr>
      </w:pPr>
      <w:r w:rsidRPr="004D6641">
        <w:rPr>
          <w:rFonts w:ascii="Arial" w:eastAsia="Arial Unicode MS" w:hAnsi="Arial" w:cs="Arial"/>
          <w:color w:val="000000"/>
          <w:sz w:val="22"/>
          <w:szCs w:val="22"/>
          <w:u w:color="000000"/>
          <w:bdr w:val="nil"/>
        </w:rPr>
        <w:t>Wykonawca dostarczy – dla potrzeb i na czas świadczenia usługi – wszystkie potrzebne dla świadczenia usługi składniki, w tym okablowanie, urządzenia abonenckie oraz interfejsy. Dostarczony przez Wykonawcę router musi mieć wbudowany przełącznik sieciowy na min. 2 porty LAN RJ-45, w celu rozdzielenia ruchu sieciowego na dwa osobne urządzenia Zamawiającego. Kwestia instalacji urządzeń w budynku Centrum Bankowo Finansowego, od którego Zamawiający wynajmuje powierzchnie biurowe, w szczególności uzyskanie stosownych zgód oraz ewentualnej odpłatności,</w:t>
      </w:r>
      <w:r w:rsidR="0093449D">
        <w:rPr>
          <w:rFonts w:ascii="Arial" w:eastAsia="Arial Unicode MS" w:hAnsi="Arial" w:cs="Arial"/>
          <w:color w:val="000000"/>
          <w:sz w:val="22"/>
          <w:szCs w:val="22"/>
          <w:u w:color="000000"/>
          <w:bdr w:val="nil"/>
        </w:rPr>
        <w:t xml:space="preserve"> a także uwzględnienia kosztów dzierżawy trasy kablowej</w:t>
      </w:r>
      <w:r w:rsidRPr="004D6641">
        <w:rPr>
          <w:rFonts w:ascii="Arial" w:eastAsia="Arial Unicode MS" w:hAnsi="Arial" w:cs="Arial"/>
          <w:color w:val="000000"/>
          <w:sz w:val="22"/>
          <w:szCs w:val="22"/>
          <w:u w:color="000000"/>
          <w:bdr w:val="nil"/>
        </w:rPr>
        <w:t xml:space="preserve"> pozostaje w całości w gestii Wykonawcy. </w:t>
      </w:r>
      <w:r w:rsidR="0093449D">
        <w:rPr>
          <w:rFonts w:ascii="Arial" w:eastAsia="Arial Unicode MS" w:hAnsi="Arial" w:cs="Arial"/>
          <w:color w:val="000000"/>
          <w:sz w:val="22"/>
          <w:szCs w:val="22"/>
          <w:u w:color="000000"/>
          <w:bdr w:val="nil"/>
        </w:rPr>
        <w:t>D</w:t>
      </w:r>
      <w:r w:rsidRPr="004D6641">
        <w:rPr>
          <w:rFonts w:ascii="Arial" w:eastAsia="Arial Unicode MS" w:hAnsi="Arial" w:cs="Arial"/>
          <w:color w:val="000000"/>
          <w:sz w:val="22"/>
          <w:szCs w:val="22"/>
          <w:u w:color="000000"/>
          <w:bdr w:val="nil"/>
        </w:rPr>
        <w:t>ostarczy – dla potrzeb i na czas świadczenia usługi – wszystkie potrzebne dla świadczenia usługi składniki, w tym okablowanie, urządzenia abonenckie oraz interfejsy.</w:t>
      </w:r>
    </w:p>
    <w:p w14:paraId="011299FC" w14:textId="77777777" w:rsidR="00D4237C" w:rsidRPr="004D6641" w:rsidRDefault="00D4237C" w:rsidP="0060433D">
      <w:pPr>
        <w:pStyle w:val="Akapitzlist"/>
        <w:widowControl w:val="0"/>
        <w:numPr>
          <w:ilvl w:val="0"/>
          <w:numId w:val="17"/>
        </w:numPr>
        <w:autoSpaceDE w:val="0"/>
        <w:autoSpaceDN w:val="0"/>
        <w:adjustRightInd w:val="0"/>
        <w:spacing w:before="120" w:after="120" w:line="276" w:lineRule="auto"/>
        <w:ind w:left="1134"/>
        <w:contextualSpacing w:val="0"/>
        <w:jc w:val="both"/>
        <w:rPr>
          <w:rFonts w:ascii="Arial" w:eastAsia="Arial Unicode MS" w:hAnsi="Arial" w:cs="Arial"/>
          <w:color w:val="000000"/>
          <w:sz w:val="22"/>
          <w:szCs w:val="22"/>
          <w:u w:color="000000"/>
          <w:bdr w:val="nil"/>
        </w:rPr>
      </w:pPr>
      <w:r w:rsidRPr="004D6641">
        <w:rPr>
          <w:rFonts w:ascii="Arial" w:eastAsia="Arial Unicode MS" w:hAnsi="Arial" w:cs="Arial"/>
          <w:color w:val="000000"/>
          <w:sz w:val="22"/>
          <w:szCs w:val="22"/>
          <w:u w:color="000000"/>
          <w:bdr w:val="nil"/>
        </w:rPr>
        <w:t>Wykonawca dostarczy i wydzierżawi urządzenia światłowodowe oraz routery niezbędne do realizacji przedmiotu zamówienia. Urządzenia i oprogramowanie dzierżawione od Wykonawcy pozostają jego własnością, a koszt ich użytkowania, obsługi, konfiguracji, konserwacji i napraw Wykonawca uwzględni w cenie oferty.</w:t>
      </w:r>
    </w:p>
    <w:p w14:paraId="41AA0D99" w14:textId="77777777" w:rsidR="00D4237C" w:rsidRPr="004D6641" w:rsidRDefault="00D4237C" w:rsidP="0060433D">
      <w:pPr>
        <w:pStyle w:val="Akapitzlist"/>
        <w:widowControl w:val="0"/>
        <w:numPr>
          <w:ilvl w:val="0"/>
          <w:numId w:val="17"/>
        </w:numPr>
        <w:autoSpaceDE w:val="0"/>
        <w:autoSpaceDN w:val="0"/>
        <w:adjustRightInd w:val="0"/>
        <w:spacing w:before="120" w:after="120" w:line="276" w:lineRule="auto"/>
        <w:ind w:left="1134"/>
        <w:contextualSpacing w:val="0"/>
        <w:jc w:val="both"/>
        <w:rPr>
          <w:rFonts w:ascii="Arial" w:eastAsia="Arial Unicode MS" w:hAnsi="Arial" w:cs="Arial"/>
          <w:color w:val="000000"/>
          <w:sz w:val="22"/>
          <w:szCs w:val="22"/>
          <w:u w:color="000000"/>
          <w:bdr w:val="nil"/>
        </w:rPr>
      </w:pPr>
      <w:r w:rsidRPr="004D6641">
        <w:rPr>
          <w:rFonts w:ascii="Arial" w:eastAsia="Arial Unicode MS" w:hAnsi="Arial" w:cs="Arial"/>
          <w:color w:val="000000"/>
          <w:sz w:val="22"/>
          <w:szCs w:val="22"/>
          <w:u w:color="000000"/>
          <w:bdr w:val="nil"/>
        </w:rPr>
        <w:t>Wykonawca udostępni 32 publiczne adresy IP, o adresach następujących po sobie (np. x.x.x.1-32 lub x.x.x.32-64, etc.) w jednej klasie adresowej, które będą przypisane do Zamawiającego przez cały czas świadczenia usługi.</w:t>
      </w:r>
    </w:p>
    <w:p w14:paraId="33D87CA3" w14:textId="77777777" w:rsidR="00D4237C" w:rsidRPr="004D6641" w:rsidRDefault="00D4237C" w:rsidP="0060433D">
      <w:pPr>
        <w:pStyle w:val="Akapitzlist"/>
        <w:widowControl w:val="0"/>
        <w:numPr>
          <w:ilvl w:val="0"/>
          <w:numId w:val="17"/>
        </w:numPr>
        <w:autoSpaceDE w:val="0"/>
        <w:autoSpaceDN w:val="0"/>
        <w:adjustRightInd w:val="0"/>
        <w:spacing w:before="120" w:after="120" w:line="276" w:lineRule="auto"/>
        <w:ind w:left="1134"/>
        <w:contextualSpacing w:val="0"/>
        <w:jc w:val="both"/>
        <w:rPr>
          <w:rFonts w:ascii="Arial" w:eastAsia="Arial Unicode MS" w:hAnsi="Arial" w:cs="Arial"/>
          <w:color w:val="000000"/>
          <w:sz w:val="22"/>
          <w:szCs w:val="22"/>
          <w:u w:color="000000"/>
          <w:bdr w:val="nil"/>
        </w:rPr>
      </w:pPr>
      <w:r w:rsidRPr="004D6641">
        <w:rPr>
          <w:rFonts w:ascii="Arial" w:eastAsia="Arial Unicode MS" w:hAnsi="Arial" w:cs="Arial"/>
          <w:color w:val="000000"/>
          <w:sz w:val="22"/>
          <w:szCs w:val="22"/>
          <w:u w:color="000000"/>
          <w:bdr w:val="nil"/>
        </w:rPr>
        <w:t>W czasie prac wdrożeniowych Wykonawca musi zapewnić ciągłość działania sieci Zamawiającego na łączach dotychczasowego operatora i użytkowanych adresach IP, aż do pełnego przełączenia sieci na nowe łącza. Zakres adresów IP używanych przez Zamawiającego oraz AS pozostaną bez zmian przez cały czas świadczenia usługi.</w:t>
      </w:r>
    </w:p>
    <w:p w14:paraId="1332407A" w14:textId="77777777" w:rsidR="00D4237C" w:rsidRPr="004D6641" w:rsidRDefault="00D4237C" w:rsidP="0060433D">
      <w:pPr>
        <w:pStyle w:val="Akapitzlist"/>
        <w:widowControl w:val="0"/>
        <w:numPr>
          <w:ilvl w:val="0"/>
          <w:numId w:val="17"/>
        </w:numPr>
        <w:autoSpaceDE w:val="0"/>
        <w:autoSpaceDN w:val="0"/>
        <w:adjustRightInd w:val="0"/>
        <w:spacing w:before="120" w:after="120" w:line="276" w:lineRule="auto"/>
        <w:ind w:left="1134"/>
        <w:contextualSpacing w:val="0"/>
        <w:jc w:val="both"/>
        <w:rPr>
          <w:rFonts w:ascii="Arial" w:eastAsia="Arial Unicode MS" w:hAnsi="Arial" w:cs="Arial"/>
          <w:color w:val="000000"/>
          <w:sz w:val="22"/>
          <w:szCs w:val="22"/>
          <w:u w:color="000000"/>
          <w:bdr w:val="nil"/>
        </w:rPr>
      </w:pPr>
      <w:r w:rsidRPr="004D6641">
        <w:rPr>
          <w:rFonts w:ascii="Arial" w:eastAsia="Arial Unicode MS" w:hAnsi="Arial" w:cs="Arial"/>
          <w:color w:val="000000"/>
          <w:sz w:val="22"/>
          <w:szCs w:val="22"/>
          <w:u w:color="000000"/>
          <w:bdr w:val="nil"/>
        </w:rPr>
        <w:lastRenderedPageBreak/>
        <w:t>Wykonawca zapewni Zamawiającemu możliwość całodobowego monitoringu łącza i jego wykorzystania poprzez dostęp „online” do statystyk MRTG.</w:t>
      </w:r>
    </w:p>
    <w:p w14:paraId="09E031D6" w14:textId="77777777" w:rsidR="00D4237C" w:rsidRPr="004D6641" w:rsidRDefault="00D4237C" w:rsidP="0060433D">
      <w:pPr>
        <w:pStyle w:val="Akapitzlist"/>
        <w:widowControl w:val="0"/>
        <w:numPr>
          <w:ilvl w:val="0"/>
          <w:numId w:val="17"/>
        </w:numPr>
        <w:autoSpaceDE w:val="0"/>
        <w:autoSpaceDN w:val="0"/>
        <w:adjustRightInd w:val="0"/>
        <w:spacing w:before="120" w:after="120" w:line="276" w:lineRule="auto"/>
        <w:ind w:left="1134"/>
        <w:contextualSpacing w:val="0"/>
        <w:jc w:val="both"/>
        <w:rPr>
          <w:rFonts w:ascii="Arial" w:eastAsia="Arial Unicode MS" w:hAnsi="Arial" w:cs="Arial"/>
          <w:color w:val="000000"/>
          <w:sz w:val="22"/>
          <w:szCs w:val="22"/>
          <w:u w:color="000000"/>
          <w:bdr w:val="nil"/>
        </w:rPr>
      </w:pPr>
      <w:r w:rsidRPr="004D6641">
        <w:rPr>
          <w:rFonts w:ascii="Arial" w:eastAsia="Arial Unicode MS" w:hAnsi="Arial" w:cs="Arial"/>
          <w:color w:val="000000"/>
          <w:sz w:val="22"/>
          <w:szCs w:val="22"/>
          <w:u w:color="000000"/>
          <w:bdr w:val="nil"/>
        </w:rPr>
        <w:t>Wykonawca zobowiązuje się do:</w:t>
      </w:r>
    </w:p>
    <w:p w14:paraId="480A5E95" w14:textId="2C47D51C" w:rsidR="0060433D" w:rsidRPr="0060433D" w:rsidRDefault="00D4237C" w:rsidP="0060433D">
      <w:pPr>
        <w:pStyle w:val="Akapitzlist"/>
        <w:widowControl w:val="0"/>
        <w:numPr>
          <w:ilvl w:val="0"/>
          <w:numId w:val="20"/>
        </w:numPr>
        <w:autoSpaceDE w:val="0"/>
        <w:autoSpaceDN w:val="0"/>
        <w:adjustRightInd w:val="0"/>
        <w:spacing w:before="120" w:after="120" w:line="276" w:lineRule="auto"/>
        <w:ind w:left="1701" w:hanging="425"/>
        <w:contextualSpacing w:val="0"/>
        <w:jc w:val="both"/>
        <w:rPr>
          <w:rFonts w:ascii="Arial" w:eastAsia="Arial Unicode MS" w:hAnsi="Arial" w:cs="Arial"/>
          <w:color w:val="000000"/>
          <w:sz w:val="22"/>
          <w:szCs w:val="22"/>
          <w:u w:color="000000"/>
          <w:bdr w:val="nil"/>
        </w:rPr>
      </w:pPr>
      <w:r w:rsidRPr="004D6641">
        <w:rPr>
          <w:rFonts w:ascii="Arial" w:eastAsia="Arial Unicode MS" w:hAnsi="Arial" w:cs="Arial"/>
          <w:color w:val="000000"/>
          <w:sz w:val="22"/>
          <w:szCs w:val="22"/>
          <w:u w:color="000000"/>
          <w:bdr w:val="nil"/>
        </w:rPr>
        <w:t>utrzymania od dnia 15.04.2026r. strefy „</w:t>
      </w:r>
      <w:proofErr w:type="spellStart"/>
      <w:r w:rsidRPr="004D6641">
        <w:rPr>
          <w:rFonts w:ascii="Arial" w:eastAsia="Arial Unicode MS" w:hAnsi="Arial" w:cs="Arial"/>
          <w:color w:val="000000"/>
          <w:sz w:val="22"/>
          <w:szCs w:val="22"/>
          <w:u w:color="000000"/>
          <w:bdr w:val="nil"/>
        </w:rPr>
        <w:t>secondary</w:t>
      </w:r>
      <w:proofErr w:type="spellEnd"/>
      <w:r w:rsidRPr="004D6641">
        <w:rPr>
          <w:rFonts w:ascii="Arial" w:eastAsia="Arial Unicode MS" w:hAnsi="Arial" w:cs="Arial"/>
          <w:color w:val="000000"/>
          <w:sz w:val="22"/>
          <w:szCs w:val="22"/>
          <w:u w:color="000000"/>
          <w:bdr w:val="nil"/>
        </w:rPr>
        <w:t xml:space="preserve"> DNS” dla domeny TRANSPORT.GOV.PL, MI.GOV.pl, MIB.GOV.PL lub inne wskazane przez Zamawiającego na swoich serwerach DNS,</w:t>
      </w:r>
    </w:p>
    <w:p w14:paraId="6D777CD4" w14:textId="77777777" w:rsidR="0060433D" w:rsidRDefault="00D4237C" w:rsidP="0060433D">
      <w:pPr>
        <w:pStyle w:val="Akapitzlist"/>
        <w:widowControl w:val="0"/>
        <w:numPr>
          <w:ilvl w:val="0"/>
          <w:numId w:val="20"/>
        </w:numPr>
        <w:autoSpaceDE w:val="0"/>
        <w:autoSpaceDN w:val="0"/>
        <w:adjustRightInd w:val="0"/>
        <w:spacing w:before="120" w:after="120" w:line="276" w:lineRule="auto"/>
        <w:ind w:left="1701" w:hanging="425"/>
        <w:contextualSpacing w:val="0"/>
        <w:jc w:val="both"/>
        <w:rPr>
          <w:rFonts w:ascii="Arial" w:eastAsia="Arial Unicode MS" w:hAnsi="Arial" w:cs="Arial"/>
          <w:color w:val="000000"/>
          <w:sz w:val="22"/>
          <w:szCs w:val="22"/>
          <w:u w:color="000000"/>
          <w:bdr w:val="nil"/>
        </w:rPr>
      </w:pPr>
      <w:r w:rsidRPr="004D6641">
        <w:rPr>
          <w:rFonts w:ascii="Arial" w:eastAsia="Arial Unicode MS" w:hAnsi="Arial" w:cs="Arial"/>
          <w:color w:val="000000"/>
          <w:sz w:val="22"/>
          <w:szCs w:val="22"/>
          <w:u w:color="000000"/>
          <w:bdr w:val="nil"/>
        </w:rPr>
        <w:t>Podpisania umowy miedzy ISP a MI dotyczącej „pośrednictwa ISP w przydziale Zasobów przez RIPE NCC i obsługę w ramach statusu LIR wykonywaną przez ISP, związaną z utrzymywaniem Zasobów w Bazie Danych RIPE przez RIPE NCC.</w:t>
      </w:r>
    </w:p>
    <w:p w14:paraId="7664503D" w14:textId="39CF6FAD" w:rsidR="00D4237C" w:rsidRPr="0060433D" w:rsidRDefault="00D4237C" w:rsidP="0060433D">
      <w:pPr>
        <w:pStyle w:val="Akapitzlist"/>
        <w:widowControl w:val="0"/>
        <w:numPr>
          <w:ilvl w:val="0"/>
          <w:numId w:val="20"/>
        </w:numPr>
        <w:autoSpaceDE w:val="0"/>
        <w:autoSpaceDN w:val="0"/>
        <w:adjustRightInd w:val="0"/>
        <w:spacing w:before="120" w:after="120" w:line="276" w:lineRule="auto"/>
        <w:ind w:left="1701" w:hanging="425"/>
        <w:contextualSpacing w:val="0"/>
        <w:jc w:val="both"/>
        <w:rPr>
          <w:rFonts w:ascii="Arial" w:eastAsia="Arial Unicode MS" w:hAnsi="Arial" w:cs="Arial"/>
          <w:color w:val="000000"/>
          <w:sz w:val="22"/>
          <w:szCs w:val="22"/>
          <w:u w:color="000000"/>
          <w:bdr w:val="nil"/>
        </w:rPr>
      </w:pPr>
      <w:r w:rsidRPr="0060433D">
        <w:rPr>
          <w:rFonts w:ascii="Arial" w:eastAsia="Arial Unicode MS" w:hAnsi="Arial" w:cs="Arial"/>
          <w:color w:val="000000"/>
          <w:sz w:val="22"/>
          <w:szCs w:val="22"/>
          <w:u w:color="000000"/>
          <w:bdr w:val="nil"/>
        </w:rPr>
        <w:t xml:space="preserve">uiszczania opłat od 15.04.2026r. za adresację IP oraz numerów w RIPE, które są przypisane do Zamawiającego w lokalizacji Nowy Świat 6/12, </w:t>
      </w:r>
      <w:r w:rsidR="0060433D">
        <w:rPr>
          <w:rFonts w:ascii="Arial" w:eastAsia="Arial Unicode MS" w:hAnsi="Arial" w:cs="Arial"/>
          <w:color w:val="000000"/>
          <w:sz w:val="22"/>
          <w:szCs w:val="22"/>
          <w:u w:color="000000"/>
          <w:bdr w:val="nil"/>
        </w:rPr>
        <w:br/>
      </w:r>
      <w:r w:rsidRPr="0060433D">
        <w:rPr>
          <w:rFonts w:ascii="Arial" w:eastAsia="Arial Unicode MS" w:hAnsi="Arial" w:cs="Arial"/>
          <w:color w:val="000000"/>
          <w:sz w:val="22"/>
          <w:szCs w:val="22"/>
          <w:u w:color="000000"/>
          <w:bdr w:val="nil"/>
        </w:rPr>
        <w:t>00-400 Warszawa w terminie do końca okresu świadczenia usług transmisji danych (do dnia zakończenia wykonywania Przedmiotu Zamówienia).</w:t>
      </w:r>
    </w:p>
    <w:p w14:paraId="0D2B6933" w14:textId="77777777" w:rsidR="0060433D" w:rsidRDefault="0060433D" w:rsidP="0060433D">
      <w:pPr>
        <w:pStyle w:val="Akapitzlist"/>
        <w:widowControl w:val="0"/>
        <w:autoSpaceDE w:val="0"/>
        <w:autoSpaceDN w:val="0"/>
        <w:adjustRightInd w:val="0"/>
        <w:spacing w:before="120" w:after="120" w:line="276" w:lineRule="auto"/>
        <w:contextualSpacing w:val="0"/>
        <w:jc w:val="both"/>
        <w:rPr>
          <w:rFonts w:ascii="Arial" w:eastAsia="Arial Unicode MS" w:hAnsi="Arial" w:cs="Arial"/>
          <w:b/>
          <w:color w:val="000000"/>
          <w:sz w:val="22"/>
          <w:szCs w:val="22"/>
          <w:u w:color="000000"/>
          <w:bdr w:val="nil"/>
        </w:rPr>
      </w:pPr>
    </w:p>
    <w:p w14:paraId="01673E2F" w14:textId="41D7C19D" w:rsidR="00D4237C" w:rsidRPr="004D6641" w:rsidRDefault="00D4237C" w:rsidP="0060433D">
      <w:pPr>
        <w:pStyle w:val="Akapitzlist"/>
        <w:widowControl w:val="0"/>
        <w:numPr>
          <w:ilvl w:val="0"/>
          <w:numId w:val="16"/>
        </w:numPr>
        <w:autoSpaceDE w:val="0"/>
        <w:autoSpaceDN w:val="0"/>
        <w:adjustRightInd w:val="0"/>
        <w:spacing w:before="120" w:after="120" w:line="276" w:lineRule="auto"/>
        <w:ind w:hanging="357"/>
        <w:contextualSpacing w:val="0"/>
        <w:jc w:val="both"/>
        <w:rPr>
          <w:rFonts w:ascii="Arial" w:eastAsia="Arial Unicode MS" w:hAnsi="Arial" w:cs="Arial"/>
          <w:b/>
          <w:color w:val="000000"/>
          <w:sz w:val="22"/>
          <w:szCs w:val="22"/>
          <w:u w:color="000000"/>
          <w:bdr w:val="nil"/>
        </w:rPr>
      </w:pPr>
      <w:r w:rsidRPr="004D6641">
        <w:rPr>
          <w:rFonts w:ascii="Arial" w:eastAsia="Arial Unicode MS" w:hAnsi="Arial" w:cs="Arial"/>
          <w:b/>
          <w:color w:val="000000"/>
          <w:sz w:val="22"/>
          <w:szCs w:val="22"/>
          <w:u w:color="000000"/>
          <w:bdr w:val="nil"/>
        </w:rPr>
        <w:t>Warunki dotyczące Wykonawcy:</w:t>
      </w:r>
    </w:p>
    <w:p w14:paraId="70C934AA" w14:textId="77777777" w:rsidR="00D4237C" w:rsidRPr="004D6641" w:rsidRDefault="00D4237C" w:rsidP="0060433D">
      <w:pPr>
        <w:widowControl w:val="0"/>
        <w:numPr>
          <w:ilvl w:val="0"/>
          <w:numId w:val="15"/>
        </w:numPr>
        <w:autoSpaceDE w:val="0"/>
        <w:autoSpaceDN w:val="0"/>
        <w:adjustRightInd w:val="0"/>
        <w:spacing w:before="120" w:after="120" w:line="276" w:lineRule="auto"/>
        <w:ind w:left="1134"/>
        <w:jc w:val="both"/>
        <w:rPr>
          <w:rFonts w:ascii="Arial" w:eastAsia="Arial Unicode MS" w:hAnsi="Arial" w:cs="Arial"/>
          <w:color w:val="000000"/>
          <w:sz w:val="22"/>
          <w:szCs w:val="22"/>
          <w:u w:color="000000"/>
          <w:bdr w:val="nil"/>
        </w:rPr>
      </w:pPr>
      <w:r w:rsidRPr="004D6641">
        <w:rPr>
          <w:rFonts w:ascii="Arial" w:eastAsia="Arial Unicode MS" w:hAnsi="Arial" w:cs="Arial"/>
          <w:color w:val="000000"/>
          <w:sz w:val="22"/>
          <w:szCs w:val="22"/>
          <w:u w:color="000000"/>
          <w:bdr w:val="nil"/>
        </w:rPr>
        <w:t xml:space="preserve">Wykonawca musi w okresie realizacji Umowy posiadać bezpośrednie połączenie do co najmniej jednego globalnego operatora, posiadającego bezpośrednie połączenia do międzynarodowych punktów wymiany ruchu internetowego, których bezpośrednimi uczestnikami są globalni operatorzy, </w:t>
      </w:r>
    </w:p>
    <w:p w14:paraId="71F6424F" w14:textId="127DDF13" w:rsidR="00D4237C" w:rsidRPr="004D6641" w:rsidRDefault="00D4237C" w:rsidP="0060433D">
      <w:pPr>
        <w:pStyle w:val="Akapitzlist"/>
        <w:widowControl w:val="0"/>
        <w:numPr>
          <w:ilvl w:val="0"/>
          <w:numId w:val="15"/>
        </w:numPr>
        <w:autoSpaceDE w:val="0"/>
        <w:autoSpaceDN w:val="0"/>
        <w:adjustRightInd w:val="0"/>
        <w:spacing w:before="120" w:after="120" w:line="276" w:lineRule="auto"/>
        <w:ind w:left="1134"/>
        <w:contextualSpacing w:val="0"/>
        <w:jc w:val="both"/>
        <w:rPr>
          <w:rFonts w:ascii="Arial" w:eastAsia="Arial Unicode MS" w:hAnsi="Arial" w:cs="Arial"/>
          <w:color w:val="000000"/>
          <w:sz w:val="22"/>
          <w:szCs w:val="22"/>
          <w:u w:color="000000"/>
          <w:bdr w:val="nil"/>
        </w:rPr>
      </w:pPr>
      <w:r w:rsidRPr="004D6641">
        <w:rPr>
          <w:rFonts w:ascii="Arial" w:eastAsia="Arial Unicode MS" w:hAnsi="Arial" w:cs="Arial"/>
          <w:color w:val="000000"/>
          <w:sz w:val="22"/>
          <w:szCs w:val="22"/>
          <w:u w:color="000000"/>
          <w:bdr w:val="nil"/>
        </w:rPr>
        <w:t>Wykonawca musi posiadać w okresie realizacji Umowy bezpośrednie połączenia do co najmniej dwóch operatorów krajowych, posiadających bezpośrednie połączenia do międzynarodowych punktów wymiany ruchu internetowego (IX), którego uczestnikami bezpośrednimi są globalni operatorzy (co najmniej jednego), oraz posiadających połączenie do co najmniej jednego globalnego operatora, mającego bezpośrednie połączenie do międzynarodowych punktów wymiany ruchu internetowego,</w:t>
      </w:r>
    </w:p>
    <w:p w14:paraId="0F5AD34D" w14:textId="77777777" w:rsidR="00D4237C" w:rsidRPr="004D6641" w:rsidRDefault="00D4237C" w:rsidP="0060433D">
      <w:pPr>
        <w:pStyle w:val="Akapitzlist"/>
        <w:widowControl w:val="0"/>
        <w:numPr>
          <w:ilvl w:val="0"/>
          <w:numId w:val="15"/>
        </w:numPr>
        <w:autoSpaceDE w:val="0"/>
        <w:autoSpaceDN w:val="0"/>
        <w:adjustRightInd w:val="0"/>
        <w:spacing w:before="120" w:after="120" w:line="276" w:lineRule="auto"/>
        <w:ind w:left="1134"/>
        <w:contextualSpacing w:val="0"/>
        <w:jc w:val="both"/>
        <w:rPr>
          <w:rFonts w:ascii="Arial" w:eastAsia="Arial Unicode MS" w:hAnsi="Arial" w:cs="Arial"/>
          <w:color w:val="000000"/>
          <w:sz w:val="22"/>
          <w:szCs w:val="22"/>
          <w:u w:color="000000"/>
          <w:bdr w:val="nil"/>
        </w:rPr>
      </w:pPr>
      <w:r w:rsidRPr="004D6641">
        <w:rPr>
          <w:rFonts w:ascii="Arial" w:eastAsia="Arial Unicode MS" w:hAnsi="Arial" w:cs="Arial"/>
          <w:color w:val="000000"/>
          <w:sz w:val="22"/>
          <w:szCs w:val="22"/>
          <w:u w:color="000000"/>
          <w:bdr w:val="nil"/>
        </w:rPr>
        <w:t>Wykonawca zobowiązany jest do utrzymania na swoich urządzeniach dostępowych posiadanej przez Ministerstwo Infrastruktury usługi AS BGP. Podstawową adresacją IP ma być już posiadana przez Zamawiającego adresacja AS BGP.</w:t>
      </w:r>
    </w:p>
    <w:p w14:paraId="15A3A403" w14:textId="77777777" w:rsidR="0060433D" w:rsidRDefault="0060433D" w:rsidP="0060433D">
      <w:pPr>
        <w:pStyle w:val="10"/>
        <w:numPr>
          <w:ilvl w:val="0"/>
          <w:numId w:val="0"/>
        </w:numPr>
        <w:spacing w:after="120" w:line="276" w:lineRule="auto"/>
        <w:ind w:left="720"/>
        <w:rPr>
          <w:sz w:val="22"/>
          <w:szCs w:val="22"/>
        </w:rPr>
      </w:pPr>
    </w:p>
    <w:p w14:paraId="3A83F64D" w14:textId="01E3A7A9" w:rsidR="006D399D" w:rsidRPr="004D6641" w:rsidRDefault="006D399D" w:rsidP="0060433D">
      <w:pPr>
        <w:pStyle w:val="10"/>
        <w:numPr>
          <w:ilvl w:val="0"/>
          <w:numId w:val="16"/>
        </w:numPr>
        <w:spacing w:after="120" w:line="276" w:lineRule="auto"/>
        <w:rPr>
          <w:sz w:val="22"/>
          <w:szCs w:val="22"/>
        </w:rPr>
      </w:pPr>
      <w:r w:rsidRPr="004D6641">
        <w:rPr>
          <w:sz w:val="22"/>
          <w:szCs w:val="22"/>
        </w:rPr>
        <w:t>Gwarancja dostępność usługi</w:t>
      </w:r>
    </w:p>
    <w:p w14:paraId="738CC867" w14:textId="77777777" w:rsidR="006D399D" w:rsidRPr="004D6641" w:rsidRDefault="006D399D" w:rsidP="0060433D">
      <w:pPr>
        <w:pStyle w:val="a"/>
        <w:numPr>
          <w:ilvl w:val="0"/>
          <w:numId w:val="25"/>
        </w:numPr>
        <w:spacing w:after="120" w:line="276" w:lineRule="auto"/>
        <w:ind w:left="1134"/>
        <w:rPr>
          <w:sz w:val="22"/>
          <w:szCs w:val="22"/>
        </w:rPr>
      </w:pPr>
      <w:r w:rsidRPr="004D6641">
        <w:rPr>
          <w:sz w:val="22"/>
          <w:szCs w:val="22"/>
        </w:rPr>
        <w:t>Wykonawca zagwarantuje usługę typu SLA, która obejmuje:</w:t>
      </w:r>
    </w:p>
    <w:p w14:paraId="7AF10EDA" w14:textId="0C393C1C" w:rsidR="006D399D" w:rsidRPr="004D6641" w:rsidRDefault="006D399D" w:rsidP="0060433D">
      <w:pPr>
        <w:pStyle w:val="a"/>
        <w:numPr>
          <w:ilvl w:val="0"/>
          <w:numId w:val="23"/>
        </w:numPr>
        <w:spacing w:after="120" w:line="276" w:lineRule="auto"/>
        <w:ind w:left="1701" w:hanging="425"/>
        <w:rPr>
          <w:sz w:val="22"/>
          <w:szCs w:val="22"/>
        </w:rPr>
      </w:pPr>
      <w:r w:rsidRPr="004D6641">
        <w:rPr>
          <w:sz w:val="22"/>
          <w:szCs w:val="22"/>
        </w:rPr>
        <w:t xml:space="preserve">Miesięczną dostępność usług, o których mowa w pkt </w:t>
      </w:r>
      <w:r w:rsidR="004D6641" w:rsidRPr="004D6641">
        <w:rPr>
          <w:sz w:val="22"/>
          <w:szCs w:val="22"/>
        </w:rPr>
        <w:t>II</w:t>
      </w:r>
      <w:r w:rsidRPr="004D6641">
        <w:rPr>
          <w:sz w:val="22"/>
          <w:szCs w:val="22"/>
        </w:rPr>
        <w:t xml:space="preserve"> </w:t>
      </w:r>
      <w:proofErr w:type="spellStart"/>
      <w:r w:rsidRPr="004D6641">
        <w:rPr>
          <w:sz w:val="22"/>
          <w:szCs w:val="22"/>
        </w:rPr>
        <w:t>ppkt</w:t>
      </w:r>
      <w:proofErr w:type="spellEnd"/>
      <w:r w:rsidRPr="004D6641">
        <w:rPr>
          <w:sz w:val="22"/>
          <w:szCs w:val="22"/>
        </w:rPr>
        <w:t xml:space="preserve"> 1) lit. a), </w:t>
      </w:r>
      <w:r w:rsidR="0060433D">
        <w:rPr>
          <w:sz w:val="22"/>
          <w:szCs w:val="22"/>
        </w:rPr>
        <w:br/>
      </w:r>
      <w:r w:rsidRPr="004D6641">
        <w:rPr>
          <w:sz w:val="22"/>
          <w:szCs w:val="22"/>
        </w:rPr>
        <w:t>na poziomie minimum 99,7%.</w:t>
      </w:r>
    </w:p>
    <w:p w14:paraId="0CD3AFB8" w14:textId="77777777" w:rsidR="006D399D" w:rsidRPr="004D6641" w:rsidRDefault="006D399D" w:rsidP="0060433D">
      <w:pPr>
        <w:pStyle w:val="a"/>
        <w:numPr>
          <w:ilvl w:val="0"/>
          <w:numId w:val="23"/>
        </w:numPr>
        <w:spacing w:after="120" w:line="276" w:lineRule="auto"/>
        <w:ind w:left="1701" w:hanging="425"/>
        <w:rPr>
          <w:sz w:val="22"/>
          <w:szCs w:val="22"/>
        </w:rPr>
      </w:pPr>
      <w:r w:rsidRPr="004D6641">
        <w:rPr>
          <w:sz w:val="22"/>
          <w:szCs w:val="22"/>
        </w:rPr>
        <w:t>Ciągłe monitorowanie parametrów SLA oraz obciążenia wszystkich łączy.</w:t>
      </w:r>
    </w:p>
    <w:p w14:paraId="3008D653" w14:textId="77777777" w:rsidR="006D399D" w:rsidRPr="004D6641" w:rsidRDefault="006D399D" w:rsidP="0060433D">
      <w:pPr>
        <w:pStyle w:val="a"/>
        <w:numPr>
          <w:ilvl w:val="0"/>
          <w:numId w:val="23"/>
        </w:numPr>
        <w:spacing w:after="120" w:line="276" w:lineRule="auto"/>
        <w:ind w:left="1701" w:hanging="425"/>
        <w:rPr>
          <w:sz w:val="22"/>
          <w:szCs w:val="22"/>
        </w:rPr>
      </w:pPr>
      <w:r w:rsidRPr="004D6641">
        <w:rPr>
          <w:sz w:val="22"/>
          <w:szCs w:val="22"/>
        </w:rPr>
        <w:t>Możliwość generowania co najmniej miesięcznych i rocznych raportów z parametrów SLA, w postaci tekstowej oraz graficznej.</w:t>
      </w:r>
    </w:p>
    <w:p w14:paraId="5E12F5A2" w14:textId="0F44ACCD" w:rsidR="006D399D" w:rsidRPr="004D6641" w:rsidRDefault="006D399D" w:rsidP="0060433D">
      <w:pPr>
        <w:pStyle w:val="a"/>
        <w:numPr>
          <w:ilvl w:val="0"/>
          <w:numId w:val="23"/>
        </w:numPr>
        <w:spacing w:after="120" w:line="276" w:lineRule="auto"/>
        <w:ind w:left="1701" w:hanging="425"/>
        <w:rPr>
          <w:sz w:val="22"/>
          <w:szCs w:val="22"/>
        </w:rPr>
      </w:pPr>
      <w:r w:rsidRPr="004D6641">
        <w:rPr>
          <w:sz w:val="22"/>
          <w:szCs w:val="22"/>
        </w:rPr>
        <w:t xml:space="preserve">Usunięcia awarii usług, o których mowa pkt </w:t>
      </w:r>
      <w:r w:rsidR="004D6641" w:rsidRPr="004D6641">
        <w:rPr>
          <w:sz w:val="22"/>
          <w:szCs w:val="22"/>
        </w:rPr>
        <w:t>II</w:t>
      </w:r>
      <w:r w:rsidRPr="004D6641">
        <w:rPr>
          <w:sz w:val="22"/>
          <w:szCs w:val="22"/>
        </w:rPr>
        <w:t xml:space="preserve"> </w:t>
      </w:r>
      <w:proofErr w:type="spellStart"/>
      <w:r w:rsidRPr="004D6641">
        <w:rPr>
          <w:sz w:val="22"/>
          <w:szCs w:val="22"/>
        </w:rPr>
        <w:t>ppkt</w:t>
      </w:r>
      <w:proofErr w:type="spellEnd"/>
      <w:r w:rsidRPr="004D6641">
        <w:rPr>
          <w:sz w:val="22"/>
          <w:szCs w:val="22"/>
        </w:rPr>
        <w:t xml:space="preserve"> 1) lit. a), w ciągu 4 godzin od momentu jej zgłoszenia przez Zamawiającego lub wykrycia przez Wykonawcę.</w:t>
      </w:r>
    </w:p>
    <w:p w14:paraId="18662CA2" w14:textId="77777777" w:rsidR="006D399D" w:rsidRPr="004D6641" w:rsidRDefault="006D399D" w:rsidP="0060433D">
      <w:pPr>
        <w:pStyle w:val="a"/>
        <w:numPr>
          <w:ilvl w:val="0"/>
          <w:numId w:val="23"/>
        </w:numPr>
        <w:spacing w:after="120" w:line="276" w:lineRule="auto"/>
        <w:ind w:left="1701" w:hanging="425"/>
        <w:rPr>
          <w:sz w:val="22"/>
          <w:szCs w:val="22"/>
        </w:rPr>
      </w:pPr>
      <w:r w:rsidRPr="004D6641">
        <w:rPr>
          <w:sz w:val="22"/>
          <w:szCs w:val="22"/>
        </w:rPr>
        <w:t>Dostępność służb technicznych 24 godziny na dobę, 7 dni w tygodniu, 365 dni w roku.</w:t>
      </w:r>
    </w:p>
    <w:p w14:paraId="3456286B" w14:textId="77777777" w:rsidR="0060433D" w:rsidRDefault="0060433D" w:rsidP="0060433D">
      <w:pPr>
        <w:widowControl w:val="0"/>
        <w:autoSpaceDE w:val="0"/>
        <w:autoSpaceDN w:val="0"/>
        <w:adjustRightInd w:val="0"/>
        <w:spacing w:before="120" w:after="120" w:line="276" w:lineRule="auto"/>
        <w:jc w:val="both"/>
        <w:rPr>
          <w:rFonts w:ascii="Arial" w:eastAsia="Arial Unicode MS" w:hAnsi="Arial" w:cs="Arial"/>
          <w:b/>
          <w:color w:val="000000"/>
          <w:sz w:val="22"/>
          <w:szCs w:val="22"/>
          <w:u w:color="000000"/>
          <w:bdr w:val="nil"/>
        </w:rPr>
      </w:pPr>
    </w:p>
    <w:p w14:paraId="2435C4F6" w14:textId="77777777" w:rsidR="0060433D" w:rsidRPr="0060433D" w:rsidRDefault="0060433D" w:rsidP="0060433D">
      <w:pPr>
        <w:widowControl w:val="0"/>
        <w:autoSpaceDE w:val="0"/>
        <w:autoSpaceDN w:val="0"/>
        <w:adjustRightInd w:val="0"/>
        <w:spacing w:before="120" w:after="120" w:line="276" w:lineRule="auto"/>
        <w:jc w:val="both"/>
        <w:rPr>
          <w:rFonts w:ascii="Arial" w:eastAsia="Arial Unicode MS" w:hAnsi="Arial" w:cs="Arial"/>
          <w:b/>
          <w:color w:val="000000"/>
          <w:sz w:val="22"/>
          <w:szCs w:val="22"/>
          <w:u w:color="000000"/>
          <w:bdr w:val="nil"/>
        </w:rPr>
      </w:pPr>
    </w:p>
    <w:p w14:paraId="0B3FEADC" w14:textId="79F7D93E" w:rsidR="004D6641" w:rsidRPr="004D6641" w:rsidRDefault="004D6641" w:rsidP="0060433D">
      <w:pPr>
        <w:pStyle w:val="Akapitzlist"/>
        <w:widowControl w:val="0"/>
        <w:numPr>
          <w:ilvl w:val="0"/>
          <w:numId w:val="16"/>
        </w:numPr>
        <w:autoSpaceDE w:val="0"/>
        <w:autoSpaceDN w:val="0"/>
        <w:adjustRightInd w:val="0"/>
        <w:spacing w:before="120" w:after="120" w:line="276" w:lineRule="auto"/>
        <w:contextualSpacing w:val="0"/>
        <w:jc w:val="both"/>
        <w:rPr>
          <w:rFonts w:ascii="Arial" w:eastAsia="Arial Unicode MS" w:hAnsi="Arial" w:cs="Arial"/>
          <w:b/>
          <w:color w:val="000000"/>
          <w:sz w:val="22"/>
          <w:szCs w:val="22"/>
          <w:u w:color="000000"/>
          <w:bdr w:val="nil"/>
        </w:rPr>
      </w:pPr>
      <w:r w:rsidRPr="004D6641">
        <w:rPr>
          <w:rFonts w:ascii="Arial" w:eastAsia="Arial Unicode MS" w:hAnsi="Arial" w:cs="Arial"/>
          <w:b/>
          <w:color w:val="000000"/>
          <w:sz w:val="22"/>
          <w:szCs w:val="22"/>
          <w:u w:color="000000"/>
          <w:bdr w:val="nil"/>
        </w:rPr>
        <w:t>Warunki zgłaszania awarii</w:t>
      </w:r>
    </w:p>
    <w:p w14:paraId="2E21ACCD" w14:textId="77777777" w:rsidR="004D6641" w:rsidRPr="004D6641" w:rsidRDefault="004D6641" w:rsidP="0060433D">
      <w:pPr>
        <w:widowControl w:val="0"/>
        <w:numPr>
          <w:ilvl w:val="0"/>
          <w:numId w:val="24"/>
        </w:numPr>
        <w:autoSpaceDE w:val="0"/>
        <w:autoSpaceDN w:val="0"/>
        <w:adjustRightInd w:val="0"/>
        <w:spacing w:before="120" w:after="120" w:line="276" w:lineRule="auto"/>
        <w:ind w:left="1134" w:hanging="357"/>
        <w:jc w:val="both"/>
        <w:rPr>
          <w:rFonts w:ascii="Arial" w:eastAsia="Arial Unicode MS" w:hAnsi="Arial" w:cs="Arial"/>
          <w:color w:val="000000"/>
          <w:sz w:val="22"/>
          <w:szCs w:val="22"/>
          <w:u w:color="000000"/>
          <w:bdr w:val="nil"/>
        </w:rPr>
      </w:pPr>
      <w:r w:rsidRPr="004D6641">
        <w:rPr>
          <w:rFonts w:ascii="Arial" w:eastAsia="Arial Unicode MS" w:hAnsi="Arial" w:cs="Arial"/>
          <w:color w:val="000000"/>
          <w:sz w:val="22"/>
          <w:szCs w:val="22"/>
          <w:u w:color="000000"/>
          <w:bdr w:val="nil"/>
        </w:rPr>
        <w:t>Zamawiający zobowiązuje się do zgłoszenia Wykonawcy awarii, usterek, wad lub innych nieprawidłowości w świadczeniu usługi dostępu do Internetu, zwanego dalej „zgłoszeniem”, niezwłocznie po ich stwierdzeniu.</w:t>
      </w:r>
    </w:p>
    <w:p w14:paraId="5CEEF4C2" w14:textId="77777777" w:rsidR="004D6641" w:rsidRPr="004D6641" w:rsidRDefault="004D6641" w:rsidP="0060433D">
      <w:pPr>
        <w:pStyle w:val="Akapitzlist"/>
        <w:widowControl w:val="0"/>
        <w:numPr>
          <w:ilvl w:val="0"/>
          <w:numId w:val="24"/>
        </w:numPr>
        <w:autoSpaceDE w:val="0"/>
        <w:autoSpaceDN w:val="0"/>
        <w:adjustRightInd w:val="0"/>
        <w:spacing w:before="120" w:after="120" w:line="276" w:lineRule="auto"/>
        <w:ind w:left="1134" w:hanging="357"/>
        <w:contextualSpacing w:val="0"/>
        <w:jc w:val="both"/>
        <w:rPr>
          <w:rFonts w:ascii="Arial" w:eastAsia="Arial Unicode MS" w:hAnsi="Arial" w:cs="Arial"/>
          <w:color w:val="000000"/>
          <w:sz w:val="22"/>
          <w:szCs w:val="22"/>
          <w:u w:color="000000"/>
          <w:bdr w:val="nil"/>
        </w:rPr>
      </w:pPr>
      <w:r w:rsidRPr="004D6641">
        <w:rPr>
          <w:rFonts w:ascii="Arial" w:eastAsia="Arial Unicode MS" w:hAnsi="Arial" w:cs="Arial"/>
          <w:color w:val="000000"/>
          <w:sz w:val="22"/>
          <w:szCs w:val="22"/>
          <w:u w:color="000000"/>
          <w:bdr w:val="nil"/>
        </w:rPr>
        <w:t>Zamawiający zobowiązuje się zapewnienia całodobowego dostępu do urządzeń Wykonawcy w celu przeprowadzenia napraw i konserwacji (po uprzednim uzgodnieniu terminu wykonania tych czynności). Naprawy i konserwacje będą wykonywane przez osoby uprzednio zgłoszone przez Wykonawcę w obecności osoby reprezentującej Zamawiającego.</w:t>
      </w:r>
    </w:p>
    <w:p w14:paraId="5630B0D5" w14:textId="77777777" w:rsidR="004D6641" w:rsidRPr="004D6641" w:rsidRDefault="004D6641" w:rsidP="0060433D">
      <w:pPr>
        <w:pStyle w:val="Akapitzlist"/>
        <w:widowControl w:val="0"/>
        <w:numPr>
          <w:ilvl w:val="0"/>
          <w:numId w:val="24"/>
        </w:numPr>
        <w:autoSpaceDE w:val="0"/>
        <w:autoSpaceDN w:val="0"/>
        <w:adjustRightInd w:val="0"/>
        <w:spacing w:before="120" w:after="120" w:line="276" w:lineRule="auto"/>
        <w:ind w:left="1134" w:hanging="357"/>
        <w:contextualSpacing w:val="0"/>
        <w:jc w:val="both"/>
        <w:rPr>
          <w:rFonts w:ascii="Arial" w:eastAsia="Arial Unicode MS" w:hAnsi="Arial" w:cs="Arial"/>
          <w:color w:val="000000"/>
          <w:sz w:val="22"/>
          <w:szCs w:val="22"/>
          <w:u w:color="000000"/>
          <w:bdr w:val="nil"/>
        </w:rPr>
      </w:pPr>
      <w:r w:rsidRPr="004D6641">
        <w:rPr>
          <w:rFonts w:ascii="Arial" w:eastAsia="Arial Unicode MS" w:hAnsi="Arial" w:cs="Arial"/>
          <w:color w:val="000000"/>
          <w:sz w:val="22"/>
          <w:szCs w:val="22"/>
          <w:u w:color="000000"/>
          <w:bdr w:val="nil"/>
        </w:rPr>
        <w:t>Zgłoszenia będą przyjmowane przez Wykonawcę całodobowo przez 7 dni w tygodniu, telefonicznie, lub mailem</w:t>
      </w:r>
    </w:p>
    <w:p w14:paraId="24FCCCF9" w14:textId="77777777" w:rsidR="004D6641" w:rsidRPr="004D6641" w:rsidRDefault="004D6641" w:rsidP="0060433D">
      <w:pPr>
        <w:pStyle w:val="Akapitzlist"/>
        <w:widowControl w:val="0"/>
        <w:numPr>
          <w:ilvl w:val="0"/>
          <w:numId w:val="24"/>
        </w:numPr>
        <w:autoSpaceDE w:val="0"/>
        <w:autoSpaceDN w:val="0"/>
        <w:adjustRightInd w:val="0"/>
        <w:spacing w:before="120" w:after="120" w:line="276" w:lineRule="auto"/>
        <w:ind w:left="1134" w:hanging="357"/>
        <w:contextualSpacing w:val="0"/>
        <w:jc w:val="both"/>
        <w:rPr>
          <w:rFonts w:ascii="Arial" w:eastAsia="Arial Unicode MS" w:hAnsi="Arial" w:cs="Arial"/>
          <w:color w:val="000000"/>
          <w:sz w:val="22"/>
          <w:szCs w:val="22"/>
          <w:u w:color="000000"/>
          <w:bdr w:val="nil"/>
        </w:rPr>
      </w:pPr>
      <w:r w:rsidRPr="004D6641">
        <w:rPr>
          <w:rFonts w:ascii="Arial" w:eastAsia="Arial Unicode MS" w:hAnsi="Arial" w:cs="Arial"/>
          <w:color w:val="000000"/>
          <w:sz w:val="22"/>
          <w:szCs w:val="22"/>
          <w:u w:color="000000"/>
          <w:bdr w:val="nil"/>
        </w:rPr>
        <w:t>Wykonawca zobowiązuje się do przystąpienia usunięcia awarii w czasie do 2 godzin.</w:t>
      </w:r>
    </w:p>
    <w:p w14:paraId="11502E06" w14:textId="4575B249" w:rsidR="004D6641" w:rsidRPr="004D6641" w:rsidRDefault="004D6641" w:rsidP="0060433D">
      <w:pPr>
        <w:pStyle w:val="Akapitzlist"/>
        <w:widowControl w:val="0"/>
        <w:numPr>
          <w:ilvl w:val="0"/>
          <w:numId w:val="24"/>
        </w:numPr>
        <w:autoSpaceDE w:val="0"/>
        <w:autoSpaceDN w:val="0"/>
        <w:adjustRightInd w:val="0"/>
        <w:spacing w:before="120" w:after="120" w:line="276" w:lineRule="auto"/>
        <w:ind w:left="1134" w:hanging="357"/>
        <w:contextualSpacing w:val="0"/>
        <w:jc w:val="both"/>
        <w:rPr>
          <w:rFonts w:ascii="Arial" w:eastAsia="Arial Unicode MS" w:hAnsi="Arial" w:cs="Arial"/>
          <w:color w:val="000000"/>
          <w:sz w:val="22"/>
          <w:szCs w:val="22"/>
          <w:u w:color="000000"/>
          <w:bdr w:val="nil"/>
        </w:rPr>
      </w:pPr>
      <w:r w:rsidRPr="004D6641">
        <w:rPr>
          <w:rFonts w:ascii="Arial" w:eastAsia="Arial Unicode MS" w:hAnsi="Arial" w:cs="Arial"/>
          <w:color w:val="000000"/>
          <w:sz w:val="22"/>
          <w:szCs w:val="22"/>
          <w:u w:color="000000"/>
          <w:bdr w:val="nil"/>
        </w:rPr>
        <w:t xml:space="preserve">Wykonawca potwierdzi przystąpienie do usunięcia awarii poprzez wysłanie email do Zamawiającego na adres </w:t>
      </w:r>
      <w:hyperlink r:id="rId8" w:history="1">
        <w:r w:rsidRPr="004D6641">
          <w:rPr>
            <w:rStyle w:val="Hipercze"/>
            <w:rFonts w:ascii="Arial" w:eastAsia="Arial Unicode MS" w:hAnsi="Arial" w:cs="Arial"/>
            <w:sz w:val="22"/>
            <w:szCs w:val="22"/>
            <w:bdr w:val="nil"/>
          </w:rPr>
          <w:t>it-public@mi.gov.pl</w:t>
        </w:r>
      </w:hyperlink>
      <w:r w:rsidRPr="004D6641">
        <w:rPr>
          <w:rFonts w:ascii="Arial" w:eastAsia="Arial Unicode MS" w:hAnsi="Arial" w:cs="Arial"/>
          <w:color w:val="000000"/>
          <w:sz w:val="22"/>
          <w:szCs w:val="22"/>
          <w:u w:color="000000"/>
          <w:bdr w:val="nil"/>
        </w:rPr>
        <w:t xml:space="preserve"> </w:t>
      </w:r>
    </w:p>
    <w:p w14:paraId="4C024D2F" w14:textId="77777777" w:rsidR="004D6641" w:rsidRDefault="004D6641" w:rsidP="0060433D">
      <w:pPr>
        <w:pStyle w:val="Akapitzlist"/>
        <w:widowControl w:val="0"/>
        <w:numPr>
          <w:ilvl w:val="0"/>
          <w:numId w:val="24"/>
        </w:numPr>
        <w:autoSpaceDE w:val="0"/>
        <w:autoSpaceDN w:val="0"/>
        <w:adjustRightInd w:val="0"/>
        <w:spacing w:before="120" w:after="120" w:line="276" w:lineRule="auto"/>
        <w:ind w:left="1134" w:hanging="357"/>
        <w:contextualSpacing w:val="0"/>
        <w:jc w:val="both"/>
        <w:rPr>
          <w:rFonts w:ascii="Arial" w:eastAsia="Arial Unicode MS" w:hAnsi="Arial" w:cs="Arial"/>
          <w:color w:val="000000"/>
          <w:sz w:val="22"/>
          <w:szCs w:val="22"/>
          <w:u w:color="000000"/>
          <w:bdr w:val="nil"/>
        </w:rPr>
      </w:pPr>
      <w:r w:rsidRPr="004D6641">
        <w:rPr>
          <w:rFonts w:ascii="Arial" w:eastAsia="Arial Unicode MS" w:hAnsi="Arial" w:cs="Arial"/>
          <w:color w:val="000000"/>
          <w:sz w:val="22"/>
          <w:szCs w:val="22"/>
          <w:u w:color="000000"/>
          <w:bdr w:val="nil"/>
        </w:rPr>
        <w:t>W przypadku konieczności przeprowadzenia prac konserwacyjnych lub modernizacyjnych, Wykonawca może, po wcześniejszej pisemnej zgodzie Zamawiającego, zawiesić usługę dostępu do Internetu. Okresowe zawieszenie usługi może odbyć się wyłącznie w godzinach 22.00-5.00.</w:t>
      </w:r>
    </w:p>
    <w:p w14:paraId="38F5AC52" w14:textId="44084A63" w:rsidR="00436F77" w:rsidRPr="00436F77" w:rsidRDefault="00436F77" w:rsidP="00436F77">
      <w:pPr>
        <w:pStyle w:val="1"/>
        <w:numPr>
          <w:ilvl w:val="0"/>
          <w:numId w:val="16"/>
        </w:numPr>
        <w:rPr>
          <w:sz w:val="22"/>
          <w:szCs w:val="22"/>
        </w:rPr>
      </w:pPr>
      <w:r w:rsidRPr="00436F77">
        <w:rPr>
          <w:sz w:val="22"/>
          <w:szCs w:val="22"/>
        </w:rPr>
        <w:t xml:space="preserve">Usługa </w:t>
      </w:r>
      <w:proofErr w:type="spellStart"/>
      <w:r w:rsidRPr="00436F77">
        <w:rPr>
          <w:sz w:val="22"/>
          <w:szCs w:val="22"/>
        </w:rPr>
        <w:t>DDoS</w:t>
      </w:r>
      <w:proofErr w:type="spellEnd"/>
      <w:r w:rsidRPr="00436F77">
        <w:rPr>
          <w:sz w:val="22"/>
          <w:szCs w:val="22"/>
        </w:rPr>
        <w:t xml:space="preserve"> Attack </w:t>
      </w:r>
      <w:proofErr w:type="spellStart"/>
      <w:r w:rsidRPr="00436F77">
        <w:rPr>
          <w:sz w:val="22"/>
          <w:szCs w:val="22"/>
        </w:rPr>
        <w:t>Protection</w:t>
      </w:r>
      <w:proofErr w:type="spellEnd"/>
    </w:p>
    <w:p w14:paraId="43E08913" w14:textId="77777777" w:rsidR="00436F77" w:rsidRPr="00436F77" w:rsidRDefault="00436F77" w:rsidP="00436F77">
      <w:pPr>
        <w:pStyle w:val="10"/>
        <w:numPr>
          <w:ilvl w:val="0"/>
          <w:numId w:val="27"/>
        </w:numPr>
        <w:rPr>
          <w:sz w:val="22"/>
          <w:szCs w:val="22"/>
        </w:rPr>
      </w:pPr>
      <w:r w:rsidRPr="00436F77">
        <w:rPr>
          <w:sz w:val="22"/>
          <w:szCs w:val="22"/>
        </w:rPr>
        <w:t>Warunki techniczne</w:t>
      </w:r>
    </w:p>
    <w:p w14:paraId="17F77C17" w14:textId="77777777" w:rsidR="00436F77" w:rsidRDefault="00436F77" w:rsidP="00436F77">
      <w:pPr>
        <w:pStyle w:val="a"/>
        <w:numPr>
          <w:ilvl w:val="0"/>
          <w:numId w:val="28"/>
        </w:numPr>
        <w:rPr>
          <w:lang w:val="en-GB"/>
        </w:rPr>
      </w:pPr>
      <w:r w:rsidRPr="00205476">
        <w:rPr>
          <w:lang w:val="en-GB"/>
        </w:rPr>
        <w:t xml:space="preserve">DDoS Attack Protection </w:t>
      </w:r>
      <w:proofErr w:type="spellStart"/>
      <w:r w:rsidRPr="00205476">
        <w:rPr>
          <w:lang w:val="en-GB"/>
        </w:rPr>
        <w:t>wersja</w:t>
      </w:r>
      <w:proofErr w:type="spellEnd"/>
      <w:r w:rsidRPr="00205476">
        <w:rPr>
          <w:lang w:val="en-GB"/>
        </w:rPr>
        <w:t xml:space="preserve"> Standard</w:t>
      </w:r>
    </w:p>
    <w:p w14:paraId="0C603E33" w14:textId="77777777" w:rsidR="00436F77" w:rsidRPr="00B164A3" w:rsidRDefault="00436F77" w:rsidP="00436F77">
      <w:pPr>
        <w:pStyle w:val="a"/>
        <w:ind w:left="1636"/>
      </w:pPr>
    </w:p>
    <w:tbl>
      <w:tblPr>
        <w:tblStyle w:val="Tabela-Siatka"/>
        <w:tblW w:w="0" w:type="auto"/>
        <w:tblInd w:w="1696" w:type="dxa"/>
        <w:tblCellMar>
          <w:top w:w="57" w:type="dxa"/>
          <w:left w:w="57" w:type="dxa"/>
          <w:bottom w:w="57" w:type="dxa"/>
          <w:right w:w="57" w:type="dxa"/>
        </w:tblCellMar>
        <w:tblLook w:val="04A0" w:firstRow="1" w:lastRow="0" w:firstColumn="1" w:lastColumn="0" w:noHBand="0" w:noVBand="1"/>
      </w:tblPr>
      <w:tblGrid>
        <w:gridCol w:w="2858"/>
        <w:gridCol w:w="4790"/>
      </w:tblGrid>
      <w:tr w:rsidR="00436F77" w:rsidRPr="00436F77" w14:paraId="51B4808D" w14:textId="77777777" w:rsidTr="001D1900">
        <w:tc>
          <w:tcPr>
            <w:tcW w:w="0" w:type="auto"/>
          </w:tcPr>
          <w:p w14:paraId="633ED4B6" w14:textId="77777777" w:rsidR="00436F77" w:rsidRPr="00436F77" w:rsidRDefault="00436F77" w:rsidP="001D1900">
            <w:pPr>
              <w:pStyle w:val="Standardtabela"/>
              <w:rPr>
                <w:rStyle w:val="BrakA"/>
                <w:rFonts w:cs="Arial"/>
                <w:sz w:val="22"/>
              </w:rPr>
            </w:pPr>
            <w:r w:rsidRPr="00436F77">
              <w:rPr>
                <w:rStyle w:val="BrakA"/>
                <w:rFonts w:cs="Arial"/>
                <w:sz w:val="22"/>
              </w:rPr>
              <w:t>Mechanizmy wykorzystywane do monitorowania</w:t>
            </w:r>
          </w:p>
          <w:p w14:paraId="7C732E11" w14:textId="77777777" w:rsidR="00436F77" w:rsidRPr="00436F77" w:rsidRDefault="00436F77" w:rsidP="001D1900">
            <w:pPr>
              <w:pStyle w:val="Standardtabela"/>
              <w:rPr>
                <w:rStyle w:val="BrakA"/>
                <w:rFonts w:cs="Arial"/>
                <w:sz w:val="22"/>
              </w:rPr>
            </w:pPr>
          </w:p>
        </w:tc>
        <w:tc>
          <w:tcPr>
            <w:tcW w:w="0" w:type="auto"/>
          </w:tcPr>
          <w:p w14:paraId="69BB4E37" w14:textId="77777777" w:rsidR="00436F77" w:rsidRPr="00436F77" w:rsidRDefault="00436F77" w:rsidP="001D1900">
            <w:pPr>
              <w:pStyle w:val="Standardtabela"/>
              <w:rPr>
                <w:rStyle w:val="BrakA"/>
                <w:rFonts w:cs="Arial"/>
                <w:sz w:val="22"/>
              </w:rPr>
            </w:pPr>
            <w:r w:rsidRPr="00436F77">
              <w:rPr>
                <w:rStyle w:val="BrakA"/>
                <w:rFonts w:cs="Arial"/>
                <w:sz w:val="22"/>
              </w:rPr>
              <w:t xml:space="preserve">System monitorowania przepływów w sieci na bazie protokołu </w:t>
            </w:r>
            <w:proofErr w:type="spellStart"/>
            <w:r w:rsidRPr="00436F77">
              <w:rPr>
                <w:rStyle w:val="BrakA"/>
                <w:rFonts w:cs="Arial"/>
                <w:sz w:val="22"/>
              </w:rPr>
              <w:t>NetFlow</w:t>
            </w:r>
            <w:proofErr w:type="spellEnd"/>
            <w:r w:rsidRPr="00436F77">
              <w:rPr>
                <w:rStyle w:val="BrakA"/>
                <w:rFonts w:cs="Arial"/>
                <w:sz w:val="22"/>
              </w:rPr>
              <w:t>.</w:t>
            </w:r>
          </w:p>
        </w:tc>
      </w:tr>
      <w:tr w:rsidR="00436F77" w:rsidRPr="00436F77" w14:paraId="3923C78B" w14:textId="77777777" w:rsidTr="001D1900">
        <w:tc>
          <w:tcPr>
            <w:tcW w:w="0" w:type="auto"/>
          </w:tcPr>
          <w:p w14:paraId="14B482A2" w14:textId="77777777" w:rsidR="00436F77" w:rsidRPr="00436F77" w:rsidRDefault="00436F77" w:rsidP="001D1900">
            <w:pPr>
              <w:pStyle w:val="Standardtabela"/>
              <w:rPr>
                <w:rStyle w:val="BrakA"/>
                <w:rFonts w:cs="Arial"/>
                <w:sz w:val="22"/>
              </w:rPr>
            </w:pPr>
            <w:r w:rsidRPr="00436F77">
              <w:rPr>
                <w:rStyle w:val="BrakA"/>
                <w:rFonts w:cs="Arial"/>
                <w:sz w:val="22"/>
              </w:rPr>
              <w:t xml:space="preserve">Mechanizmy </w:t>
            </w:r>
            <w:proofErr w:type="spellStart"/>
            <w:r w:rsidRPr="00436F77">
              <w:rPr>
                <w:rStyle w:val="BrakA"/>
                <w:rFonts w:cs="Arial"/>
                <w:sz w:val="22"/>
              </w:rPr>
              <w:t>mitygacji</w:t>
            </w:r>
            <w:proofErr w:type="spellEnd"/>
            <w:r w:rsidRPr="00436F77">
              <w:rPr>
                <w:rStyle w:val="BrakA"/>
                <w:rFonts w:cs="Arial"/>
                <w:sz w:val="22"/>
              </w:rPr>
              <w:t xml:space="preserve"> ataków</w:t>
            </w:r>
          </w:p>
        </w:tc>
        <w:tc>
          <w:tcPr>
            <w:tcW w:w="0" w:type="auto"/>
          </w:tcPr>
          <w:p w14:paraId="6C04396C" w14:textId="77777777" w:rsidR="00436F77" w:rsidRPr="00436F77" w:rsidRDefault="00436F77" w:rsidP="00436F77">
            <w:pPr>
              <w:pStyle w:val="Standardtabela"/>
              <w:numPr>
                <w:ilvl w:val="0"/>
                <w:numId w:val="29"/>
              </w:numPr>
              <w:rPr>
                <w:rStyle w:val="BrakA"/>
                <w:rFonts w:cs="Arial"/>
                <w:sz w:val="22"/>
              </w:rPr>
            </w:pPr>
            <w:r w:rsidRPr="00436F77">
              <w:rPr>
                <w:rStyle w:val="BrakA"/>
                <w:rFonts w:cs="Arial"/>
                <w:sz w:val="22"/>
              </w:rPr>
              <w:t xml:space="preserve">BGP </w:t>
            </w:r>
            <w:proofErr w:type="spellStart"/>
            <w:r w:rsidRPr="00436F77">
              <w:rPr>
                <w:rStyle w:val="BrakA"/>
                <w:rFonts w:cs="Arial"/>
                <w:sz w:val="22"/>
              </w:rPr>
              <w:t>Blackholing</w:t>
            </w:r>
            <w:proofErr w:type="spellEnd"/>
            <w:r w:rsidRPr="00436F77">
              <w:rPr>
                <w:rStyle w:val="BrakA"/>
                <w:rFonts w:cs="Arial"/>
                <w:sz w:val="22"/>
              </w:rPr>
              <w:t xml:space="preserve"> dla blokowania ruchu z/do określonej podsieci IP</w:t>
            </w:r>
          </w:p>
          <w:p w14:paraId="791BC364" w14:textId="77777777" w:rsidR="00436F77" w:rsidRPr="00436F77" w:rsidRDefault="00436F77" w:rsidP="00436F77">
            <w:pPr>
              <w:pStyle w:val="Standardtabela"/>
              <w:numPr>
                <w:ilvl w:val="0"/>
                <w:numId w:val="29"/>
              </w:numPr>
              <w:rPr>
                <w:rStyle w:val="BrakA"/>
                <w:rFonts w:cs="Arial"/>
                <w:sz w:val="22"/>
              </w:rPr>
            </w:pPr>
            <w:r w:rsidRPr="00436F77">
              <w:rPr>
                <w:rStyle w:val="BrakA"/>
                <w:rFonts w:cs="Arial"/>
                <w:sz w:val="22"/>
              </w:rPr>
              <w:t xml:space="preserve">BGP </w:t>
            </w:r>
            <w:proofErr w:type="spellStart"/>
            <w:r w:rsidRPr="00436F77">
              <w:rPr>
                <w:rStyle w:val="BrakA"/>
                <w:rFonts w:cs="Arial"/>
                <w:sz w:val="22"/>
              </w:rPr>
              <w:t>FlowSpec</w:t>
            </w:r>
            <w:proofErr w:type="spellEnd"/>
            <w:r w:rsidRPr="00436F77">
              <w:rPr>
                <w:rStyle w:val="BrakA"/>
                <w:rFonts w:cs="Arial"/>
                <w:sz w:val="22"/>
              </w:rPr>
              <w:t xml:space="preserve"> wykorzystywany do dystrybucji list kontrolnych ACL za pomocą protokołu MP-BGP.</w:t>
            </w:r>
          </w:p>
        </w:tc>
      </w:tr>
      <w:tr w:rsidR="00436F77" w:rsidRPr="00436F77" w14:paraId="545E3DBB" w14:textId="77777777" w:rsidTr="001D1900">
        <w:tc>
          <w:tcPr>
            <w:tcW w:w="0" w:type="auto"/>
          </w:tcPr>
          <w:p w14:paraId="2CAAEED9" w14:textId="77777777" w:rsidR="00436F77" w:rsidRPr="00436F77" w:rsidRDefault="00436F77" w:rsidP="001D1900">
            <w:pPr>
              <w:pStyle w:val="Standardtabela"/>
              <w:rPr>
                <w:rStyle w:val="BrakA"/>
                <w:rFonts w:cs="Arial"/>
                <w:sz w:val="22"/>
              </w:rPr>
            </w:pPr>
            <w:r w:rsidRPr="00436F77">
              <w:rPr>
                <w:rStyle w:val="BrakA"/>
                <w:rFonts w:cs="Arial"/>
                <w:sz w:val="22"/>
              </w:rPr>
              <w:t xml:space="preserve">Opis mechanizmów </w:t>
            </w:r>
            <w:proofErr w:type="spellStart"/>
            <w:r w:rsidRPr="00436F77">
              <w:rPr>
                <w:rStyle w:val="BrakA"/>
                <w:rFonts w:cs="Arial"/>
                <w:sz w:val="22"/>
              </w:rPr>
              <w:t>mitygacyjnych</w:t>
            </w:r>
            <w:proofErr w:type="spellEnd"/>
          </w:p>
        </w:tc>
        <w:tc>
          <w:tcPr>
            <w:tcW w:w="0" w:type="auto"/>
          </w:tcPr>
          <w:p w14:paraId="3499BC05" w14:textId="77777777" w:rsidR="00436F77" w:rsidRPr="00436F77" w:rsidRDefault="00436F77" w:rsidP="001D1900">
            <w:pPr>
              <w:pStyle w:val="Standardtabela"/>
              <w:rPr>
                <w:rStyle w:val="BrakA"/>
                <w:rFonts w:cs="Arial"/>
                <w:sz w:val="22"/>
              </w:rPr>
            </w:pPr>
            <w:r w:rsidRPr="00436F77">
              <w:rPr>
                <w:rStyle w:val="BrakA"/>
                <w:rFonts w:cs="Arial"/>
                <w:sz w:val="22"/>
              </w:rPr>
              <w:t xml:space="preserve">Mechanizmy </w:t>
            </w:r>
            <w:proofErr w:type="spellStart"/>
            <w:r w:rsidRPr="00436F77">
              <w:rPr>
                <w:rStyle w:val="BrakA"/>
                <w:rFonts w:cs="Arial"/>
                <w:sz w:val="22"/>
              </w:rPr>
              <w:t>mitygacyjne</w:t>
            </w:r>
            <w:proofErr w:type="spellEnd"/>
            <w:r w:rsidRPr="00436F77">
              <w:rPr>
                <w:rStyle w:val="BrakA"/>
                <w:rFonts w:cs="Arial"/>
                <w:sz w:val="22"/>
              </w:rPr>
              <w:t xml:space="preserve"> pozwalają</w:t>
            </w:r>
          </w:p>
          <w:p w14:paraId="08CEE6B5" w14:textId="77777777" w:rsidR="00436F77" w:rsidRPr="00436F77" w:rsidRDefault="00436F77" w:rsidP="001D1900">
            <w:pPr>
              <w:pStyle w:val="Standardtabela"/>
              <w:rPr>
                <w:rStyle w:val="BrakA"/>
                <w:rFonts w:cs="Arial"/>
                <w:sz w:val="22"/>
              </w:rPr>
            </w:pPr>
            <w:r w:rsidRPr="00436F77">
              <w:rPr>
                <w:rStyle w:val="BrakA"/>
                <w:rFonts w:cs="Arial"/>
                <w:sz w:val="22"/>
              </w:rPr>
              <w:t>na zablokowanie ruchu z/do</w:t>
            </w:r>
          </w:p>
          <w:p w14:paraId="04756DE6" w14:textId="77777777" w:rsidR="00436F77" w:rsidRPr="00436F77" w:rsidRDefault="00436F77" w:rsidP="001D1900">
            <w:pPr>
              <w:pStyle w:val="Standardtabela"/>
              <w:rPr>
                <w:rStyle w:val="BrakA"/>
                <w:rFonts w:cs="Arial"/>
                <w:sz w:val="22"/>
              </w:rPr>
            </w:pPr>
            <w:r w:rsidRPr="00436F77">
              <w:rPr>
                <w:rStyle w:val="BrakA"/>
                <w:rFonts w:cs="Arial"/>
                <w:sz w:val="22"/>
              </w:rPr>
              <w:t>określonej podsieci IP i/lub filtracje</w:t>
            </w:r>
          </w:p>
          <w:p w14:paraId="2805B040" w14:textId="77777777" w:rsidR="00436F77" w:rsidRPr="00436F77" w:rsidRDefault="00436F77" w:rsidP="001D1900">
            <w:pPr>
              <w:pStyle w:val="Standardtabela"/>
              <w:rPr>
                <w:rStyle w:val="BrakA"/>
                <w:rFonts w:cs="Arial"/>
                <w:sz w:val="22"/>
              </w:rPr>
            </w:pPr>
            <w:r w:rsidRPr="00436F77">
              <w:rPr>
                <w:rStyle w:val="BrakA"/>
                <w:rFonts w:cs="Arial"/>
                <w:sz w:val="22"/>
              </w:rPr>
              <w:t>niepożądanego ruchu</w:t>
            </w:r>
          </w:p>
          <w:p w14:paraId="7D475AB7" w14:textId="77777777" w:rsidR="00436F77" w:rsidRPr="00436F77" w:rsidRDefault="00436F77" w:rsidP="001D1900">
            <w:pPr>
              <w:pStyle w:val="Standardtabela"/>
              <w:rPr>
                <w:rStyle w:val="BrakA"/>
                <w:rFonts w:cs="Arial"/>
                <w:sz w:val="22"/>
              </w:rPr>
            </w:pPr>
            <w:r w:rsidRPr="00436F77">
              <w:rPr>
                <w:rStyle w:val="BrakA"/>
                <w:rFonts w:cs="Arial"/>
                <w:sz w:val="22"/>
              </w:rPr>
              <w:t>charakteryzującego się</w:t>
            </w:r>
          </w:p>
          <w:p w14:paraId="35702C05" w14:textId="77777777" w:rsidR="00436F77" w:rsidRPr="00436F77" w:rsidRDefault="00436F77" w:rsidP="001D1900">
            <w:pPr>
              <w:pStyle w:val="Standardtabela"/>
              <w:rPr>
                <w:rStyle w:val="BrakA"/>
                <w:rFonts w:cs="Arial"/>
                <w:sz w:val="22"/>
              </w:rPr>
            </w:pPr>
            <w:r w:rsidRPr="00436F77">
              <w:rPr>
                <w:rStyle w:val="BrakA"/>
                <w:rFonts w:cs="Arial"/>
                <w:sz w:val="22"/>
              </w:rPr>
              <w:t>następującymi parametrami:</w:t>
            </w:r>
          </w:p>
          <w:p w14:paraId="2B559A4D" w14:textId="77777777" w:rsidR="00436F77" w:rsidRPr="00436F77" w:rsidRDefault="00436F77" w:rsidP="00436F77">
            <w:pPr>
              <w:pStyle w:val="Standardtabela"/>
              <w:numPr>
                <w:ilvl w:val="0"/>
                <w:numId w:val="29"/>
              </w:numPr>
              <w:rPr>
                <w:rStyle w:val="BrakA"/>
                <w:rFonts w:cs="Arial"/>
                <w:sz w:val="22"/>
              </w:rPr>
            </w:pPr>
            <w:r w:rsidRPr="00436F77">
              <w:rPr>
                <w:rStyle w:val="BrakA"/>
                <w:rFonts w:cs="Arial"/>
                <w:sz w:val="22"/>
              </w:rPr>
              <w:t>adres IP źródłowy i docelowy;</w:t>
            </w:r>
          </w:p>
          <w:p w14:paraId="0E0D57B0" w14:textId="77777777" w:rsidR="00436F77" w:rsidRPr="00436F77" w:rsidRDefault="00436F77" w:rsidP="00436F77">
            <w:pPr>
              <w:pStyle w:val="Standardtabela"/>
              <w:numPr>
                <w:ilvl w:val="0"/>
                <w:numId w:val="29"/>
              </w:numPr>
              <w:rPr>
                <w:rStyle w:val="BrakA"/>
                <w:rFonts w:cs="Arial"/>
                <w:sz w:val="22"/>
              </w:rPr>
            </w:pPr>
            <w:r w:rsidRPr="00436F77">
              <w:rPr>
                <w:rStyle w:val="BrakA"/>
                <w:rFonts w:cs="Arial"/>
                <w:sz w:val="22"/>
              </w:rPr>
              <w:lastRenderedPageBreak/>
              <w:t>wykorzystywany port, protokół;</w:t>
            </w:r>
          </w:p>
          <w:p w14:paraId="30E9BB01" w14:textId="77777777" w:rsidR="00436F77" w:rsidRPr="00436F77" w:rsidRDefault="00436F77" w:rsidP="00436F77">
            <w:pPr>
              <w:pStyle w:val="Standardtabela"/>
              <w:numPr>
                <w:ilvl w:val="0"/>
                <w:numId w:val="29"/>
              </w:numPr>
              <w:rPr>
                <w:rStyle w:val="BrakA"/>
                <w:rFonts w:cs="Arial"/>
                <w:sz w:val="22"/>
              </w:rPr>
            </w:pPr>
            <w:r w:rsidRPr="00436F77">
              <w:rPr>
                <w:rStyle w:val="BrakA"/>
                <w:rFonts w:cs="Arial"/>
                <w:sz w:val="22"/>
              </w:rPr>
              <w:t xml:space="preserve">pole w </w:t>
            </w:r>
            <w:proofErr w:type="spellStart"/>
            <w:r w:rsidRPr="00436F77">
              <w:rPr>
                <w:rStyle w:val="BrakA"/>
                <w:rFonts w:cs="Arial"/>
                <w:sz w:val="22"/>
              </w:rPr>
              <w:t>datagramie</w:t>
            </w:r>
            <w:proofErr w:type="spellEnd"/>
            <w:r w:rsidRPr="00436F77">
              <w:rPr>
                <w:rStyle w:val="BrakA"/>
                <w:rFonts w:cs="Arial"/>
                <w:sz w:val="22"/>
              </w:rPr>
              <w:t xml:space="preserve"> IP – DSCP;</w:t>
            </w:r>
          </w:p>
          <w:p w14:paraId="11B7D475" w14:textId="77777777" w:rsidR="00436F77" w:rsidRPr="00436F77" w:rsidRDefault="00436F77" w:rsidP="00436F77">
            <w:pPr>
              <w:pStyle w:val="Standardtabela"/>
              <w:numPr>
                <w:ilvl w:val="0"/>
                <w:numId w:val="29"/>
              </w:numPr>
              <w:rPr>
                <w:rStyle w:val="BrakA"/>
                <w:rFonts w:cs="Arial"/>
                <w:sz w:val="22"/>
              </w:rPr>
            </w:pPr>
            <w:r w:rsidRPr="00436F77">
              <w:rPr>
                <w:rStyle w:val="BrakA"/>
                <w:rFonts w:cs="Arial"/>
                <w:sz w:val="22"/>
              </w:rPr>
              <w:t>flagi w protokole TCP.</w:t>
            </w:r>
          </w:p>
        </w:tc>
      </w:tr>
      <w:tr w:rsidR="00436F77" w:rsidRPr="00436F77" w14:paraId="3AF02D6C" w14:textId="77777777" w:rsidTr="001D1900">
        <w:tc>
          <w:tcPr>
            <w:tcW w:w="0" w:type="auto"/>
          </w:tcPr>
          <w:p w14:paraId="3E7315BC" w14:textId="77777777" w:rsidR="00436F77" w:rsidRPr="00436F77" w:rsidRDefault="00436F77" w:rsidP="001D1900">
            <w:pPr>
              <w:pStyle w:val="Standardtabela"/>
              <w:rPr>
                <w:rStyle w:val="BrakA"/>
                <w:rFonts w:cs="Arial"/>
                <w:sz w:val="22"/>
              </w:rPr>
            </w:pPr>
            <w:r w:rsidRPr="00436F77">
              <w:rPr>
                <w:rStyle w:val="BrakA"/>
                <w:rFonts w:cs="Arial"/>
                <w:sz w:val="22"/>
              </w:rPr>
              <w:lastRenderedPageBreak/>
              <w:t xml:space="preserve">Gwarantowana </w:t>
            </w:r>
            <w:proofErr w:type="spellStart"/>
            <w:r w:rsidRPr="00436F77">
              <w:rPr>
                <w:rStyle w:val="BrakA"/>
                <w:rFonts w:cs="Arial"/>
                <w:sz w:val="22"/>
              </w:rPr>
              <w:t>Mitygacja</w:t>
            </w:r>
            <w:proofErr w:type="spellEnd"/>
            <w:r w:rsidRPr="00436F77">
              <w:rPr>
                <w:rStyle w:val="BrakA"/>
                <w:rFonts w:cs="Arial"/>
                <w:sz w:val="22"/>
              </w:rPr>
              <w:t xml:space="preserve"> ataku</w:t>
            </w:r>
          </w:p>
        </w:tc>
        <w:tc>
          <w:tcPr>
            <w:tcW w:w="0" w:type="auto"/>
            <w:vAlign w:val="center"/>
          </w:tcPr>
          <w:p w14:paraId="6015AF3A" w14:textId="77777777" w:rsidR="00436F77" w:rsidRPr="00436F77" w:rsidRDefault="00436F77" w:rsidP="001D1900">
            <w:pPr>
              <w:pStyle w:val="Standardtabela"/>
              <w:jc w:val="center"/>
              <w:rPr>
                <w:rStyle w:val="BrakA"/>
                <w:rFonts w:cs="Arial"/>
                <w:sz w:val="22"/>
              </w:rPr>
            </w:pPr>
            <w:r w:rsidRPr="00436F77">
              <w:rPr>
                <w:rStyle w:val="BrakA"/>
                <w:rFonts w:cs="Arial"/>
                <w:sz w:val="22"/>
              </w:rPr>
              <w:t>-</w:t>
            </w:r>
          </w:p>
        </w:tc>
      </w:tr>
      <w:tr w:rsidR="00436F77" w:rsidRPr="00436F77" w14:paraId="51FBB31F" w14:textId="77777777" w:rsidTr="001D1900">
        <w:tc>
          <w:tcPr>
            <w:tcW w:w="0" w:type="auto"/>
          </w:tcPr>
          <w:p w14:paraId="2B0B4A8C" w14:textId="77777777" w:rsidR="00436F77" w:rsidRPr="00436F77" w:rsidRDefault="00436F77" w:rsidP="001D1900">
            <w:pPr>
              <w:pStyle w:val="Standardtabela"/>
              <w:rPr>
                <w:rStyle w:val="BrakA"/>
                <w:rFonts w:cs="Arial"/>
                <w:sz w:val="22"/>
              </w:rPr>
            </w:pPr>
            <w:r w:rsidRPr="00436F77">
              <w:rPr>
                <w:rStyle w:val="BrakA"/>
                <w:rFonts w:cs="Arial"/>
                <w:sz w:val="22"/>
              </w:rPr>
              <w:t xml:space="preserve">Czas działania </w:t>
            </w:r>
            <w:proofErr w:type="spellStart"/>
            <w:r w:rsidRPr="00436F77">
              <w:rPr>
                <w:rStyle w:val="BrakA"/>
                <w:rFonts w:cs="Arial"/>
                <w:sz w:val="22"/>
              </w:rPr>
              <w:t>Mitygacji</w:t>
            </w:r>
            <w:proofErr w:type="spellEnd"/>
          </w:p>
        </w:tc>
        <w:tc>
          <w:tcPr>
            <w:tcW w:w="0" w:type="auto"/>
            <w:vAlign w:val="center"/>
          </w:tcPr>
          <w:p w14:paraId="6B37AD2E" w14:textId="77777777" w:rsidR="00436F77" w:rsidRPr="00436F77" w:rsidRDefault="00436F77" w:rsidP="001D1900">
            <w:pPr>
              <w:pStyle w:val="Standardtabela"/>
              <w:jc w:val="center"/>
              <w:rPr>
                <w:rStyle w:val="BrakA"/>
                <w:rFonts w:cs="Arial"/>
                <w:sz w:val="22"/>
              </w:rPr>
            </w:pPr>
            <w:r w:rsidRPr="00436F77">
              <w:rPr>
                <w:rStyle w:val="BrakA"/>
                <w:rFonts w:cs="Arial"/>
                <w:sz w:val="22"/>
              </w:rPr>
              <w:t>do 72 godz.</w:t>
            </w:r>
          </w:p>
        </w:tc>
      </w:tr>
      <w:tr w:rsidR="00436F77" w:rsidRPr="00436F77" w14:paraId="2FAE0DDD" w14:textId="77777777" w:rsidTr="001D1900">
        <w:tc>
          <w:tcPr>
            <w:tcW w:w="0" w:type="auto"/>
          </w:tcPr>
          <w:p w14:paraId="40139E61" w14:textId="77777777" w:rsidR="00436F77" w:rsidRPr="00436F77" w:rsidRDefault="00436F77" w:rsidP="001D1900">
            <w:pPr>
              <w:pStyle w:val="Standardtabela"/>
              <w:rPr>
                <w:rStyle w:val="BrakA"/>
                <w:rFonts w:cs="Arial"/>
                <w:sz w:val="22"/>
              </w:rPr>
            </w:pPr>
            <w:r w:rsidRPr="00436F77">
              <w:rPr>
                <w:rStyle w:val="BrakA"/>
                <w:rFonts w:cs="Arial"/>
                <w:sz w:val="22"/>
              </w:rPr>
              <w:t xml:space="preserve">Standardowa liczba chronionych Obiektów -  </w:t>
            </w:r>
            <w:proofErr w:type="spellStart"/>
            <w:r w:rsidRPr="00436F77">
              <w:rPr>
                <w:rStyle w:val="BrakA"/>
                <w:rFonts w:cs="Arial"/>
                <w:sz w:val="22"/>
              </w:rPr>
              <w:t>prefixów</w:t>
            </w:r>
            <w:proofErr w:type="spellEnd"/>
            <w:r w:rsidRPr="00436F77">
              <w:rPr>
                <w:rStyle w:val="BrakA"/>
                <w:rFonts w:cs="Arial"/>
                <w:sz w:val="22"/>
              </w:rPr>
              <w:t xml:space="preserve"> IP</w:t>
            </w:r>
          </w:p>
        </w:tc>
        <w:tc>
          <w:tcPr>
            <w:tcW w:w="0" w:type="auto"/>
            <w:vAlign w:val="center"/>
          </w:tcPr>
          <w:p w14:paraId="4BAFBB37" w14:textId="77777777" w:rsidR="00436F77" w:rsidRPr="00436F77" w:rsidRDefault="00436F77" w:rsidP="001D1900">
            <w:pPr>
              <w:pStyle w:val="Standardtabela"/>
              <w:jc w:val="center"/>
              <w:rPr>
                <w:rStyle w:val="BrakA"/>
                <w:rFonts w:cs="Arial"/>
                <w:sz w:val="22"/>
              </w:rPr>
            </w:pPr>
            <w:r w:rsidRPr="00436F77">
              <w:rPr>
                <w:rStyle w:val="BrakA"/>
                <w:rFonts w:cs="Arial"/>
                <w:sz w:val="22"/>
              </w:rPr>
              <w:t>5</w:t>
            </w:r>
          </w:p>
        </w:tc>
      </w:tr>
      <w:tr w:rsidR="00436F77" w:rsidRPr="00436F77" w14:paraId="6702E0C2" w14:textId="77777777" w:rsidTr="001D1900">
        <w:tc>
          <w:tcPr>
            <w:tcW w:w="0" w:type="auto"/>
          </w:tcPr>
          <w:p w14:paraId="4356ABCE" w14:textId="77777777" w:rsidR="00436F77" w:rsidRPr="00436F77" w:rsidRDefault="00436F77" w:rsidP="001D1900">
            <w:pPr>
              <w:pStyle w:val="Standardtabela"/>
              <w:rPr>
                <w:rStyle w:val="BrakA"/>
                <w:rFonts w:cs="Arial"/>
                <w:sz w:val="22"/>
              </w:rPr>
            </w:pPr>
            <w:r w:rsidRPr="00436F77">
              <w:rPr>
                <w:rStyle w:val="BrakA"/>
                <w:rFonts w:cs="Arial"/>
                <w:sz w:val="22"/>
              </w:rPr>
              <w:t>Proaktywny monitoring 24h</w:t>
            </w:r>
          </w:p>
        </w:tc>
        <w:tc>
          <w:tcPr>
            <w:tcW w:w="0" w:type="auto"/>
            <w:vAlign w:val="center"/>
          </w:tcPr>
          <w:p w14:paraId="6F09D37A" w14:textId="77777777" w:rsidR="00436F77" w:rsidRPr="00436F77" w:rsidRDefault="00436F77" w:rsidP="001D1900">
            <w:pPr>
              <w:pStyle w:val="Standardtabela"/>
              <w:jc w:val="center"/>
              <w:rPr>
                <w:rStyle w:val="BrakA"/>
                <w:rFonts w:cs="Arial"/>
                <w:sz w:val="22"/>
              </w:rPr>
            </w:pPr>
            <w:r w:rsidRPr="00436F77">
              <w:rPr>
                <w:rStyle w:val="BrakA"/>
                <w:rFonts w:cs="Arial"/>
                <w:sz w:val="22"/>
              </w:rPr>
              <w:t>Tak</w:t>
            </w:r>
          </w:p>
        </w:tc>
      </w:tr>
      <w:tr w:rsidR="00436F77" w:rsidRPr="00436F77" w14:paraId="2AA1B535" w14:textId="77777777" w:rsidTr="001D1900">
        <w:tc>
          <w:tcPr>
            <w:tcW w:w="0" w:type="auto"/>
          </w:tcPr>
          <w:p w14:paraId="747572FA" w14:textId="77777777" w:rsidR="00436F77" w:rsidRPr="00436F77" w:rsidRDefault="00436F77" w:rsidP="001D1900">
            <w:pPr>
              <w:pStyle w:val="Standardtabela"/>
              <w:rPr>
                <w:rStyle w:val="BrakA"/>
                <w:rFonts w:cs="Arial"/>
                <w:sz w:val="22"/>
              </w:rPr>
            </w:pPr>
            <w:r w:rsidRPr="00436F77">
              <w:rPr>
                <w:rStyle w:val="BrakA"/>
                <w:rFonts w:cs="Arial"/>
                <w:sz w:val="22"/>
              </w:rPr>
              <w:t xml:space="preserve">Nieograniczona </w:t>
            </w:r>
            <w:proofErr w:type="spellStart"/>
            <w:r w:rsidRPr="00436F77">
              <w:rPr>
                <w:rStyle w:val="BrakA"/>
                <w:rFonts w:cs="Arial"/>
                <w:sz w:val="22"/>
              </w:rPr>
              <w:t>Mitygacja</w:t>
            </w:r>
            <w:proofErr w:type="spellEnd"/>
            <w:r w:rsidRPr="00436F77">
              <w:rPr>
                <w:rStyle w:val="BrakA"/>
                <w:rFonts w:cs="Arial"/>
                <w:sz w:val="22"/>
              </w:rPr>
              <w:t xml:space="preserve"> ataków</w:t>
            </w:r>
          </w:p>
        </w:tc>
        <w:tc>
          <w:tcPr>
            <w:tcW w:w="0" w:type="auto"/>
            <w:vAlign w:val="center"/>
          </w:tcPr>
          <w:p w14:paraId="58C8CE5D" w14:textId="77777777" w:rsidR="00436F77" w:rsidRPr="00436F77" w:rsidRDefault="00436F77" w:rsidP="001D1900">
            <w:pPr>
              <w:pStyle w:val="Standardtabela"/>
              <w:jc w:val="center"/>
              <w:rPr>
                <w:rStyle w:val="BrakA"/>
                <w:rFonts w:cs="Arial"/>
                <w:sz w:val="22"/>
              </w:rPr>
            </w:pPr>
            <w:r w:rsidRPr="00436F77">
              <w:rPr>
                <w:rStyle w:val="BrakA"/>
                <w:rFonts w:cs="Arial"/>
                <w:sz w:val="22"/>
              </w:rPr>
              <w:t>Tak</w:t>
            </w:r>
          </w:p>
        </w:tc>
      </w:tr>
      <w:tr w:rsidR="00436F77" w:rsidRPr="00436F77" w14:paraId="36C4941F" w14:textId="77777777" w:rsidTr="001D1900">
        <w:tc>
          <w:tcPr>
            <w:tcW w:w="0" w:type="auto"/>
          </w:tcPr>
          <w:p w14:paraId="18B1698E" w14:textId="77777777" w:rsidR="00436F77" w:rsidRPr="00436F77" w:rsidRDefault="00436F77" w:rsidP="001D1900">
            <w:pPr>
              <w:pStyle w:val="Standardtabela"/>
              <w:rPr>
                <w:rStyle w:val="BrakA"/>
                <w:rFonts w:cs="Arial"/>
                <w:sz w:val="22"/>
              </w:rPr>
            </w:pPr>
            <w:r w:rsidRPr="00436F77">
              <w:rPr>
                <w:rStyle w:val="BrakA"/>
                <w:rFonts w:cs="Arial"/>
                <w:sz w:val="22"/>
              </w:rPr>
              <w:t>Raport po ataku</w:t>
            </w:r>
          </w:p>
        </w:tc>
        <w:tc>
          <w:tcPr>
            <w:tcW w:w="0" w:type="auto"/>
            <w:vAlign w:val="center"/>
          </w:tcPr>
          <w:p w14:paraId="692B2202" w14:textId="77777777" w:rsidR="00436F77" w:rsidRPr="00436F77" w:rsidRDefault="00436F77" w:rsidP="001D1900">
            <w:pPr>
              <w:pStyle w:val="Standardtabela"/>
              <w:jc w:val="center"/>
              <w:rPr>
                <w:rStyle w:val="BrakA"/>
                <w:rFonts w:cs="Arial"/>
                <w:sz w:val="22"/>
              </w:rPr>
            </w:pPr>
            <w:r w:rsidRPr="00436F77">
              <w:rPr>
                <w:rStyle w:val="BrakA"/>
                <w:rFonts w:cs="Arial"/>
                <w:sz w:val="22"/>
              </w:rPr>
              <w:t>Nie</w:t>
            </w:r>
          </w:p>
        </w:tc>
      </w:tr>
    </w:tbl>
    <w:p w14:paraId="2E734A98" w14:textId="5C7AB4DC" w:rsidR="00436F77" w:rsidRPr="00436F77" w:rsidRDefault="00436F77" w:rsidP="00436F77">
      <w:pPr>
        <w:pStyle w:val="a"/>
        <w:numPr>
          <w:ilvl w:val="0"/>
          <w:numId w:val="14"/>
        </w:numPr>
        <w:rPr>
          <w:sz w:val="22"/>
          <w:szCs w:val="22"/>
        </w:rPr>
      </w:pPr>
      <w:r w:rsidRPr="00436F77">
        <w:rPr>
          <w:sz w:val="22"/>
          <w:szCs w:val="22"/>
        </w:rPr>
        <w:t>świadczenie usługi nastąpi od dnia 15.04.202</w:t>
      </w:r>
      <w:r>
        <w:rPr>
          <w:sz w:val="22"/>
          <w:szCs w:val="22"/>
        </w:rPr>
        <w:t>6</w:t>
      </w:r>
      <w:r w:rsidRPr="00436F77">
        <w:rPr>
          <w:sz w:val="22"/>
          <w:szCs w:val="22"/>
        </w:rPr>
        <w:t xml:space="preserve"> r.</w:t>
      </w:r>
    </w:p>
    <w:p w14:paraId="18018130" w14:textId="77777777" w:rsidR="00436F77" w:rsidRPr="00436F77" w:rsidRDefault="00436F77" w:rsidP="00436F77">
      <w:pPr>
        <w:pStyle w:val="10"/>
        <w:numPr>
          <w:ilvl w:val="0"/>
          <w:numId w:val="27"/>
        </w:numPr>
        <w:spacing w:before="240" w:after="120"/>
        <w:rPr>
          <w:sz w:val="22"/>
          <w:szCs w:val="22"/>
        </w:rPr>
      </w:pPr>
      <w:r w:rsidRPr="00436F77">
        <w:rPr>
          <w:sz w:val="22"/>
          <w:szCs w:val="22"/>
        </w:rPr>
        <w:t>Gwarancja dostępność usługi</w:t>
      </w:r>
    </w:p>
    <w:tbl>
      <w:tblPr>
        <w:tblStyle w:val="Tabela-Siatka"/>
        <w:tblW w:w="7371" w:type="dxa"/>
        <w:tblInd w:w="1696" w:type="dxa"/>
        <w:tblCellMar>
          <w:top w:w="57" w:type="dxa"/>
          <w:left w:w="57" w:type="dxa"/>
          <w:bottom w:w="57" w:type="dxa"/>
          <w:right w:w="57" w:type="dxa"/>
        </w:tblCellMar>
        <w:tblLook w:val="04A0" w:firstRow="1" w:lastRow="0" w:firstColumn="1" w:lastColumn="0" w:noHBand="0" w:noVBand="1"/>
      </w:tblPr>
      <w:tblGrid>
        <w:gridCol w:w="2835"/>
        <w:gridCol w:w="4536"/>
      </w:tblGrid>
      <w:tr w:rsidR="00436F77" w:rsidRPr="00436F77" w14:paraId="6381ADD2" w14:textId="77777777" w:rsidTr="001D1900">
        <w:tc>
          <w:tcPr>
            <w:tcW w:w="2835" w:type="dxa"/>
          </w:tcPr>
          <w:p w14:paraId="0CC5CB5C" w14:textId="77777777" w:rsidR="00436F77" w:rsidRPr="00436F77" w:rsidRDefault="00436F77" w:rsidP="001D1900">
            <w:pPr>
              <w:pStyle w:val="Standardtabela"/>
              <w:rPr>
                <w:rStyle w:val="BrakA"/>
                <w:rFonts w:cs="Arial"/>
                <w:sz w:val="22"/>
              </w:rPr>
            </w:pPr>
            <w:r w:rsidRPr="00436F77">
              <w:rPr>
                <w:rStyle w:val="BrakA"/>
                <w:rFonts w:cs="Arial"/>
                <w:sz w:val="22"/>
              </w:rPr>
              <w:t>Dostępność usługi (w okresie rozliczeniowym)</w:t>
            </w:r>
          </w:p>
        </w:tc>
        <w:tc>
          <w:tcPr>
            <w:tcW w:w="4536" w:type="dxa"/>
            <w:vAlign w:val="center"/>
          </w:tcPr>
          <w:p w14:paraId="1B172F63" w14:textId="77777777" w:rsidR="00436F77" w:rsidRPr="00436F77" w:rsidRDefault="00436F77" w:rsidP="001D1900">
            <w:pPr>
              <w:pStyle w:val="Standardtabela"/>
              <w:jc w:val="center"/>
              <w:rPr>
                <w:rStyle w:val="BrakA"/>
                <w:rFonts w:cs="Arial"/>
                <w:sz w:val="22"/>
              </w:rPr>
            </w:pPr>
            <w:r w:rsidRPr="00436F77">
              <w:rPr>
                <w:rFonts w:cs="Arial"/>
                <w:sz w:val="22"/>
              </w:rPr>
              <w:t>99,5%</w:t>
            </w:r>
          </w:p>
        </w:tc>
      </w:tr>
      <w:tr w:rsidR="00436F77" w:rsidRPr="00436F77" w14:paraId="4F707617" w14:textId="77777777" w:rsidTr="001D1900">
        <w:tc>
          <w:tcPr>
            <w:tcW w:w="2835" w:type="dxa"/>
          </w:tcPr>
          <w:p w14:paraId="00F64EB9" w14:textId="77777777" w:rsidR="00436F77" w:rsidRPr="00436F77" w:rsidRDefault="00436F77" w:rsidP="001D1900">
            <w:pPr>
              <w:pStyle w:val="Standardtabela"/>
              <w:rPr>
                <w:rStyle w:val="BrakA"/>
                <w:rFonts w:cs="Arial"/>
                <w:sz w:val="22"/>
              </w:rPr>
            </w:pPr>
            <w:r w:rsidRPr="00436F77">
              <w:rPr>
                <w:rStyle w:val="BrakA"/>
                <w:rFonts w:cs="Arial"/>
                <w:sz w:val="22"/>
              </w:rPr>
              <w:t>Czas reakcji na atak</w:t>
            </w:r>
          </w:p>
        </w:tc>
        <w:tc>
          <w:tcPr>
            <w:tcW w:w="4536" w:type="dxa"/>
          </w:tcPr>
          <w:p w14:paraId="0436C53C" w14:textId="77777777" w:rsidR="00436F77" w:rsidRPr="00436F77" w:rsidRDefault="00436F77" w:rsidP="001D1900">
            <w:pPr>
              <w:pStyle w:val="Standardtabela"/>
              <w:jc w:val="center"/>
              <w:rPr>
                <w:rFonts w:cs="Arial"/>
                <w:sz w:val="22"/>
              </w:rPr>
            </w:pPr>
            <w:r w:rsidRPr="00436F77">
              <w:rPr>
                <w:rFonts w:cs="Arial"/>
                <w:sz w:val="22"/>
              </w:rPr>
              <w:t>15 min.</w:t>
            </w:r>
          </w:p>
          <w:p w14:paraId="443940DA" w14:textId="77777777" w:rsidR="00436F77" w:rsidRPr="00436F77" w:rsidRDefault="00436F77" w:rsidP="001D1900">
            <w:pPr>
              <w:pStyle w:val="Standardtabela"/>
              <w:rPr>
                <w:rFonts w:cs="Arial"/>
                <w:sz w:val="22"/>
              </w:rPr>
            </w:pPr>
            <w:r w:rsidRPr="00436F77">
              <w:rPr>
                <w:rFonts w:cs="Arial"/>
                <w:sz w:val="22"/>
              </w:rPr>
              <w:t>Czas Reakcji na atak to czas pomiędzy wykryciem ataku zarejestrowanym w wewnętrznym systemie monitorowania sieci Wykonawcy, a skutecznym</w:t>
            </w:r>
          </w:p>
          <w:p w14:paraId="6379B70E" w14:textId="77777777" w:rsidR="00436F77" w:rsidRPr="00436F77" w:rsidRDefault="00436F77" w:rsidP="001D1900">
            <w:pPr>
              <w:pStyle w:val="Standardtabela"/>
              <w:rPr>
                <w:rFonts w:cs="Arial"/>
                <w:sz w:val="22"/>
              </w:rPr>
            </w:pPr>
            <w:r w:rsidRPr="00436F77">
              <w:rPr>
                <w:rFonts w:cs="Arial"/>
                <w:sz w:val="22"/>
              </w:rPr>
              <w:t>zakończeniem procedury informowania abonenta przez operatorów NOC/SOC</w:t>
            </w:r>
          </w:p>
        </w:tc>
      </w:tr>
      <w:tr w:rsidR="00436F77" w:rsidRPr="00436F77" w14:paraId="75F41B67" w14:textId="77777777" w:rsidTr="001D1900">
        <w:tc>
          <w:tcPr>
            <w:tcW w:w="2835" w:type="dxa"/>
          </w:tcPr>
          <w:p w14:paraId="286F40AD" w14:textId="77777777" w:rsidR="00436F77" w:rsidRPr="00436F77" w:rsidRDefault="00436F77" w:rsidP="001D1900">
            <w:pPr>
              <w:pStyle w:val="Standardtabela"/>
              <w:rPr>
                <w:rStyle w:val="BrakA"/>
                <w:rFonts w:cs="Arial"/>
                <w:sz w:val="22"/>
              </w:rPr>
            </w:pPr>
            <w:r w:rsidRPr="00436F77">
              <w:rPr>
                <w:rStyle w:val="BrakA"/>
                <w:rFonts w:cs="Arial"/>
                <w:sz w:val="22"/>
              </w:rPr>
              <w:t xml:space="preserve">Czas uruchomienia </w:t>
            </w:r>
            <w:proofErr w:type="spellStart"/>
            <w:r w:rsidRPr="00436F77">
              <w:rPr>
                <w:rStyle w:val="BrakA"/>
                <w:rFonts w:cs="Arial"/>
                <w:sz w:val="22"/>
              </w:rPr>
              <w:t>mitygacji</w:t>
            </w:r>
            <w:proofErr w:type="spellEnd"/>
          </w:p>
        </w:tc>
        <w:tc>
          <w:tcPr>
            <w:tcW w:w="4536" w:type="dxa"/>
          </w:tcPr>
          <w:p w14:paraId="4F10EB0A" w14:textId="77777777" w:rsidR="00436F77" w:rsidRPr="00436F77" w:rsidRDefault="00436F77" w:rsidP="001D1900">
            <w:pPr>
              <w:pStyle w:val="Standardtabela"/>
              <w:jc w:val="center"/>
              <w:rPr>
                <w:rFonts w:cs="Arial"/>
                <w:sz w:val="22"/>
              </w:rPr>
            </w:pPr>
            <w:r w:rsidRPr="00436F77">
              <w:rPr>
                <w:rFonts w:cs="Arial"/>
                <w:sz w:val="22"/>
              </w:rPr>
              <w:t xml:space="preserve">30 min. </w:t>
            </w:r>
          </w:p>
          <w:p w14:paraId="5715AF54" w14:textId="77777777" w:rsidR="00436F77" w:rsidRPr="00436F77" w:rsidRDefault="00436F77" w:rsidP="001D1900">
            <w:pPr>
              <w:pStyle w:val="Standardtabela"/>
              <w:rPr>
                <w:rFonts w:cs="Arial"/>
                <w:sz w:val="22"/>
              </w:rPr>
            </w:pPr>
            <w:r w:rsidRPr="00436F77">
              <w:rPr>
                <w:rFonts w:cs="Arial"/>
                <w:sz w:val="22"/>
              </w:rPr>
              <w:t xml:space="preserve">Czas gwarancji uruchomienia </w:t>
            </w:r>
            <w:proofErr w:type="spellStart"/>
            <w:r w:rsidRPr="00436F77">
              <w:rPr>
                <w:rFonts w:cs="Arial"/>
                <w:sz w:val="22"/>
              </w:rPr>
              <w:t>mitygacji</w:t>
            </w:r>
            <w:proofErr w:type="spellEnd"/>
            <w:r w:rsidRPr="00436F77">
              <w:rPr>
                <w:rFonts w:cs="Arial"/>
                <w:sz w:val="22"/>
              </w:rPr>
              <w:t xml:space="preserve"> to czas pomiędzy skutecznym poinformowaniem abonenta i otrzymaniem akceptacji na uruchomienie procesu </w:t>
            </w:r>
            <w:proofErr w:type="spellStart"/>
            <w:r w:rsidRPr="00436F77">
              <w:rPr>
                <w:rFonts w:cs="Arial"/>
                <w:sz w:val="22"/>
              </w:rPr>
              <w:t>mitygacji</w:t>
            </w:r>
            <w:proofErr w:type="spellEnd"/>
            <w:r w:rsidRPr="00436F77">
              <w:rPr>
                <w:rFonts w:cs="Arial"/>
                <w:sz w:val="22"/>
              </w:rPr>
              <w:t>, do momentu jej uruchomienia przez Wykonawcę.</w:t>
            </w:r>
          </w:p>
        </w:tc>
      </w:tr>
    </w:tbl>
    <w:p w14:paraId="504D90DF" w14:textId="77777777" w:rsidR="00436F77" w:rsidRPr="00436F77" w:rsidRDefault="00436F77" w:rsidP="00436F77">
      <w:pPr>
        <w:widowControl w:val="0"/>
        <w:autoSpaceDE w:val="0"/>
        <w:autoSpaceDN w:val="0"/>
        <w:adjustRightInd w:val="0"/>
        <w:spacing w:before="120" w:after="120" w:line="276" w:lineRule="auto"/>
        <w:jc w:val="both"/>
        <w:rPr>
          <w:rFonts w:ascii="Arial" w:eastAsia="Arial Unicode MS" w:hAnsi="Arial" w:cs="Arial"/>
          <w:color w:val="000000"/>
          <w:sz w:val="22"/>
          <w:szCs w:val="22"/>
          <w:u w:color="000000"/>
          <w:bdr w:val="nil"/>
        </w:rPr>
      </w:pPr>
    </w:p>
    <w:p w14:paraId="684A7748" w14:textId="77777777" w:rsidR="0030454B" w:rsidRPr="004D6641" w:rsidRDefault="0030454B" w:rsidP="0060433D">
      <w:pPr>
        <w:spacing w:before="120" w:after="120" w:line="276" w:lineRule="auto"/>
        <w:rPr>
          <w:rFonts w:ascii="Arial" w:hAnsi="Arial" w:cs="Arial"/>
          <w:sz w:val="22"/>
          <w:szCs w:val="22"/>
          <w:lang w:val="en-GB"/>
        </w:rPr>
      </w:pPr>
    </w:p>
    <w:p w14:paraId="7E59287D" w14:textId="4C3A73CB" w:rsidR="0060433D" w:rsidRPr="0060433D" w:rsidRDefault="0030454B" w:rsidP="0060433D">
      <w:pPr>
        <w:pStyle w:val="Akapitzlist"/>
        <w:numPr>
          <w:ilvl w:val="0"/>
          <w:numId w:val="12"/>
        </w:numPr>
        <w:spacing w:before="120" w:after="120" w:line="276" w:lineRule="auto"/>
        <w:ind w:left="426" w:hanging="284"/>
        <w:contextualSpacing w:val="0"/>
        <w:rPr>
          <w:rFonts w:ascii="Arial" w:hAnsi="Arial" w:cs="Arial"/>
          <w:b/>
          <w:bCs/>
          <w:sz w:val="22"/>
          <w:szCs w:val="22"/>
        </w:rPr>
      </w:pPr>
      <w:r w:rsidRPr="004D6641">
        <w:rPr>
          <w:rFonts w:ascii="Arial" w:hAnsi="Arial" w:cs="Arial"/>
          <w:b/>
          <w:sz w:val="22"/>
          <w:szCs w:val="22"/>
        </w:rPr>
        <w:lastRenderedPageBreak/>
        <w:t>DOSTAWA</w:t>
      </w:r>
    </w:p>
    <w:p w14:paraId="5922221E" w14:textId="32C2C46C" w:rsidR="00652F8F" w:rsidRPr="004D6641" w:rsidRDefault="004D6641" w:rsidP="0060433D">
      <w:pPr>
        <w:spacing w:before="120" w:after="120" w:line="276" w:lineRule="auto"/>
        <w:ind w:left="142" w:firstLine="11"/>
        <w:jc w:val="both"/>
        <w:rPr>
          <w:rFonts w:ascii="Arial" w:hAnsi="Arial" w:cs="Arial"/>
          <w:sz w:val="22"/>
          <w:szCs w:val="22"/>
        </w:rPr>
      </w:pPr>
      <w:bookmarkStart w:id="3" w:name="_Hlk216860999"/>
      <w:r>
        <w:rPr>
          <w:rFonts w:ascii="Arial" w:hAnsi="Arial" w:cs="Arial"/>
          <w:sz w:val="22"/>
          <w:szCs w:val="22"/>
        </w:rPr>
        <w:t>P</w:t>
      </w:r>
      <w:r w:rsidRPr="004D6641">
        <w:rPr>
          <w:rFonts w:ascii="Arial" w:hAnsi="Arial" w:cs="Arial"/>
          <w:sz w:val="22"/>
          <w:szCs w:val="22"/>
        </w:rPr>
        <w:t>odłączenie i konfiguracja dostępu do sieci Internet nastąpi do dnia 14.04.2026r</w:t>
      </w:r>
      <w:r w:rsidR="003E484B">
        <w:rPr>
          <w:rFonts w:ascii="Arial" w:hAnsi="Arial" w:cs="Arial"/>
          <w:sz w:val="22"/>
          <w:szCs w:val="22"/>
        </w:rPr>
        <w:t>.</w:t>
      </w:r>
    </w:p>
    <w:p w14:paraId="67F3A9B8" w14:textId="77777777" w:rsidR="00E37380" w:rsidRPr="004D6641" w:rsidRDefault="00E37380" w:rsidP="0060433D">
      <w:pPr>
        <w:spacing w:before="120" w:after="120" w:line="276" w:lineRule="auto"/>
        <w:ind w:left="1440"/>
        <w:rPr>
          <w:rFonts w:ascii="Arial" w:hAnsi="Arial" w:cs="Arial"/>
          <w:sz w:val="22"/>
          <w:szCs w:val="22"/>
        </w:rPr>
      </w:pPr>
    </w:p>
    <w:bookmarkEnd w:id="3"/>
    <w:p w14:paraId="4A7B5E4E" w14:textId="18606F53" w:rsidR="0030454B" w:rsidRPr="004D6641" w:rsidRDefault="0030454B" w:rsidP="0060433D">
      <w:pPr>
        <w:pStyle w:val="Akapitzlist"/>
        <w:numPr>
          <w:ilvl w:val="0"/>
          <w:numId w:val="12"/>
        </w:numPr>
        <w:spacing w:before="120" w:after="120" w:line="276" w:lineRule="auto"/>
        <w:ind w:left="426" w:hanging="284"/>
        <w:contextualSpacing w:val="0"/>
        <w:rPr>
          <w:rFonts w:ascii="Arial" w:hAnsi="Arial" w:cs="Arial"/>
          <w:b/>
          <w:sz w:val="22"/>
          <w:szCs w:val="22"/>
        </w:rPr>
      </w:pPr>
      <w:r w:rsidRPr="004D6641">
        <w:rPr>
          <w:rFonts w:ascii="Arial" w:hAnsi="Arial" w:cs="Arial"/>
          <w:b/>
          <w:sz w:val="22"/>
          <w:szCs w:val="22"/>
        </w:rPr>
        <w:t>PŁATNOŚĆ</w:t>
      </w:r>
    </w:p>
    <w:p w14:paraId="2C0E6E39" w14:textId="794A0662" w:rsidR="00C57605" w:rsidRPr="004D6641" w:rsidRDefault="00872F20" w:rsidP="0060433D">
      <w:pPr>
        <w:spacing w:before="120" w:after="120" w:line="276" w:lineRule="auto"/>
        <w:ind w:left="142" w:firstLine="11"/>
        <w:jc w:val="both"/>
        <w:rPr>
          <w:rFonts w:ascii="Arial" w:hAnsi="Arial" w:cs="Arial"/>
          <w:sz w:val="22"/>
          <w:szCs w:val="22"/>
        </w:rPr>
      </w:pPr>
      <w:r w:rsidRPr="004D6641">
        <w:rPr>
          <w:rFonts w:ascii="Arial" w:hAnsi="Arial" w:cs="Arial"/>
          <w:sz w:val="22"/>
          <w:szCs w:val="22"/>
        </w:rPr>
        <w:t>Termin płatności 21 dni kalendarzowych od daty dostarczenia prawidłowo wystawionej faktury VAT.</w:t>
      </w:r>
    </w:p>
    <w:sectPr w:rsidR="00C57605" w:rsidRPr="004D6641" w:rsidSect="0030454B">
      <w:headerReference w:type="default" r:id="rId9"/>
      <w:pgSz w:w="11906" w:h="16838"/>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AE2DC" w14:textId="77777777" w:rsidR="009945C8" w:rsidRDefault="009945C8">
      <w:r>
        <w:separator/>
      </w:r>
    </w:p>
  </w:endnote>
  <w:endnote w:type="continuationSeparator" w:id="0">
    <w:p w14:paraId="1CDCEE1D" w14:textId="77777777" w:rsidR="009945C8" w:rsidRDefault="00994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E916C" w14:textId="77777777" w:rsidR="009945C8" w:rsidRDefault="009945C8">
      <w:r>
        <w:separator/>
      </w:r>
    </w:p>
  </w:footnote>
  <w:footnote w:type="continuationSeparator" w:id="0">
    <w:p w14:paraId="756A480E" w14:textId="77777777" w:rsidR="009945C8" w:rsidRDefault="00994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10632" w14:textId="3066FCE7" w:rsidR="00DB722D" w:rsidRPr="00272158" w:rsidRDefault="00272158" w:rsidP="00272158">
    <w:pPr>
      <w:pStyle w:val="Nagwek"/>
      <w:ind w:left="1276" w:hanging="1276"/>
      <w:rPr>
        <w:rFonts w:ascii="Arial" w:hAnsi="Arial" w:cs="Arial"/>
        <w:sz w:val="22"/>
        <w:szCs w:val="22"/>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r w:rsidRPr="00272158">
      <w:rPr>
        <w:rFonts w:ascii="Arial" w:hAnsi="Arial" w:cs="Arial"/>
        <w:sz w:val="22"/>
        <w:szCs w:val="22"/>
      </w:rPr>
      <w:t xml:space="preserve">Załącznik nr 2 do </w:t>
    </w:r>
    <w:r>
      <w:rPr>
        <w:rFonts w:ascii="Arial" w:hAnsi="Arial" w:cs="Arial"/>
        <w:sz w:val="22"/>
        <w:szCs w:val="22"/>
      </w:rPr>
      <w:t>Rozeznania Rynku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042F1"/>
    <w:multiLevelType w:val="hybridMultilevel"/>
    <w:tmpl w:val="8DF681F8"/>
    <w:lvl w:ilvl="0" w:tplc="04150017">
      <w:start w:val="1"/>
      <w:numFmt w:val="lowerLetter"/>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 w15:restartNumberingAfterBreak="0">
    <w:nsid w:val="07E17FB7"/>
    <w:multiLevelType w:val="multilevel"/>
    <w:tmpl w:val="B5120E0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0A7F65"/>
    <w:multiLevelType w:val="multilevel"/>
    <w:tmpl w:val="8D78CEE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BB3D10"/>
    <w:multiLevelType w:val="multilevel"/>
    <w:tmpl w:val="4D4E01A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133A7B"/>
    <w:multiLevelType w:val="hybridMultilevel"/>
    <w:tmpl w:val="32289174"/>
    <w:lvl w:ilvl="0" w:tplc="8D5432A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225A99"/>
    <w:multiLevelType w:val="hybridMultilevel"/>
    <w:tmpl w:val="7B7CA0A2"/>
    <w:lvl w:ilvl="0" w:tplc="F4A4FE74">
      <w:start w:val="1"/>
      <w:numFmt w:val="decimal"/>
      <w:pStyle w:val="1"/>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2652FB3"/>
    <w:multiLevelType w:val="hybridMultilevel"/>
    <w:tmpl w:val="8AF66F2A"/>
    <w:lvl w:ilvl="0" w:tplc="04150011">
      <w:start w:val="1"/>
      <w:numFmt w:val="decimal"/>
      <w:lvlText w:val="%1)"/>
      <w:lvlJc w:val="left"/>
      <w:pPr>
        <w:ind w:left="1636"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CC129C5"/>
    <w:multiLevelType w:val="hybridMultilevel"/>
    <w:tmpl w:val="39248C44"/>
    <w:lvl w:ilvl="0" w:tplc="04150017">
      <w:start w:val="1"/>
      <w:numFmt w:val="lowerLetter"/>
      <w:lvlText w:val="%1)"/>
      <w:lvlJc w:val="left"/>
      <w:pPr>
        <w:ind w:left="2534" w:hanging="360"/>
      </w:pPr>
    </w:lvl>
    <w:lvl w:ilvl="1" w:tplc="04150019" w:tentative="1">
      <w:start w:val="1"/>
      <w:numFmt w:val="lowerLetter"/>
      <w:lvlText w:val="%2."/>
      <w:lvlJc w:val="left"/>
      <w:pPr>
        <w:ind w:left="3254" w:hanging="360"/>
      </w:pPr>
    </w:lvl>
    <w:lvl w:ilvl="2" w:tplc="0415001B" w:tentative="1">
      <w:start w:val="1"/>
      <w:numFmt w:val="lowerRoman"/>
      <w:lvlText w:val="%3."/>
      <w:lvlJc w:val="right"/>
      <w:pPr>
        <w:ind w:left="3974" w:hanging="180"/>
      </w:pPr>
    </w:lvl>
    <w:lvl w:ilvl="3" w:tplc="0415000F" w:tentative="1">
      <w:start w:val="1"/>
      <w:numFmt w:val="decimal"/>
      <w:lvlText w:val="%4."/>
      <w:lvlJc w:val="left"/>
      <w:pPr>
        <w:ind w:left="4694" w:hanging="360"/>
      </w:pPr>
    </w:lvl>
    <w:lvl w:ilvl="4" w:tplc="04150019" w:tentative="1">
      <w:start w:val="1"/>
      <w:numFmt w:val="lowerLetter"/>
      <w:lvlText w:val="%5."/>
      <w:lvlJc w:val="left"/>
      <w:pPr>
        <w:ind w:left="5414" w:hanging="360"/>
      </w:pPr>
    </w:lvl>
    <w:lvl w:ilvl="5" w:tplc="0415001B" w:tentative="1">
      <w:start w:val="1"/>
      <w:numFmt w:val="lowerRoman"/>
      <w:lvlText w:val="%6."/>
      <w:lvlJc w:val="right"/>
      <w:pPr>
        <w:ind w:left="6134" w:hanging="180"/>
      </w:pPr>
    </w:lvl>
    <w:lvl w:ilvl="6" w:tplc="0415000F" w:tentative="1">
      <w:start w:val="1"/>
      <w:numFmt w:val="decimal"/>
      <w:lvlText w:val="%7."/>
      <w:lvlJc w:val="left"/>
      <w:pPr>
        <w:ind w:left="6854" w:hanging="360"/>
      </w:pPr>
    </w:lvl>
    <w:lvl w:ilvl="7" w:tplc="04150019" w:tentative="1">
      <w:start w:val="1"/>
      <w:numFmt w:val="lowerLetter"/>
      <w:lvlText w:val="%8."/>
      <w:lvlJc w:val="left"/>
      <w:pPr>
        <w:ind w:left="7574" w:hanging="360"/>
      </w:pPr>
    </w:lvl>
    <w:lvl w:ilvl="8" w:tplc="0415001B" w:tentative="1">
      <w:start w:val="1"/>
      <w:numFmt w:val="lowerRoman"/>
      <w:lvlText w:val="%9."/>
      <w:lvlJc w:val="right"/>
      <w:pPr>
        <w:ind w:left="8294" w:hanging="180"/>
      </w:pPr>
    </w:lvl>
  </w:abstractNum>
  <w:abstractNum w:abstractNumId="8" w15:restartNumberingAfterBreak="0">
    <w:nsid w:val="2DC80182"/>
    <w:multiLevelType w:val="hybridMultilevel"/>
    <w:tmpl w:val="60DE91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04A44B2"/>
    <w:multiLevelType w:val="multilevel"/>
    <w:tmpl w:val="4058F0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4D0930"/>
    <w:multiLevelType w:val="hybridMultilevel"/>
    <w:tmpl w:val="6508480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53E3981"/>
    <w:multiLevelType w:val="multilevel"/>
    <w:tmpl w:val="161A264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3610B9"/>
    <w:multiLevelType w:val="multilevel"/>
    <w:tmpl w:val="94F63ECA"/>
    <w:lvl w:ilvl="0">
      <w:start w:val="1"/>
      <w:numFmt w:val="decimal"/>
      <w:pStyle w:val="10"/>
      <w:lvlText w:val="%1)"/>
      <w:lvlJc w:val="left"/>
      <w:pPr>
        <w:ind w:left="1211"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0CB5F1F"/>
    <w:multiLevelType w:val="hybridMultilevel"/>
    <w:tmpl w:val="587612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30A1BA9"/>
    <w:multiLevelType w:val="multilevel"/>
    <w:tmpl w:val="426814B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436CDB"/>
    <w:multiLevelType w:val="hybridMultilevel"/>
    <w:tmpl w:val="3FFADE96"/>
    <w:lvl w:ilvl="0" w:tplc="04150011">
      <w:start w:val="1"/>
      <w:numFmt w:val="decimal"/>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16" w15:restartNumberingAfterBreak="0">
    <w:nsid w:val="61D03968"/>
    <w:multiLevelType w:val="hybridMultilevel"/>
    <w:tmpl w:val="E1E82A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29C4784"/>
    <w:multiLevelType w:val="hybridMultilevel"/>
    <w:tmpl w:val="798433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74D38D0"/>
    <w:multiLevelType w:val="hybridMultilevel"/>
    <w:tmpl w:val="2FC26D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898546B"/>
    <w:multiLevelType w:val="hybridMultilevel"/>
    <w:tmpl w:val="C60069FC"/>
    <w:lvl w:ilvl="0" w:tplc="04150017">
      <w:start w:val="1"/>
      <w:numFmt w:val="lowerLetter"/>
      <w:lvlText w:val="%1)"/>
      <w:lvlJc w:val="left"/>
      <w:pPr>
        <w:ind w:left="1636"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6BBE3328"/>
    <w:multiLevelType w:val="hybridMultilevel"/>
    <w:tmpl w:val="494C3DFC"/>
    <w:lvl w:ilvl="0" w:tplc="FFFFFFFF">
      <w:start w:val="1"/>
      <w:numFmt w:val="decimal"/>
      <w:lvlText w:val="%1)"/>
      <w:lvlJc w:val="left"/>
      <w:pPr>
        <w:ind w:left="1636"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6FF13461"/>
    <w:multiLevelType w:val="multilevel"/>
    <w:tmpl w:val="4BDA4F7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7E73493"/>
    <w:multiLevelType w:val="hybridMultilevel"/>
    <w:tmpl w:val="494C3DFC"/>
    <w:lvl w:ilvl="0" w:tplc="04150011">
      <w:start w:val="1"/>
      <w:numFmt w:val="decimal"/>
      <w:lvlText w:val="%1)"/>
      <w:lvlJc w:val="left"/>
      <w:pPr>
        <w:ind w:left="1636"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788B46ED"/>
    <w:multiLevelType w:val="multilevel"/>
    <w:tmpl w:val="7E6A3ED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C04039F"/>
    <w:multiLevelType w:val="multilevel"/>
    <w:tmpl w:val="FC32C80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1212004">
    <w:abstractNumId w:val="17"/>
  </w:num>
  <w:num w:numId="2" w16cid:durableId="1211454349">
    <w:abstractNumId w:val="14"/>
  </w:num>
  <w:num w:numId="3" w16cid:durableId="1578325576">
    <w:abstractNumId w:val="9"/>
  </w:num>
  <w:num w:numId="4" w16cid:durableId="1116680663">
    <w:abstractNumId w:val="18"/>
  </w:num>
  <w:num w:numId="5" w16cid:durableId="1434782786">
    <w:abstractNumId w:val="21"/>
  </w:num>
  <w:num w:numId="6" w16cid:durableId="1175069539">
    <w:abstractNumId w:val="1"/>
  </w:num>
  <w:num w:numId="7" w16cid:durableId="1312562454">
    <w:abstractNumId w:val="11"/>
  </w:num>
  <w:num w:numId="8" w16cid:durableId="665524153">
    <w:abstractNumId w:val="2"/>
  </w:num>
  <w:num w:numId="9" w16cid:durableId="156700952">
    <w:abstractNumId w:val="24"/>
  </w:num>
  <w:num w:numId="10" w16cid:durableId="663245734">
    <w:abstractNumId w:val="23"/>
  </w:num>
  <w:num w:numId="11" w16cid:durableId="1449929657">
    <w:abstractNumId w:val="3"/>
  </w:num>
  <w:num w:numId="12" w16cid:durableId="402340719">
    <w:abstractNumId w:val="4"/>
  </w:num>
  <w:num w:numId="13" w16cid:durableId="1895383962">
    <w:abstractNumId w:val="8"/>
  </w:num>
  <w:num w:numId="14" w16cid:durableId="1761874184">
    <w:abstractNumId w:val="22"/>
  </w:num>
  <w:num w:numId="15" w16cid:durableId="138151515">
    <w:abstractNumId w:val="22"/>
  </w:num>
  <w:num w:numId="16" w16cid:durableId="1365985367">
    <w:abstractNumId w:val="16"/>
  </w:num>
  <w:num w:numId="17" w16cid:durableId="1260336566">
    <w:abstractNumId w:val="15"/>
  </w:num>
  <w:num w:numId="18" w16cid:durableId="1250500927">
    <w:abstractNumId w:val="10"/>
  </w:num>
  <w:num w:numId="19" w16cid:durableId="1131821209">
    <w:abstractNumId w:val="0"/>
  </w:num>
  <w:num w:numId="20" w16cid:durableId="1653604896">
    <w:abstractNumId w:val="7"/>
  </w:num>
  <w:num w:numId="21" w16cid:durableId="313414140">
    <w:abstractNumId w:val="12"/>
  </w:num>
  <w:num w:numId="22" w16cid:durableId="1212381505">
    <w:abstractNumId w:val="22"/>
  </w:num>
  <w:num w:numId="23" w16cid:durableId="1380666415">
    <w:abstractNumId w:val="19"/>
  </w:num>
  <w:num w:numId="24" w16cid:durableId="336928928">
    <w:abstractNumId w:val="6"/>
  </w:num>
  <w:num w:numId="25" w16cid:durableId="1184326636">
    <w:abstractNumId w:val="20"/>
  </w:num>
  <w:num w:numId="26" w16cid:durableId="27604672">
    <w:abstractNumId w:val="5"/>
  </w:num>
  <w:num w:numId="27" w16cid:durableId="12909335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4686632">
    <w:abstractNumId w:val="22"/>
    <w:lvlOverride w:ilvl="0">
      <w:startOverride w:val="1"/>
    </w:lvlOverride>
  </w:num>
  <w:num w:numId="29" w16cid:durableId="4554129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54B"/>
    <w:rsid w:val="000E0E95"/>
    <w:rsid w:val="000F06BF"/>
    <w:rsid w:val="001521B0"/>
    <w:rsid w:val="00272158"/>
    <w:rsid w:val="00274191"/>
    <w:rsid w:val="00296C02"/>
    <w:rsid w:val="0030454B"/>
    <w:rsid w:val="003E484B"/>
    <w:rsid w:val="003F5262"/>
    <w:rsid w:val="00410D91"/>
    <w:rsid w:val="00436F77"/>
    <w:rsid w:val="004650A3"/>
    <w:rsid w:val="004C285D"/>
    <w:rsid w:val="004D6641"/>
    <w:rsid w:val="005B0D04"/>
    <w:rsid w:val="005D14BE"/>
    <w:rsid w:val="005E57BF"/>
    <w:rsid w:val="0060433D"/>
    <w:rsid w:val="0064478F"/>
    <w:rsid w:val="00652F8F"/>
    <w:rsid w:val="006A68EB"/>
    <w:rsid w:val="006D162B"/>
    <w:rsid w:val="006D399D"/>
    <w:rsid w:val="006F40B0"/>
    <w:rsid w:val="007C2FE7"/>
    <w:rsid w:val="00831BB8"/>
    <w:rsid w:val="00872F20"/>
    <w:rsid w:val="008E5E4F"/>
    <w:rsid w:val="008F36B9"/>
    <w:rsid w:val="009024CB"/>
    <w:rsid w:val="009173E7"/>
    <w:rsid w:val="00923219"/>
    <w:rsid w:val="0093449D"/>
    <w:rsid w:val="009945C8"/>
    <w:rsid w:val="009B06E5"/>
    <w:rsid w:val="009C66FC"/>
    <w:rsid w:val="00A44D31"/>
    <w:rsid w:val="00AB3CE2"/>
    <w:rsid w:val="00B10F45"/>
    <w:rsid w:val="00B768F0"/>
    <w:rsid w:val="00B968E9"/>
    <w:rsid w:val="00BA2D48"/>
    <w:rsid w:val="00BA59B0"/>
    <w:rsid w:val="00C57605"/>
    <w:rsid w:val="00C605E9"/>
    <w:rsid w:val="00CA1BF9"/>
    <w:rsid w:val="00D4237C"/>
    <w:rsid w:val="00DB722D"/>
    <w:rsid w:val="00E37380"/>
    <w:rsid w:val="00E85E99"/>
    <w:rsid w:val="00E922E8"/>
    <w:rsid w:val="00EF3829"/>
    <w:rsid w:val="00F22D60"/>
    <w:rsid w:val="00F43199"/>
    <w:rsid w:val="00F70A01"/>
    <w:rsid w:val="00F819DB"/>
    <w:rsid w:val="00F94D38"/>
    <w:rsid w:val="00FD6742"/>
    <w:rsid w:val="00FE61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80A2A"/>
  <w15:chartTrackingRefBased/>
  <w15:docId w15:val="{B6921609-5435-40BC-9AD8-007384A6E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0454B"/>
    <w:pPr>
      <w:spacing w:after="0" w:line="240" w:lineRule="auto"/>
    </w:pPr>
    <w:rPr>
      <w:rFonts w:ascii="Times New Roman" w:eastAsia="Times New Roman" w:hAnsi="Times New Roman" w:cs="Times New Roman"/>
      <w:kern w:val="0"/>
      <w:lang w:eastAsia="pl-PL"/>
      <w14:ligatures w14:val="none"/>
    </w:rPr>
  </w:style>
  <w:style w:type="paragraph" w:styleId="Nagwek1">
    <w:name w:val="heading 1"/>
    <w:basedOn w:val="Normalny"/>
    <w:next w:val="Normalny"/>
    <w:link w:val="Nagwek1Znak"/>
    <w:uiPriority w:val="9"/>
    <w:qFormat/>
    <w:rsid w:val="003045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3045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30454B"/>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30454B"/>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30454B"/>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30454B"/>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0454B"/>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0454B"/>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0454B"/>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0454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30454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30454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30454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30454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30454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0454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0454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0454B"/>
    <w:rPr>
      <w:rFonts w:eastAsiaTheme="majorEastAsia" w:cstheme="majorBidi"/>
      <w:color w:val="272727" w:themeColor="text1" w:themeTint="D8"/>
    </w:rPr>
  </w:style>
  <w:style w:type="paragraph" w:styleId="Tytu">
    <w:name w:val="Title"/>
    <w:basedOn w:val="Normalny"/>
    <w:next w:val="Normalny"/>
    <w:link w:val="TytuZnak"/>
    <w:uiPriority w:val="10"/>
    <w:qFormat/>
    <w:rsid w:val="0030454B"/>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0454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0454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0454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0454B"/>
    <w:pPr>
      <w:spacing w:before="160"/>
      <w:jc w:val="center"/>
    </w:pPr>
    <w:rPr>
      <w:i/>
      <w:iCs/>
      <w:color w:val="404040" w:themeColor="text1" w:themeTint="BF"/>
    </w:rPr>
  </w:style>
  <w:style w:type="character" w:customStyle="1" w:styleId="CytatZnak">
    <w:name w:val="Cytat Znak"/>
    <w:basedOn w:val="Domylnaczcionkaakapitu"/>
    <w:link w:val="Cytat"/>
    <w:uiPriority w:val="29"/>
    <w:rsid w:val="0030454B"/>
    <w:rPr>
      <w:i/>
      <w:iCs/>
      <w:color w:val="404040" w:themeColor="text1" w:themeTint="BF"/>
    </w:rPr>
  </w:style>
  <w:style w:type="paragraph" w:styleId="Akapitzlist">
    <w:name w:val="List Paragraph"/>
    <w:basedOn w:val="Normalny"/>
    <w:link w:val="AkapitzlistZnak"/>
    <w:uiPriority w:val="34"/>
    <w:qFormat/>
    <w:rsid w:val="0030454B"/>
    <w:pPr>
      <w:ind w:left="720"/>
      <w:contextualSpacing/>
    </w:pPr>
  </w:style>
  <w:style w:type="character" w:styleId="Wyrnienieintensywne">
    <w:name w:val="Intense Emphasis"/>
    <w:basedOn w:val="Domylnaczcionkaakapitu"/>
    <w:uiPriority w:val="21"/>
    <w:qFormat/>
    <w:rsid w:val="0030454B"/>
    <w:rPr>
      <w:i/>
      <w:iCs/>
      <w:color w:val="0F4761" w:themeColor="accent1" w:themeShade="BF"/>
    </w:rPr>
  </w:style>
  <w:style w:type="paragraph" w:styleId="Cytatintensywny">
    <w:name w:val="Intense Quote"/>
    <w:basedOn w:val="Normalny"/>
    <w:next w:val="Normalny"/>
    <w:link w:val="CytatintensywnyZnak"/>
    <w:uiPriority w:val="30"/>
    <w:qFormat/>
    <w:rsid w:val="003045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30454B"/>
    <w:rPr>
      <w:i/>
      <w:iCs/>
      <w:color w:val="0F4761" w:themeColor="accent1" w:themeShade="BF"/>
    </w:rPr>
  </w:style>
  <w:style w:type="character" w:styleId="Odwoanieintensywne">
    <w:name w:val="Intense Reference"/>
    <w:basedOn w:val="Domylnaczcionkaakapitu"/>
    <w:uiPriority w:val="32"/>
    <w:qFormat/>
    <w:rsid w:val="0030454B"/>
    <w:rPr>
      <w:b/>
      <w:bCs/>
      <w:smallCaps/>
      <w:color w:val="0F4761" w:themeColor="accent1" w:themeShade="BF"/>
      <w:spacing w:val="5"/>
    </w:rPr>
  </w:style>
  <w:style w:type="paragraph" w:customStyle="1" w:styleId="ZnakZnak3">
    <w:name w:val="Znak Znak3"/>
    <w:basedOn w:val="Normalny"/>
    <w:rsid w:val="0030454B"/>
    <w:pPr>
      <w:spacing w:line="360" w:lineRule="auto"/>
      <w:jc w:val="both"/>
    </w:pPr>
    <w:rPr>
      <w:rFonts w:ascii="Verdana" w:hAnsi="Verdana"/>
      <w:sz w:val="20"/>
      <w:szCs w:val="20"/>
    </w:rPr>
  </w:style>
  <w:style w:type="character" w:customStyle="1" w:styleId="AkapitzlistZnak">
    <w:name w:val="Akapit z listą Znak"/>
    <w:link w:val="Akapitzlist"/>
    <w:uiPriority w:val="34"/>
    <w:locked/>
    <w:rsid w:val="0030454B"/>
  </w:style>
  <w:style w:type="paragraph" w:styleId="Nagwek">
    <w:name w:val="header"/>
    <w:basedOn w:val="Normalny"/>
    <w:link w:val="NagwekZnak"/>
    <w:uiPriority w:val="99"/>
    <w:rsid w:val="0030454B"/>
    <w:pPr>
      <w:tabs>
        <w:tab w:val="center" w:pos="4536"/>
        <w:tab w:val="right" w:pos="9072"/>
      </w:tabs>
    </w:pPr>
  </w:style>
  <w:style w:type="character" w:customStyle="1" w:styleId="NagwekZnak">
    <w:name w:val="Nagłówek Znak"/>
    <w:basedOn w:val="Domylnaczcionkaakapitu"/>
    <w:link w:val="Nagwek"/>
    <w:uiPriority w:val="99"/>
    <w:rsid w:val="0030454B"/>
    <w:rPr>
      <w:rFonts w:ascii="Times New Roman" w:eastAsia="Times New Roman" w:hAnsi="Times New Roman" w:cs="Times New Roman"/>
      <w:kern w:val="0"/>
      <w:lang w:eastAsia="pl-PL"/>
      <w14:ligatures w14:val="none"/>
    </w:rPr>
  </w:style>
  <w:style w:type="paragraph" w:styleId="NormalnyWeb">
    <w:name w:val="Normal (Web)"/>
    <w:basedOn w:val="Normalny"/>
    <w:uiPriority w:val="99"/>
    <w:rsid w:val="0030454B"/>
    <w:pPr>
      <w:spacing w:before="100" w:after="100"/>
    </w:pPr>
    <w:rPr>
      <w:szCs w:val="20"/>
    </w:rPr>
  </w:style>
  <w:style w:type="character" w:styleId="Pogrubienie">
    <w:name w:val="Strong"/>
    <w:basedOn w:val="Domylnaczcionkaakapitu"/>
    <w:uiPriority w:val="22"/>
    <w:qFormat/>
    <w:rsid w:val="0030454B"/>
    <w:rPr>
      <w:b/>
      <w:bCs/>
    </w:rPr>
  </w:style>
  <w:style w:type="table" w:styleId="Tabela-Siatka">
    <w:name w:val="Table Grid"/>
    <w:basedOn w:val="Standardowy"/>
    <w:uiPriority w:val="39"/>
    <w:rsid w:val="0030454B"/>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4C285D"/>
    <w:pPr>
      <w:tabs>
        <w:tab w:val="center" w:pos="4536"/>
        <w:tab w:val="right" w:pos="9072"/>
      </w:tabs>
    </w:pPr>
  </w:style>
  <w:style w:type="character" w:customStyle="1" w:styleId="StopkaZnak">
    <w:name w:val="Stopka Znak"/>
    <w:basedOn w:val="Domylnaczcionkaakapitu"/>
    <w:link w:val="Stopka"/>
    <w:uiPriority w:val="99"/>
    <w:rsid w:val="004C285D"/>
    <w:rPr>
      <w:rFonts w:ascii="Times New Roman" w:eastAsia="Times New Roman" w:hAnsi="Times New Roman" w:cs="Times New Roman"/>
      <w:kern w:val="0"/>
      <w:lang w:eastAsia="pl-PL"/>
      <w14:ligatures w14:val="none"/>
    </w:rPr>
  </w:style>
  <w:style w:type="paragraph" w:customStyle="1" w:styleId="a">
    <w:name w:val="a."/>
    <w:basedOn w:val="Akapitzlist"/>
    <w:qFormat/>
    <w:rsid w:val="00D4237C"/>
    <w:pPr>
      <w:widowControl w:val="0"/>
      <w:autoSpaceDE w:val="0"/>
      <w:autoSpaceDN w:val="0"/>
      <w:adjustRightInd w:val="0"/>
      <w:spacing w:before="120"/>
      <w:ind w:left="0"/>
      <w:contextualSpacing w:val="0"/>
      <w:jc w:val="both"/>
    </w:pPr>
    <w:rPr>
      <w:rFonts w:ascii="Arial" w:eastAsia="Arial Unicode MS" w:hAnsi="Arial" w:cs="Arial"/>
      <w:color w:val="000000"/>
      <w:sz w:val="20"/>
      <w:szCs w:val="20"/>
      <w:u w:color="000000"/>
      <w:bdr w:val="nil"/>
    </w:rPr>
  </w:style>
  <w:style w:type="paragraph" w:customStyle="1" w:styleId="10">
    <w:name w:val="1)"/>
    <w:basedOn w:val="Akapitzlist"/>
    <w:qFormat/>
    <w:rsid w:val="006D399D"/>
    <w:pPr>
      <w:widowControl w:val="0"/>
      <w:numPr>
        <w:numId w:val="21"/>
      </w:numPr>
      <w:tabs>
        <w:tab w:val="num" w:pos="360"/>
      </w:tabs>
      <w:autoSpaceDE w:val="0"/>
      <w:autoSpaceDN w:val="0"/>
      <w:adjustRightInd w:val="0"/>
      <w:spacing w:before="120"/>
      <w:ind w:left="720" w:firstLine="0"/>
      <w:contextualSpacing w:val="0"/>
      <w:jc w:val="both"/>
    </w:pPr>
    <w:rPr>
      <w:rFonts w:ascii="Arial" w:eastAsia="Arial Unicode MS" w:hAnsi="Arial" w:cs="Arial"/>
      <w:b/>
      <w:color w:val="000000"/>
      <w:sz w:val="20"/>
      <w:szCs w:val="20"/>
      <w:u w:color="000000"/>
      <w:bdr w:val="nil"/>
    </w:rPr>
  </w:style>
  <w:style w:type="character" w:styleId="Hipercze">
    <w:name w:val="Hyperlink"/>
    <w:basedOn w:val="Domylnaczcionkaakapitu"/>
    <w:uiPriority w:val="99"/>
    <w:unhideWhenUsed/>
    <w:rsid w:val="004D6641"/>
    <w:rPr>
      <w:color w:val="467886" w:themeColor="hyperlink"/>
      <w:u w:val="single"/>
    </w:rPr>
  </w:style>
  <w:style w:type="character" w:styleId="Nierozpoznanawzmianka">
    <w:name w:val="Unresolved Mention"/>
    <w:basedOn w:val="Domylnaczcionkaakapitu"/>
    <w:uiPriority w:val="99"/>
    <w:semiHidden/>
    <w:unhideWhenUsed/>
    <w:rsid w:val="004D6641"/>
    <w:rPr>
      <w:color w:val="605E5C"/>
      <w:shd w:val="clear" w:color="auto" w:fill="E1DFDD"/>
    </w:rPr>
  </w:style>
  <w:style w:type="character" w:customStyle="1" w:styleId="BrakA">
    <w:name w:val="Brak A"/>
    <w:rsid w:val="00436F77"/>
  </w:style>
  <w:style w:type="paragraph" w:customStyle="1" w:styleId="1">
    <w:name w:val="1."/>
    <w:basedOn w:val="Akapitzlist"/>
    <w:qFormat/>
    <w:rsid w:val="00436F77"/>
    <w:pPr>
      <w:numPr>
        <w:numId w:val="26"/>
      </w:numPr>
      <w:pBdr>
        <w:top w:val="nil"/>
        <w:left w:val="nil"/>
        <w:bottom w:val="nil"/>
        <w:right w:val="nil"/>
        <w:between w:val="nil"/>
        <w:bar w:val="nil"/>
      </w:pBdr>
      <w:spacing w:before="240" w:after="120"/>
      <w:ind w:left="851" w:hanging="425"/>
      <w:contextualSpacing w:val="0"/>
    </w:pPr>
    <w:rPr>
      <w:rFonts w:ascii="Arial" w:eastAsia="Arial Unicode MS" w:hAnsi="Arial" w:cs="Arial"/>
      <w:b/>
      <w:color w:val="000000"/>
      <w:sz w:val="20"/>
      <w:szCs w:val="20"/>
      <w:u w:color="000000"/>
      <w:bdr w:val="nil"/>
    </w:rPr>
  </w:style>
  <w:style w:type="paragraph" w:customStyle="1" w:styleId="Standardtabela">
    <w:name w:val="Standard tabela"/>
    <w:basedOn w:val="Normalny"/>
    <w:qFormat/>
    <w:rsid w:val="00436F77"/>
    <w:pPr>
      <w:pBdr>
        <w:top w:val="nil"/>
        <w:left w:val="nil"/>
        <w:bottom w:val="nil"/>
        <w:right w:val="nil"/>
        <w:between w:val="nil"/>
        <w:bar w:val="nil"/>
      </w:pBdr>
      <w:spacing w:before="120" w:after="120" w:line="276" w:lineRule="auto"/>
    </w:pPr>
    <w:rPr>
      <w:rFonts w:ascii="Arial" w:eastAsia="Arial Unicode MS" w:hAnsi="Arial" w:cs="Arial Unicode MS"/>
      <w:color w:val="000000"/>
      <w:sz w:val="20"/>
      <w:szCs w:val="22"/>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public@mi.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939EE-A6BF-498F-9E59-B074D2692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5</Pages>
  <Words>1105</Words>
  <Characters>6631</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Ministerstwo Infrastruktury</Company>
  <LinksUpToDate>false</LinksUpToDate>
  <CharactersWithSpaces>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Urawski Sławomir</dc:creator>
  <cp:keywords/>
  <dc:description/>
  <cp:lastModifiedBy>Urawski Sławomir</cp:lastModifiedBy>
  <cp:revision>8</cp:revision>
  <dcterms:created xsi:type="dcterms:W3CDTF">2026-02-02T12:21:00Z</dcterms:created>
  <dcterms:modified xsi:type="dcterms:W3CDTF">2026-02-03T09:55:00Z</dcterms:modified>
</cp:coreProperties>
</file>