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D2CA" w14:textId="5434EB0D" w:rsidR="00926924" w:rsidRPr="00926924" w:rsidRDefault="00926924" w:rsidP="00926924">
      <w:pPr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  <w:r w:rsidRPr="00926924">
        <w:rPr>
          <w:rFonts w:ascii="Lato" w:hAnsi="Lato"/>
          <w:b/>
          <w:bCs/>
          <w:color w:val="00B0F0"/>
          <w:sz w:val="36"/>
          <w:szCs w:val="36"/>
          <w:u w:val="single"/>
        </w:rPr>
        <w:t>OBWIESZCZENI</w:t>
      </w:r>
      <w:r w:rsidR="00DD0639">
        <w:rPr>
          <w:rFonts w:ascii="Lato" w:hAnsi="Lato"/>
          <w:b/>
          <w:bCs/>
          <w:color w:val="00B0F0"/>
          <w:sz w:val="36"/>
          <w:szCs w:val="36"/>
          <w:u w:val="single"/>
        </w:rPr>
        <w:t>E</w:t>
      </w:r>
      <w:r w:rsidRPr="00926924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REFUNDACYJNE </w:t>
      </w:r>
      <w:r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NR 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82</w:t>
      </w:r>
      <w:r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(1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KWIETNIA</w:t>
      </w:r>
      <w:r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202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6</w:t>
      </w:r>
      <w:r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r.)</w:t>
      </w:r>
    </w:p>
    <w:p w14:paraId="5D96A418" w14:textId="7134B95E" w:rsidR="00DD0639" w:rsidRPr="0058562B" w:rsidRDefault="00DD0639" w:rsidP="00DD0639">
      <w:pPr>
        <w:spacing w:before="240" w:after="120" w:line="276" w:lineRule="auto"/>
        <w:jc w:val="both"/>
        <w:rPr>
          <w:rFonts w:ascii="Lato" w:hAnsi="Lato"/>
        </w:rPr>
      </w:pPr>
      <w:r w:rsidRPr="0058562B">
        <w:rPr>
          <w:rFonts w:ascii="Lato" w:hAnsi="Lato"/>
        </w:rPr>
        <w:t xml:space="preserve">W ramach </w:t>
      </w:r>
      <w:r>
        <w:rPr>
          <w:rFonts w:ascii="Lato" w:hAnsi="Lato"/>
        </w:rPr>
        <w:t>drugiego</w:t>
      </w:r>
      <w:r w:rsidRPr="0058562B">
        <w:rPr>
          <w:rFonts w:ascii="Lato" w:hAnsi="Lato"/>
        </w:rPr>
        <w:t xml:space="preserve"> wykazu w roku 202</w:t>
      </w:r>
      <w:r>
        <w:rPr>
          <w:rFonts w:ascii="Lato" w:hAnsi="Lato"/>
        </w:rPr>
        <w:t>6</w:t>
      </w:r>
      <w:r w:rsidRPr="0058562B">
        <w:rPr>
          <w:rFonts w:ascii="Lato" w:hAnsi="Lato"/>
        </w:rPr>
        <w:t>, finansowaniem ze środków publicznych został</w:t>
      </w:r>
      <w:r w:rsidR="000739EA">
        <w:rPr>
          <w:rFonts w:ascii="Lato" w:hAnsi="Lato"/>
        </w:rPr>
        <w:t>o</w:t>
      </w:r>
      <w:r w:rsidRPr="0058562B">
        <w:rPr>
          <w:rFonts w:ascii="Lato" w:hAnsi="Lato"/>
        </w:rPr>
        <w:t xml:space="preserve"> objęt</w:t>
      </w:r>
      <w:r w:rsidR="000739EA">
        <w:rPr>
          <w:rFonts w:ascii="Lato" w:hAnsi="Lato"/>
        </w:rPr>
        <w:t>ych</w:t>
      </w:r>
      <w:r w:rsidRPr="0058562B">
        <w:rPr>
          <w:rFonts w:ascii="Lato" w:hAnsi="Lato"/>
        </w:rPr>
        <w:t xml:space="preserve"> </w:t>
      </w:r>
      <w:r w:rsidR="000739EA">
        <w:rPr>
          <w:rFonts w:ascii="Lato" w:hAnsi="Lato"/>
          <w:b/>
          <w:bCs/>
        </w:rPr>
        <w:t>17</w:t>
      </w:r>
      <w:r w:rsidRPr="0058562B">
        <w:rPr>
          <w:rFonts w:ascii="Lato" w:hAnsi="Lato"/>
          <w:b/>
          <w:bCs/>
        </w:rPr>
        <w:t xml:space="preserve"> now</w:t>
      </w:r>
      <w:r w:rsidR="000739EA">
        <w:rPr>
          <w:rFonts w:ascii="Lato" w:hAnsi="Lato"/>
          <w:b/>
          <w:bCs/>
        </w:rPr>
        <w:t>ych</w:t>
      </w:r>
      <w:r w:rsidRPr="0058562B">
        <w:rPr>
          <w:rFonts w:ascii="Lato" w:hAnsi="Lato"/>
          <w:b/>
          <w:bCs/>
        </w:rPr>
        <w:t xml:space="preserve"> cząsteczko – wskaza</w:t>
      </w:r>
      <w:r w:rsidR="000739EA">
        <w:rPr>
          <w:rFonts w:ascii="Lato" w:hAnsi="Lato"/>
          <w:b/>
          <w:bCs/>
        </w:rPr>
        <w:t>ń</w:t>
      </w:r>
      <w:r w:rsidRPr="0058562B">
        <w:rPr>
          <w:rFonts w:ascii="Lato" w:hAnsi="Lato"/>
        </w:rPr>
        <w:t>, w tym:</w:t>
      </w:r>
    </w:p>
    <w:p w14:paraId="77221B76" w14:textId="48F7F820" w:rsidR="00DD0639" w:rsidRPr="008D723E" w:rsidRDefault="000739EA" w:rsidP="00DD0639">
      <w:pPr>
        <w:pStyle w:val="Akapitzlist"/>
        <w:numPr>
          <w:ilvl w:val="0"/>
          <w:numId w:val="25"/>
        </w:numPr>
        <w:spacing w:before="24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14</w:t>
      </w:r>
      <w:r w:rsidR="00DD0639" w:rsidRPr="008D723E">
        <w:rPr>
          <w:rFonts w:ascii="Lato" w:hAnsi="Lato"/>
        </w:rPr>
        <w:t xml:space="preserve"> cząsteczko – wskaza</w:t>
      </w:r>
      <w:r w:rsidR="00DD0639">
        <w:rPr>
          <w:rFonts w:ascii="Lato" w:hAnsi="Lato"/>
        </w:rPr>
        <w:t>ń</w:t>
      </w:r>
      <w:r w:rsidR="00DD0639" w:rsidRPr="008D723E">
        <w:rPr>
          <w:rFonts w:ascii="Lato" w:hAnsi="Lato"/>
        </w:rPr>
        <w:t xml:space="preserve"> onkologiczn</w:t>
      </w:r>
      <w:r w:rsidR="00DD0639">
        <w:rPr>
          <w:rFonts w:ascii="Lato" w:hAnsi="Lato"/>
        </w:rPr>
        <w:t>ych</w:t>
      </w:r>
      <w:r w:rsidR="00DD0639" w:rsidRPr="008D723E">
        <w:rPr>
          <w:rFonts w:ascii="Lato" w:hAnsi="Lato"/>
        </w:rPr>
        <w:t>,</w:t>
      </w:r>
    </w:p>
    <w:p w14:paraId="72846989" w14:textId="6FA7F832" w:rsidR="00DD0639" w:rsidRPr="008D723E" w:rsidRDefault="000739EA" w:rsidP="00DD0639">
      <w:pPr>
        <w:pStyle w:val="Akapitzlist"/>
        <w:numPr>
          <w:ilvl w:val="0"/>
          <w:numId w:val="25"/>
        </w:numPr>
        <w:spacing w:before="24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3</w:t>
      </w:r>
      <w:r w:rsidR="00DD0639" w:rsidRPr="008D723E">
        <w:rPr>
          <w:rFonts w:ascii="Lato" w:hAnsi="Lato"/>
        </w:rPr>
        <w:t xml:space="preserve"> cząsteczko - wskaza</w:t>
      </w:r>
      <w:r>
        <w:rPr>
          <w:rFonts w:ascii="Lato" w:hAnsi="Lato"/>
        </w:rPr>
        <w:t>nia</w:t>
      </w:r>
      <w:r w:rsidR="00DD0639" w:rsidRPr="008D723E">
        <w:rPr>
          <w:rFonts w:ascii="Lato" w:hAnsi="Lato"/>
        </w:rPr>
        <w:t xml:space="preserve"> nieonkologiczn</w:t>
      </w:r>
      <w:r>
        <w:rPr>
          <w:rFonts w:ascii="Lato" w:hAnsi="Lato"/>
        </w:rPr>
        <w:t>e</w:t>
      </w:r>
      <w:r w:rsidR="00DD0639" w:rsidRPr="008D723E">
        <w:rPr>
          <w:rFonts w:ascii="Lato" w:hAnsi="Lato"/>
        </w:rPr>
        <w:t>,</w:t>
      </w:r>
    </w:p>
    <w:p w14:paraId="5CD1ADB8" w14:textId="3100E87C" w:rsidR="00DD0639" w:rsidRPr="008D723E" w:rsidRDefault="000739EA" w:rsidP="00DD0639">
      <w:pPr>
        <w:pStyle w:val="Akapitzlist"/>
        <w:numPr>
          <w:ilvl w:val="0"/>
          <w:numId w:val="25"/>
        </w:numPr>
        <w:spacing w:before="24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6</w:t>
      </w:r>
      <w:r w:rsidR="00DD0639" w:rsidRPr="008D723E">
        <w:rPr>
          <w:rFonts w:ascii="Lato" w:hAnsi="Lato"/>
        </w:rPr>
        <w:t xml:space="preserve"> cząsteczko - wskazań dedykowanych chorobom rzadkim.</w:t>
      </w:r>
    </w:p>
    <w:p w14:paraId="73025CE8" w14:textId="7BDFF299" w:rsidR="00DD0639" w:rsidRPr="0058562B" w:rsidRDefault="00DD0639" w:rsidP="00DD0639">
      <w:pPr>
        <w:spacing w:before="240" w:after="120" w:line="276" w:lineRule="auto"/>
        <w:jc w:val="both"/>
        <w:rPr>
          <w:rFonts w:ascii="Lato" w:hAnsi="Lato"/>
        </w:rPr>
      </w:pPr>
      <w:r w:rsidRPr="0058562B">
        <w:rPr>
          <w:rFonts w:ascii="Lato" w:hAnsi="Lato"/>
        </w:rPr>
        <w:t xml:space="preserve">Obwieszczenie refundacyjne obowiązujące od </w:t>
      </w:r>
      <w:r>
        <w:rPr>
          <w:rFonts w:ascii="Lato" w:hAnsi="Lato"/>
        </w:rPr>
        <w:t>1 kwietnia</w:t>
      </w:r>
      <w:r w:rsidRPr="0058562B">
        <w:rPr>
          <w:rFonts w:ascii="Lato" w:hAnsi="Lato"/>
        </w:rPr>
        <w:t xml:space="preserve"> 202</w:t>
      </w:r>
      <w:r>
        <w:rPr>
          <w:rFonts w:ascii="Lato" w:hAnsi="Lato"/>
        </w:rPr>
        <w:t>6</w:t>
      </w:r>
      <w:r w:rsidRPr="0058562B">
        <w:rPr>
          <w:rFonts w:ascii="Lato" w:hAnsi="Lato"/>
        </w:rPr>
        <w:t xml:space="preserve"> r. (nr 8</w:t>
      </w:r>
      <w:r>
        <w:rPr>
          <w:rFonts w:ascii="Lato" w:hAnsi="Lato"/>
        </w:rPr>
        <w:t>2</w:t>
      </w:r>
      <w:r w:rsidRPr="0058562B">
        <w:rPr>
          <w:rFonts w:ascii="Lato" w:hAnsi="Lato"/>
        </w:rPr>
        <w:t xml:space="preserve">), w porównaniu do obwieszczenia </w:t>
      </w:r>
      <w:r>
        <w:rPr>
          <w:rFonts w:ascii="Lato" w:hAnsi="Lato"/>
        </w:rPr>
        <w:t>81</w:t>
      </w:r>
      <w:r w:rsidRPr="0058562B">
        <w:rPr>
          <w:rFonts w:ascii="Lato" w:hAnsi="Lato"/>
        </w:rPr>
        <w:t xml:space="preserve"> zawiera następujące zmiany:</w:t>
      </w:r>
    </w:p>
    <w:p w14:paraId="3CB33428" w14:textId="0B59FA0E" w:rsidR="00DD0639" w:rsidRPr="00C206AA" w:rsidRDefault="00DD0639" w:rsidP="00DD0639">
      <w:pPr>
        <w:numPr>
          <w:ilvl w:val="0"/>
          <w:numId w:val="4"/>
        </w:numPr>
        <w:spacing w:before="240" w:after="120" w:line="276" w:lineRule="auto"/>
        <w:jc w:val="both"/>
        <w:rPr>
          <w:rFonts w:ascii="Lato" w:hAnsi="Lato"/>
        </w:rPr>
      </w:pPr>
      <w:r w:rsidRPr="00C206AA">
        <w:rPr>
          <w:rFonts w:ascii="Lato" w:hAnsi="Lato"/>
        </w:rPr>
        <w:t>W związku z wydaniem pozytywnych decyzji o objęciu refundacją ogółem do wykazu zostało dodanych 1</w:t>
      </w:r>
      <w:r w:rsidR="00B51809" w:rsidRPr="00C206AA">
        <w:rPr>
          <w:rFonts w:ascii="Lato" w:hAnsi="Lato"/>
        </w:rPr>
        <w:t>23</w:t>
      </w:r>
      <w:r w:rsidRPr="00C206AA">
        <w:rPr>
          <w:rFonts w:ascii="Lato" w:hAnsi="Lato"/>
        </w:rPr>
        <w:t xml:space="preserve"> produktów bądź nowych wskazań.</w:t>
      </w:r>
    </w:p>
    <w:p w14:paraId="41E4B062" w14:textId="7FC193F3" w:rsidR="00DD0639" w:rsidRPr="00C206AA" w:rsidRDefault="00DD0639" w:rsidP="00DD0639">
      <w:pPr>
        <w:numPr>
          <w:ilvl w:val="0"/>
          <w:numId w:val="4"/>
        </w:numPr>
        <w:spacing w:before="240" w:after="120" w:line="276" w:lineRule="auto"/>
        <w:jc w:val="both"/>
        <w:rPr>
          <w:rFonts w:ascii="Lato" w:hAnsi="Lato"/>
        </w:rPr>
      </w:pPr>
      <w:r w:rsidRPr="00C206AA">
        <w:rPr>
          <w:rFonts w:ascii="Lato" w:hAnsi="Lato"/>
        </w:rPr>
        <w:t xml:space="preserve">Dla </w:t>
      </w:r>
      <w:r w:rsidR="00B51809" w:rsidRPr="00C206AA">
        <w:rPr>
          <w:rFonts w:ascii="Lato" w:hAnsi="Lato"/>
        </w:rPr>
        <w:t>109</w:t>
      </w:r>
      <w:r w:rsidRPr="00C206AA">
        <w:rPr>
          <w:rFonts w:ascii="Lato" w:hAnsi="Lato"/>
        </w:rPr>
        <w:t xml:space="preserve"> produktów wprowadzono obniżki cen zbytu netto (od 0,01 zł do 15</w:t>
      </w:r>
      <w:r w:rsidR="00B51809" w:rsidRPr="00C206AA">
        <w:rPr>
          <w:rFonts w:ascii="Lato" w:hAnsi="Lato"/>
        </w:rPr>
        <w:t xml:space="preserve">2 035,67 </w:t>
      </w:r>
      <w:r w:rsidRPr="00C206AA">
        <w:rPr>
          <w:rFonts w:ascii="Lato" w:hAnsi="Lato"/>
        </w:rPr>
        <w:t>zł).</w:t>
      </w:r>
    </w:p>
    <w:p w14:paraId="7D4F6EDF" w14:textId="05AC17A6" w:rsidR="00DD0639" w:rsidRPr="00C206AA" w:rsidRDefault="00DD0639" w:rsidP="00DD0639">
      <w:pPr>
        <w:numPr>
          <w:ilvl w:val="0"/>
          <w:numId w:val="4"/>
        </w:numPr>
        <w:spacing w:before="240" w:after="120" w:line="276" w:lineRule="auto"/>
        <w:jc w:val="both"/>
        <w:rPr>
          <w:rFonts w:ascii="Lato" w:hAnsi="Lato"/>
        </w:rPr>
      </w:pPr>
      <w:r w:rsidRPr="00C206AA">
        <w:rPr>
          <w:rFonts w:ascii="Lato" w:hAnsi="Lato"/>
        </w:rPr>
        <w:t xml:space="preserve">Dla </w:t>
      </w:r>
      <w:r w:rsidR="00B51809" w:rsidRPr="00C206AA">
        <w:rPr>
          <w:rFonts w:ascii="Lato" w:hAnsi="Lato"/>
        </w:rPr>
        <w:t>1</w:t>
      </w:r>
      <w:r w:rsidRPr="00C206AA">
        <w:rPr>
          <w:rFonts w:ascii="Lato" w:hAnsi="Lato"/>
        </w:rPr>
        <w:t xml:space="preserve">6 produktów wprowadzono podwyżki cen zbytu netto (od </w:t>
      </w:r>
      <w:r w:rsidR="00B51809" w:rsidRPr="00C206AA">
        <w:rPr>
          <w:rFonts w:ascii="Lato" w:hAnsi="Lato"/>
        </w:rPr>
        <w:t xml:space="preserve">0,39 </w:t>
      </w:r>
      <w:r w:rsidRPr="00C206AA">
        <w:rPr>
          <w:rFonts w:ascii="Lato" w:hAnsi="Lato"/>
        </w:rPr>
        <w:t xml:space="preserve">zł do </w:t>
      </w:r>
      <w:r w:rsidR="00B51809" w:rsidRPr="00C206AA">
        <w:rPr>
          <w:rFonts w:ascii="Lato" w:hAnsi="Lato"/>
        </w:rPr>
        <w:t>125,00</w:t>
      </w:r>
      <w:r w:rsidRPr="00C206AA">
        <w:rPr>
          <w:rFonts w:ascii="Lato" w:hAnsi="Lato"/>
        </w:rPr>
        <w:t xml:space="preserve"> zł).</w:t>
      </w:r>
    </w:p>
    <w:p w14:paraId="6B5D67F5" w14:textId="66D98278" w:rsidR="00DD0639" w:rsidRPr="00C206AA" w:rsidRDefault="00DD0639" w:rsidP="00DD0639">
      <w:pPr>
        <w:numPr>
          <w:ilvl w:val="0"/>
          <w:numId w:val="4"/>
        </w:numPr>
        <w:spacing w:before="240" w:after="120" w:line="276" w:lineRule="auto"/>
        <w:jc w:val="both"/>
        <w:rPr>
          <w:rFonts w:ascii="Lato" w:hAnsi="Lato"/>
        </w:rPr>
      </w:pPr>
      <w:r w:rsidRPr="00C206AA">
        <w:rPr>
          <w:rFonts w:ascii="Lato" w:hAnsi="Lato"/>
        </w:rPr>
        <w:t>Dla 3</w:t>
      </w:r>
      <w:r w:rsidR="00B51809" w:rsidRPr="00C206AA">
        <w:rPr>
          <w:rFonts w:ascii="Lato" w:hAnsi="Lato"/>
        </w:rPr>
        <w:t>68</w:t>
      </w:r>
      <w:r w:rsidRPr="00C206AA">
        <w:rPr>
          <w:rFonts w:ascii="Lato" w:hAnsi="Lato"/>
        </w:rPr>
        <w:t xml:space="preserve"> pozycji w obwieszczeniu spadnie dopłata pacjenta (od 0,01 zł do </w:t>
      </w:r>
      <w:r w:rsidR="00B51809" w:rsidRPr="00C206AA">
        <w:rPr>
          <w:rFonts w:ascii="Lato" w:hAnsi="Lato"/>
        </w:rPr>
        <w:t>70,22</w:t>
      </w:r>
      <w:r w:rsidRPr="00C206AA">
        <w:rPr>
          <w:rFonts w:ascii="Lato" w:hAnsi="Lato"/>
        </w:rPr>
        <w:t xml:space="preserve"> zł).</w:t>
      </w:r>
    </w:p>
    <w:p w14:paraId="796A0116" w14:textId="0E66A842" w:rsidR="00DD0639" w:rsidRPr="00C206AA" w:rsidRDefault="00DD0639" w:rsidP="00DD0639">
      <w:pPr>
        <w:numPr>
          <w:ilvl w:val="0"/>
          <w:numId w:val="4"/>
        </w:numPr>
        <w:spacing w:before="240" w:after="120" w:line="276" w:lineRule="auto"/>
        <w:jc w:val="both"/>
        <w:rPr>
          <w:rFonts w:ascii="Lato" w:hAnsi="Lato"/>
        </w:rPr>
      </w:pPr>
      <w:r w:rsidRPr="00C206AA">
        <w:rPr>
          <w:rFonts w:ascii="Lato" w:hAnsi="Lato"/>
        </w:rPr>
        <w:t>Dla 3</w:t>
      </w:r>
      <w:r w:rsidR="00B51809" w:rsidRPr="00C206AA">
        <w:rPr>
          <w:rFonts w:ascii="Lato" w:hAnsi="Lato"/>
        </w:rPr>
        <w:t>80</w:t>
      </w:r>
      <w:r w:rsidRPr="00C206AA">
        <w:rPr>
          <w:rFonts w:ascii="Lato" w:hAnsi="Lato"/>
        </w:rPr>
        <w:t xml:space="preserve"> pozycji w obwieszczeniu wzrośnie dopłata pacjenta (od 0,01 zł do </w:t>
      </w:r>
      <w:r w:rsidR="00B51809" w:rsidRPr="00C206AA">
        <w:rPr>
          <w:rFonts w:ascii="Lato" w:hAnsi="Lato"/>
        </w:rPr>
        <w:t>105,96</w:t>
      </w:r>
      <w:r w:rsidRPr="00C206AA">
        <w:rPr>
          <w:rFonts w:ascii="Lato" w:hAnsi="Lato"/>
        </w:rPr>
        <w:t xml:space="preserve"> zł).</w:t>
      </w:r>
    </w:p>
    <w:p w14:paraId="72B89629" w14:textId="6590B958" w:rsidR="00DD0639" w:rsidRPr="00C206AA" w:rsidRDefault="00DD0639" w:rsidP="00DD0639">
      <w:pPr>
        <w:numPr>
          <w:ilvl w:val="0"/>
          <w:numId w:val="4"/>
        </w:numPr>
        <w:spacing w:before="240" w:after="120" w:line="276" w:lineRule="auto"/>
        <w:jc w:val="both"/>
        <w:rPr>
          <w:rFonts w:ascii="Lato" w:hAnsi="Lato"/>
        </w:rPr>
      </w:pPr>
      <w:r w:rsidRPr="00C206AA">
        <w:rPr>
          <w:rFonts w:ascii="Lato" w:hAnsi="Lato"/>
        </w:rPr>
        <w:t xml:space="preserve">Dla </w:t>
      </w:r>
      <w:r w:rsidR="00B51809" w:rsidRPr="00C206AA">
        <w:rPr>
          <w:rFonts w:ascii="Lato" w:hAnsi="Lato"/>
        </w:rPr>
        <w:t>437</w:t>
      </w:r>
      <w:r w:rsidRPr="00C206AA">
        <w:rPr>
          <w:rFonts w:ascii="Lato" w:hAnsi="Lato"/>
        </w:rPr>
        <w:t xml:space="preserve"> produktów ulegną obniżeniu ceny detaliczne (od 0,01 zł do </w:t>
      </w:r>
      <w:r w:rsidR="00B51809" w:rsidRPr="00C206AA">
        <w:rPr>
          <w:rFonts w:ascii="Lato" w:hAnsi="Lato"/>
        </w:rPr>
        <w:t>71,99</w:t>
      </w:r>
      <w:r w:rsidRPr="00C206AA">
        <w:rPr>
          <w:rFonts w:ascii="Lato" w:hAnsi="Lato"/>
        </w:rPr>
        <w:t xml:space="preserve"> zł).</w:t>
      </w:r>
    </w:p>
    <w:p w14:paraId="2E6595C3" w14:textId="226C559A" w:rsidR="00DD0639" w:rsidRPr="00C206AA" w:rsidRDefault="00DD0639" w:rsidP="00DD0639">
      <w:pPr>
        <w:numPr>
          <w:ilvl w:val="0"/>
          <w:numId w:val="4"/>
        </w:numPr>
        <w:spacing w:before="240" w:after="120" w:line="276" w:lineRule="auto"/>
        <w:jc w:val="both"/>
        <w:rPr>
          <w:rFonts w:ascii="Lato" w:hAnsi="Lato"/>
        </w:rPr>
      </w:pPr>
      <w:r w:rsidRPr="00C206AA">
        <w:rPr>
          <w:rFonts w:ascii="Lato" w:hAnsi="Lato"/>
        </w:rPr>
        <w:t xml:space="preserve">Dla </w:t>
      </w:r>
      <w:r w:rsidR="00C206AA" w:rsidRPr="00C206AA">
        <w:rPr>
          <w:rFonts w:ascii="Lato" w:hAnsi="Lato"/>
        </w:rPr>
        <w:t>175</w:t>
      </w:r>
      <w:r w:rsidRPr="00C206AA">
        <w:rPr>
          <w:rFonts w:ascii="Lato" w:hAnsi="Lato"/>
        </w:rPr>
        <w:t xml:space="preserve"> produktów wzrosną ceny detaliczne (od 0,01 zł do 1</w:t>
      </w:r>
      <w:r w:rsidR="00C206AA" w:rsidRPr="00C206AA">
        <w:rPr>
          <w:rFonts w:ascii="Lato" w:hAnsi="Lato"/>
        </w:rPr>
        <w:t>45,96</w:t>
      </w:r>
      <w:r w:rsidRPr="00C206AA">
        <w:rPr>
          <w:rFonts w:ascii="Lato" w:hAnsi="Lato"/>
        </w:rPr>
        <w:t xml:space="preserve"> zł).</w:t>
      </w:r>
    </w:p>
    <w:p w14:paraId="0A2F1EDA" w14:textId="759494C8" w:rsidR="00DD0639" w:rsidRDefault="00DD0639" w:rsidP="00DD0639">
      <w:pPr>
        <w:numPr>
          <w:ilvl w:val="0"/>
          <w:numId w:val="4"/>
        </w:numPr>
        <w:suppressAutoHyphens w:val="0"/>
        <w:spacing w:before="240" w:after="120" w:line="276" w:lineRule="auto"/>
        <w:jc w:val="both"/>
        <w:rPr>
          <w:rFonts w:ascii="Lato" w:hAnsi="Lato"/>
          <w:sz w:val="24"/>
          <w:szCs w:val="24"/>
        </w:rPr>
        <w:sectPr w:rsidR="00DD0639" w:rsidSect="00DD0639">
          <w:headerReference w:type="first" r:id="rId7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299"/>
        </w:sectPr>
      </w:pPr>
      <w:r w:rsidRPr="00C206AA">
        <w:rPr>
          <w:rFonts w:ascii="Lato" w:hAnsi="Lato"/>
        </w:rPr>
        <w:t xml:space="preserve">W związku z wpłynięciem wniosków o skrócenie terminu obowiązywania decyzji refundacyjnych lub upłynięciem terminu obowiązywania decyzji refundacyjnych lub odmową refundacji na kolejny okres w obwieszczeniu nie znajdzie się </w:t>
      </w:r>
      <w:r w:rsidR="00C206AA" w:rsidRPr="00C206AA">
        <w:rPr>
          <w:rFonts w:ascii="Lato" w:hAnsi="Lato"/>
        </w:rPr>
        <w:t>48</w:t>
      </w:r>
      <w:r w:rsidRPr="00C206AA">
        <w:rPr>
          <w:rFonts w:ascii="Lato" w:hAnsi="Lato"/>
        </w:rPr>
        <w:t xml:space="preserve"> produktów bądź wskazań figurujących w poprzednim obwieszczeniu.</w:t>
      </w:r>
      <w:r w:rsidRPr="00880AF5">
        <w:rPr>
          <w:rFonts w:ascii="Lato" w:hAnsi="Lato"/>
          <w:sz w:val="24"/>
          <w:szCs w:val="24"/>
        </w:rPr>
        <w:br w:type="page"/>
      </w:r>
    </w:p>
    <w:p w14:paraId="4CBF4FD6" w14:textId="774EA4BE" w:rsidR="00DD0639" w:rsidRPr="006001BE" w:rsidRDefault="000739EA" w:rsidP="00DD0639">
      <w:pPr>
        <w:suppressAutoHyphens w:val="0"/>
        <w:spacing w:after="0" w:line="240" w:lineRule="auto"/>
        <w:ind w:left="-567"/>
        <w:jc w:val="both"/>
        <w:rPr>
          <w:rFonts w:ascii="Lato" w:hAnsi="Lato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3DEBA371" wp14:editId="3D3B2279">
            <wp:extent cx="4680000" cy="3060000"/>
            <wp:effectExtent l="0" t="0" r="6350" b="7620"/>
            <wp:docPr id="1224199993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23A0AD5C-D4BF-4213-B61E-AB86BE2BF4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DD0639">
        <w:rPr>
          <w:rFonts w:ascii="Lato" w:hAnsi="Lato"/>
          <w:sz w:val="18"/>
          <w:szCs w:val="18"/>
        </w:rPr>
        <w:t xml:space="preserve"> </w:t>
      </w:r>
      <w:r>
        <w:rPr>
          <w:noProof/>
        </w:rPr>
        <w:drawing>
          <wp:inline distT="0" distB="0" distL="0" distR="0" wp14:anchorId="1F12FB05" wp14:editId="45E6C4DB">
            <wp:extent cx="4680000" cy="3060000"/>
            <wp:effectExtent l="0" t="0" r="6350" b="7620"/>
            <wp:docPr id="8468502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D043A22-9FF8-4F7A-AABD-A24ADEDB8D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BCA9DE0" w14:textId="3BF3920E" w:rsidR="00926924" w:rsidRPr="00DD0639" w:rsidRDefault="000739EA" w:rsidP="00DD0639">
      <w:pPr>
        <w:suppressAutoHyphens w:val="0"/>
        <w:spacing w:after="0" w:line="240" w:lineRule="auto"/>
        <w:ind w:left="-567"/>
        <w:jc w:val="both"/>
        <w:rPr>
          <w:rFonts w:ascii="Lato" w:hAnsi="Lato"/>
          <w:color w:val="000000" w:themeColor="text1"/>
          <w:sz w:val="16"/>
          <w:szCs w:val="16"/>
        </w:rPr>
      </w:pPr>
      <w:r>
        <w:rPr>
          <w:noProof/>
        </w:rPr>
        <w:drawing>
          <wp:inline distT="0" distB="0" distL="0" distR="0" wp14:anchorId="5FB5A6C3" wp14:editId="2A01390F">
            <wp:extent cx="4680000" cy="3060000"/>
            <wp:effectExtent l="0" t="0" r="6350" b="7620"/>
            <wp:docPr id="1383489802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DEB98783-A07F-4118-AE97-729C1607E9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DD0639">
        <w:rPr>
          <w:rFonts w:ascii="Lato" w:hAnsi="Lato"/>
          <w:sz w:val="18"/>
          <w:szCs w:val="18"/>
        </w:rPr>
        <w:t xml:space="preserve"> </w:t>
      </w:r>
      <w:r>
        <w:rPr>
          <w:noProof/>
        </w:rPr>
        <w:drawing>
          <wp:inline distT="0" distB="0" distL="0" distR="0" wp14:anchorId="0A36ED1E" wp14:editId="0BF6CFDE">
            <wp:extent cx="4680000" cy="3060000"/>
            <wp:effectExtent l="0" t="0" r="6350" b="7620"/>
            <wp:docPr id="376959263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50C0EAC3-A1DB-495F-99FF-AD8FA42960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DD0639">
        <w:rPr>
          <w:rFonts w:ascii="Lato" w:hAnsi="Lato"/>
          <w:sz w:val="24"/>
          <w:szCs w:val="24"/>
        </w:rPr>
        <w:br w:type="page"/>
      </w:r>
    </w:p>
    <w:p w14:paraId="7135BF56" w14:textId="241A87C8" w:rsidR="0058276D" w:rsidRDefault="0058276D">
      <w:pPr>
        <w:suppressAutoHyphens w:val="0"/>
        <w:rPr>
          <w:rFonts w:ascii="Lato" w:hAnsi="Lato"/>
          <w:sz w:val="24"/>
          <w:szCs w:val="24"/>
        </w:rPr>
        <w:sectPr w:rsidR="0058276D" w:rsidSect="00DD0639">
          <w:headerReference w:type="first" r:id="rId12"/>
          <w:pgSz w:w="16838" w:h="11906" w:orient="landscape"/>
          <w:pgMar w:top="709" w:right="820" w:bottom="851" w:left="1417" w:header="708" w:footer="708" w:gutter="0"/>
          <w:cols w:space="708"/>
          <w:titlePg/>
          <w:docGrid w:linePitch="299"/>
        </w:sectPr>
      </w:pPr>
    </w:p>
    <w:p w14:paraId="06A06678" w14:textId="7D136BFD" w:rsidR="00AD08C5" w:rsidRPr="004D093B" w:rsidRDefault="006A7DCE" w:rsidP="005058F2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PROGRA</w:t>
      </w:r>
      <w:bookmarkStart w:id="0" w:name="_Hlk95686308"/>
      <w:r w:rsidRPr="004D093B">
        <w:rPr>
          <w:rFonts w:ascii="Lato" w:hAnsi="Lato"/>
          <w:b/>
          <w:bCs/>
          <w:color w:val="00B0F0"/>
          <w:sz w:val="28"/>
          <w:szCs w:val="28"/>
        </w:rPr>
        <w:t>M</w:t>
      </w:r>
      <w:bookmarkEnd w:id="0"/>
      <w:r w:rsidRPr="004D093B">
        <w:rPr>
          <w:rFonts w:ascii="Lato" w:hAnsi="Lato"/>
          <w:b/>
          <w:bCs/>
          <w:color w:val="00B0F0"/>
          <w:sz w:val="28"/>
          <w:szCs w:val="28"/>
        </w:rPr>
        <w:t>ACH LEKOWYCH</w:t>
      </w:r>
      <w:r w:rsidR="0056748F" w:rsidRPr="004D093B">
        <w:rPr>
          <w:rFonts w:ascii="Lato" w:hAnsi="Lato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1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99"/>
        <w:gridCol w:w="1575"/>
        <w:gridCol w:w="1794"/>
        <w:gridCol w:w="1908"/>
        <w:gridCol w:w="3330"/>
        <w:gridCol w:w="4785"/>
      </w:tblGrid>
      <w:tr w:rsidR="005058F2" w:rsidRPr="004D093B" w14:paraId="7E2E9B6A" w14:textId="77777777" w:rsidTr="00B222B4">
        <w:trPr>
          <w:cantSplit/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4D093B" w14:paraId="1C096482" w14:textId="77777777" w:rsidTr="00B222B4">
        <w:trPr>
          <w:cantSplit/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B222B4" w:rsidRPr="004D093B" w14:paraId="60CDF2D4" w14:textId="77777777" w:rsidTr="00926924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B222B4" w:rsidRPr="004D093B" w14:paraId="41B567AC" w14:textId="77777777" w:rsidTr="00926924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FECB" w14:textId="3ECE7A4F" w:rsidR="0076786B" w:rsidRPr="004D093B" w:rsidRDefault="00926924" w:rsidP="0076786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</w:t>
            </w:r>
            <w:r w:rsidR="00B222B4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A0DD" w14:textId="41966C21" w:rsidR="0076786B" w:rsidRPr="004D093B" w:rsidRDefault="0076786B" w:rsidP="0076786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sz w:val="18"/>
                <w:szCs w:val="18"/>
              </w:rPr>
              <w:t>Opdivo + Yervoy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2683" w14:textId="355724CB" w:rsidR="0076786B" w:rsidRPr="004D093B" w:rsidRDefault="0076786B" w:rsidP="0076786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niwolumab + ipilimumab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3C78" w14:textId="769A7DDF" w:rsidR="0076786B" w:rsidRPr="004D093B" w:rsidRDefault="0076786B" w:rsidP="0076786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B.5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8902" w14:textId="4E779E97" w:rsidR="0076786B" w:rsidRPr="004D093B" w:rsidRDefault="0076786B" w:rsidP="0076786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80AC1">
              <w:rPr>
                <w:rFonts w:ascii="Lato" w:hAnsi="Lato" w:cstheme="majorHAnsi"/>
                <w:sz w:val="18"/>
                <w:szCs w:val="18"/>
              </w:rPr>
              <w:t>LECZENIE CHORYCH NA RAKA WĄTROBOWOKOMÓRKOWEGO (ICD-10: C22.0) LUB RAKA DRÓG ŻÓŁCIOWYCH (ICD-10: C22.1, C23, C24.0, C24.1, C24.8, C24.9)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DB27" w14:textId="6A1DC74B" w:rsidR="0076786B" w:rsidRPr="004D093B" w:rsidRDefault="0076786B" w:rsidP="0076786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 w:rsidR="00BB52E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pierwszej linii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niwolumabem w skojarzeniu z ipilimumabem dorosłych pacjentów, </w:t>
            </w:r>
            <w:r w:rsidRPr="00A5788D">
              <w:rPr>
                <w:rFonts w:ascii="Lato" w:hAnsi="Lato" w:cstheme="majorHAnsi"/>
                <w:color w:val="000000"/>
                <w:sz w:val="18"/>
                <w:szCs w:val="18"/>
              </w:rPr>
              <w:t>u których nie</w:t>
            </w:r>
            <w:r w:rsidR="00DA1C9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A5788D">
              <w:rPr>
                <w:rFonts w:ascii="Lato" w:hAnsi="Lato" w:cstheme="majorHAnsi"/>
                <w:color w:val="000000"/>
                <w:sz w:val="18"/>
                <w:szCs w:val="18"/>
              </w:rPr>
              <w:t>stosowano w przeszłości leczenia systemowego z powodu raka wątrobowokomórkowego</w:t>
            </w:r>
            <w:r w:rsidR="00BB52E7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B222B4" w:rsidRPr="004D093B" w14:paraId="79F6918C" w14:textId="77777777" w:rsidTr="00926924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9E07" w14:textId="6063FC97" w:rsidR="0076786B" w:rsidRPr="004D093B" w:rsidRDefault="00926924" w:rsidP="0076786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2</w:t>
            </w:r>
            <w:r w:rsidR="00B222B4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6304" w14:textId="02F552DF" w:rsidR="0076786B" w:rsidRPr="004D093B" w:rsidRDefault="0076786B" w:rsidP="0076786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Pemazyre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3638" w14:textId="72592B20" w:rsidR="0076786B" w:rsidRPr="004D093B" w:rsidRDefault="0076786B" w:rsidP="0076786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pemigatynib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CACC" w14:textId="261D7753" w:rsidR="0076786B" w:rsidRPr="004D093B" w:rsidRDefault="0076786B" w:rsidP="0076786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B.5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E6BF" w14:textId="15578A09" w:rsidR="0076786B" w:rsidRPr="004D093B" w:rsidRDefault="0076786B" w:rsidP="0076786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80AC1">
              <w:rPr>
                <w:rFonts w:ascii="Lato" w:hAnsi="Lato" w:cstheme="majorHAnsi"/>
                <w:sz w:val="18"/>
                <w:szCs w:val="18"/>
              </w:rPr>
              <w:t>LECZENIE CHORYCH NA RAKA WĄTROBOWOKOMÓRKOWEGO (ICD-10: C22.0) LUB RAKA DRÓG ŻÓŁCIOWYCH (ICD-10: C22.1, C23, C24.0, C24.1, C24.8, C24.9)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2A24" w14:textId="5FEE5B9C" w:rsidR="0076786B" w:rsidRPr="004D093B" w:rsidRDefault="004602E4" w:rsidP="0076786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02E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 w:rsidR="00BB52E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drugiej linii </w:t>
            </w:r>
            <w:r w:rsidRPr="004602E4">
              <w:rPr>
                <w:rFonts w:ascii="Lato" w:hAnsi="Lato" w:cstheme="majorHAnsi"/>
                <w:color w:val="000000"/>
                <w:sz w:val="18"/>
                <w:szCs w:val="18"/>
              </w:rPr>
              <w:t>pemigatynibem w monoterapii dorosłych pacjentów z miejscowo zaawansowanym lub przerzutowym gruczolakorakiem dróg żółciowych, ze stwierdzoną fuzją lub rearanżacją receptora czynnika wzrostu fibroblastów 2 (FGFR2)</w:t>
            </w:r>
            <w:r w:rsidR="00BB52E7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B222B4" w:rsidRPr="004D093B" w14:paraId="54B984AE" w14:textId="77777777" w:rsidTr="00926924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21416" w14:textId="43C9D1C0" w:rsidR="00B01CCE" w:rsidRDefault="00926924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3</w:t>
            </w:r>
            <w:r w:rsidR="00B222B4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94C03" w14:textId="7B31776B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Hetronifly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5D586" w14:textId="33BF45CC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serplulimab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D5CA2" w14:textId="4BE57BC0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7C5B" w14:textId="3DC94A05" w:rsidR="00B01CCE" w:rsidRPr="000673F9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0FB6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A902B" w14:textId="6E29706A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pierwszej linii dorosłych pacjentów chorych na drobnokomórkowego raka płuca (DRP) w postaci rozsianej, w skojarzeniu z karboplatyną i etopozydem w fazie indukcji.</w:t>
            </w:r>
          </w:p>
        </w:tc>
      </w:tr>
      <w:tr w:rsidR="00B222B4" w:rsidRPr="004D093B" w14:paraId="6737D787" w14:textId="77777777" w:rsidTr="00926924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77502" w14:textId="508138CD" w:rsidR="00B01CCE" w:rsidRDefault="00926924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4</w:t>
            </w:r>
            <w:r w:rsidR="00B222B4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0B68E" w14:textId="572FEEEE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Tecentriq i.v.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81D7B" w14:textId="64EE1460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atezolizumab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FE4DB" w14:textId="1C9080A4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B71FC" w14:textId="6EA3DE47" w:rsidR="00B01CCE" w:rsidRPr="000673F9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0FB6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0B4E0" w14:textId="1F934DAB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pierwszej linii,</w:t>
            </w:r>
            <w:r w:rsidRPr="001279C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monoterapią atezolizumabem (postać dożylna), </w:t>
            </w:r>
            <w:r w:rsidRPr="001279C6">
              <w:rPr>
                <w:rFonts w:ascii="Lato" w:hAnsi="Lato" w:cstheme="majorHAnsi"/>
                <w:color w:val="000000"/>
                <w:sz w:val="18"/>
                <w:szCs w:val="18"/>
              </w:rPr>
              <w:t>dorosłych pacjentów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1279C6">
              <w:rPr>
                <w:rFonts w:ascii="Lato" w:hAnsi="Lato" w:cstheme="majorHAnsi"/>
                <w:color w:val="000000"/>
                <w:sz w:val="18"/>
                <w:szCs w:val="18"/>
              </w:rPr>
              <w:t>z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1279C6">
              <w:rPr>
                <w:rFonts w:ascii="Lato" w:hAnsi="Lato" w:cstheme="majorHAnsi"/>
                <w:color w:val="000000"/>
                <w:sz w:val="18"/>
                <w:szCs w:val="18"/>
              </w:rPr>
              <w:t>zaawansowanym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NDRP</w:t>
            </w:r>
            <w:r w:rsidRPr="001279C6">
              <w:rPr>
                <w:rFonts w:ascii="Lato" w:hAnsi="Lato" w:cstheme="majorHAnsi"/>
                <w:color w:val="000000"/>
                <w:sz w:val="18"/>
                <w:szCs w:val="18"/>
              </w:rPr>
              <w:t>, którzy nie kwalifikują się do leczenia opartego na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1279C6">
              <w:rPr>
                <w:rFonts w:ascii="Lato" w:hAnsi="Lato" w:cstheme="majorHAnsi"/>
                <w:color w:val="000000"/>
                <w:sz w:val="18"/>
                <w:szCs w:val="18"/>
              </w:rPr>
              <w:t>pochodnych platyny.</w:t>
            </w:r>
          </w:p>
        </w:tc>
      </w:tr>
      <w:tr w:rsidR="00B222B4" w:rsidRPr="004D093B" w14:paraId="00C22063" w14:textId="77777777" w:rsidTr="00926924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4544C" w14:textId="51C52CF7" w:rsidR="00B01CCE" w:rsidRDefault="00926924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</w:t>
            </w:r>
            <w:r w:rsidR="00B222B4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2C3ED" w14:textId="711766F8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Tecentriq s.c.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3062F" w14:textId="29D62DBC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atezolizumab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0FD8F" w14:textId="18A53FAB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C318A" w14:textId="168849B5" w:rsidR="00B01CCE" w:rsidRPr="000673F9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0FB6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545C2" w14:textId="05805C48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pierwszej linii</w:t>
            </w:r>
            <w:r w:rsidRPr="001279C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monoterapią atezolizumabem (postać podskórna), </w:t>
            </w:r>
            <w:r w:rsidRPr="001279C6">
              <w:rPr>
                <w:rFonts w:ascii="Lato" w:hAnsi="Lato" w:cstheme="majorHAnsi"/>
                <w:color w:val="000000"/>
                <w:sz w:val="18"/>
                <w:szCs w:val="18"/>
              </w:rPr>
              <w:t>dorosłych pacjentów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1279C6">
              <w:rPr>
                <w:rFonts w:ascii="Lato" w:hAnsi="Lato" w:cstheme="majorHAnsi"/>
                <w:color w:val="000000"/>
                <w:sz w:val="18"/>
                <w:szCs w:val="18"/>
              </w:rPr>
              <w:t>z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1279C6">
              <w:rPr>
                <w:rFonts w:ascii="Lato" w:hAnsi="Lato" w:cstheme="majorHAnsi"/>
                <w:color w:val="000000"/>
                <w:sz w:val="18"/>
                <w:szCs w:val="18"/>
              </w:rPr>
              <w:t>zaawansowanym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NDRP</w:t>
            </w:r>
            <w:r w:rsidRPr="001279C6">
              <w:rPr>
                <w:rFonts w:ascii="Lato" w:hAnsi="Lato" w:cstheme="majorHAnsi"/>
                <w:color w:val="000000"/>
                <w:sz w:val="18"/>
                <w:szCs w:val="18"/>
              </w:rPr>
              <w:t>, którzy nie kwalifikują się do leczenia opartego na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1279C6">
              <w:rPr>
                <w:rFonts w:ascii="Lato" w:hAnsi="Lato" w:cstheme="majorHAnsi"/>
                <w:color w:val="000000"/>
                <w:sz w:val="18"/>
                <w:szCs w:val="18"/>
              </w:rPr>
              <w:t>pochodnych platyny.</w:t>
            </w:r>
          </w:p>
        </w:tc>
      </w:tr>
      <w:tr w:rsidR="00B222B4" w:rsidRPr="004D093B" w14:paraId="575A1F75" w14:textId="77777777" w:rsidTr="00926924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121A6" w14:textId="3CA7C9E0" w:rsidR="00B01CCE" w:rsidRDefault="00926924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6</w:t>
            </w:r>
            <w:r w:rsidR="00B222B4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4B32C" w14:textId="2860DA20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Rybrevant + Lazcluze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A8A77" w14:textId="269CB84C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amiwantamab + lazertinib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EF9E7" w14:textId="6556F7B3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B.6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60ABA" w14:textId="546981CA" w:rsidR="00B01CCE" w:rsidRPr="000673F9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0FB6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66C6B" w14:textId="6EA51492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 w:rsidRPr="004A454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pierwszej</w:t>
            </w:r>
            <w:r w:rsidRPr="004A454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linii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dorosłych </w:t>
            </w:r>
            <w:r w:rsidRPr="004A454C">
              <w:rPr>
                <w:rFonts w:ascii="Lato" w:hAnsi="Lato" w:cstheme="majorHAnsi"/>
                <w:color w:val="000000"/>
                <w:sz w:val="18"/>
                <w:szCs w:val="18"/>
              </w:rPr>
              <w:t>pacjentów</w:t>
            </w:r>
            <w:r w:rsidRPr="004A454C">
              <w:rPr>
                <w:rFonts w:ascii="Lato" w:hAnsi="Lato" w:cstheme="majorHAnsi"/>
                <w:sz w:val="18"/>
                <w:szCs w:val="18"/>
              </w:rPr>
              <w:t xml:space="preserve"> z 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NDRP z </w:t>
            </w:r>
            <w:r w:rsidRPr="004A454C">
              <w:rPr>
                <w:rFonts w:ascii="Lato" w:hAnsi="Lato" w:cstheme="majorHAnsi"/>
                <w:sz w:val="18"/>
                <w:szCs w:val="18"/>
              </w:rPr>
              <w:t>delecjami w eksonie 19. lub substytucją p.L858R w eksonie 21. EGFR z zastosowaniem amiwantamabu (</w:t>
            </w:r>
            <w:r>
              <w:rPr>
                <w:rFonts w:ascii="Lato" w:hAnsi="Lato" w:cstheme="majorHAnsi"/>
                <w:sz w:val="18"/>
                <w:szCs w:val="18"/>
              </w:rPr>
              <w:t>postać podskórna</w:t>
            </w:r>
            <w:r w:rsidRPr="004A454C">
              <w:rPr>
                <w:rFonts w:ascii="Lato" w:hAnsi="Lato" w:cstheme="majorHAnsi"/>
                <w:sz w:val="18"/>
                <w:szCs w:val="18"/>
              </w:rPr>
              <w:t>) w skojarzeniu z lazertynibem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</w:tr>
      <w:tr w:rsidR="00B222B4" w:rsidRPr="004D093B" w14:paraId="3655E538" w14:textId="77777777" w:rsidTr="00926924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AF964" w14:textId="6B2AB2CD" w:rsidR="00B01CCE" w:rsidRDefault="00926924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7</w:t>
            </w:r>
            <w:r w:rsidR="00B222B4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E56DB" w14:textId="4473C361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Rybrevant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6EE1F" w14:textId="281B4000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amiwantamab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9D794" w14:textId="3872F8B9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02B12" w14:textId="2DBC97F1" w:rsidR="00B01CCE" w:rsidRPr="000673F9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0FB6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DBE03" w14:textId="77777777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 w:rsidRPr="004A454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pierwszej</w:t>
            </w:r>
            <w:r w:rsidRPr="004A454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linii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dorosłych </w:t>
            </w:r>
            <w:r w:rsidRPr="004A454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pacjentów z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NDRP z </w:t>
            </w:r>
            <w:r w:rsidRPr="004A454C">
              <w:rPr>
                <w:rFonts w:ascii="Lato" w:hAnsi="Lato" w:cstheme="majorHAnsi"/>
                <w:color w:val="000000"/>
                <w:sz w:val="18"/>
                <w:szCs w:val="18"/>
              </w:rPr>
              <w:t>aktywującymi mutacjami insercyjnymi w eksonie 20. EGFR z zastosowaniem amiwantamabu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(postać dożylna)</w:t>
            </w:r>
            <w:r w:rsidRPr="004A454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karboplatyną i pemetreksedem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1521375F" w14:textId="0B0F3B2E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D3407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B222B4" w:rsidRPr="004D093B" w14:paraId="42498415" w14:textId="77777777" w:rsidTr="00926924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7678B" w14:textId="67A09965" w:rsidR="00B01CCE" w:rsidRDefault="00926924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8</w:t>
            </w:r>
            <w:r w:rsidR="00B222B4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BFCF1" w14:textId="625E0F21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Braftovi + Mektovi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35AEF" w14:textId="4D774066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enkorafenib  + binimetinib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42AD6" w14:textId="72EE79F8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B.6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C2D6E" w14:textId="41CA1508" w:rsidR="00B01CCE" w:rsidRPr="000673F9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0FB6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5AA27" w14:textId="77777777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Leczenie pierwszej lub kolejnej linii z zastosowaniem </w:t>
            </w:r>
            <w:r w:rsidRPr="00D45959">
              <w:rPr>
                <w:rFonts w:ascii="Lato" w:hAnsi="Lato" w:cstheme="majorHAnsi"/>
                <w:sz w:val="18"/>
                <w:szCs w:val="18"/>
              </w:rPr>
              <w:t>enkorafenibu w skojarzeniu z binimetynibem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u dorosłych pacjentów z NDRP z mutacją </w:t>
            </w:r>
            <w:r w:rsidRPr="00D45959">
              <w:rPr>
                <w:rFonts w:ascii="Lato" w:hAnsi="Lato" w:cstheme="majorHAnsi"/>
                <w:sz w:val="18"/>
                <w:szCs w:val="18"/>
              </w:rPr>
              <w:t>V600E w genie BRAF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</w:p>
          <w:p w14:paraId="7557BF0E" w14:textId="08AD5045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20377">
              <w:rPr>
                <w:rFonts w:ascii="Lato" w:hAnsi="Lato" w:cstheme="majorHAnsi"/>
                <w:b/>
                <w:bCs/>
                <w:sz w:val="18"/>
                <w:szCs w:val="18"/>
              </w:rPr>
              <w:t>(Choroba rzadka)</w:t>
            </w:r>
          </w:p>
        </w:tc>
      </w:tr>
      <w:tr w:rsidR="00B222B4" w:rsidRPr="004D093B" w14:paraId="6FC535A1" w14:textId="77777777" w:rsidTr="00926924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CE72F" w14:textId="68624FE8" w:rsidR="00B01CCE" w:rsidRDefault="00926924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9</w:t>
            </w:r>
            <w:r w:rsidR="00B222B4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DA97A" w14:textId="5689FE9E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Ibrance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7806" w14:textId="06F9EA50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palbocyklib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85BB1" w14:textId="3C9EBCA7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B.9.FM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26326" w14:textId="30B83859" w:rsidR="00B01CCE" w:rsidRPr="000673F9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673F9">
              <w:rPr>
                <w:rFonts w:ascii="Lato" w:hAnsi="Lato" w:cstheme="majorHAnsi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29E72" w14:textId="0F962F8A" w:rsidR="00B01CCE" w:rsidRDefault="004677CB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L</w:t>
            </w:r>
            <w:r w:rsidR="00B01CCE">
              <w:rPr>
                <w:rFonts w:ascii="Lato" w:hAnsi="Lato" w:cstheme="majorHAnsi"/>
                <w:sz w:val="18"/>
                <w:szCs w:val="18"/>
              </w:rPr>
              <w:t>eczeni</w:t>
            </w:r>
            <w:r>
              <w:rPr>
                <w:rFonts w:ascii="Lato" w:hAnsi="Lato" w:cstheme="majorHAnsi"/>
                <w:sz w:val="18"/>
                <w:szCs w:val="18"/>
              </w:rPr>
              <w:t>e pierwszej linii</w:t>
            </w:r>
            <w:r w:rsidR="00B01CCE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r w:rsidR="00B01CCE" w:rsidRPr="000673F9">
              <w:rPr>
                <w:rFonts w:ascii="Lato" w:hAnsi="Lato" w:cstheme="majorHAnsi"/>
                <w:sz w:val="18"/>
                <w:szCs w:val="18"/>
              </w:rPr>
              <w:t>przerzutowego lub miejscowo zawansowanego (gdy radykalne leczenie miejscowe jest nieskuteczne lub niemożliwe do zastosowania)</w:t>
            </w:r>
            <w:r w:rsidR="00B01CCE">
              <w:rPr>
                <w:rFonts w:ascii="Lato" w:hAnsi="Lato" w:cstheme="majorHAnsi"/>
                <w:sz w:val="18"/>
                <w:szCs w:val="18"/>
              </w:rPr>
              <w:t xml:space="preserve"> HR-dodatniego, HER2-ujemnego raka piersi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palbocyklibem w skojarzeniu z fulwestrantem,</w:t>
            </w:r>
            <w:r w:rsidR="00B01CCE">
              <w:rPr>
                <w:rFonts w:ascii="Lato" w:hAnsi="Lato" w:cstheme="majorHAnsi"/>
                <w:sz w:val="18"/>
                <w:szCs w:val="18"/>
              </w:rPr>
              <w:t xml:space="preserve"> po uprzedniej hormonoterapii.</w:t>
            </w:r>
          </w:p>
        </w:tc>
      </w:tr>
      <w:tr w:rsidR="00B222B4" w:rsidRPr="004D093B" w14:paraId="520E8D47" w14:textId="77777777" w:rsidTr="00926924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84EF" w14:textId="2744CAE3" w:rsidR="0080392B" w:rsidRDefault="00926924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10</w:t>
            </w:r>
            <w:r w:rsidR="00B222B4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FA45C" w14:textId="762E6E75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Breyanzi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1279A" w14:textId="6E506F45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li</w:t>
            </w:r>
            <w:r w:rsidRPr="008C7DF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zokabtagen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maraleucel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9120B" w14:textId="1EC99225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B.12.FM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5F454" w14:textId="35F85475" w:rsidR="0080392B" w:rsidRPr="000673F9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CHŁONIAKI B-KOMÓRKOWE (ICD-10: C82, C83, C85)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CDD21" w14:textId="40FC4FED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Te</w:t>
            </w:r>
            <w:r w:rsidRPr="008C7DF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rapia CAR-T z zastosowaniem lizokabtagenu maraleucel w leczeniu dorosłych chorych na chłoniaka grudkowego w stopniu 3B (FL3B), chłoniaka rozlanego z dużych komórek B (DLBCL), chłoniaka z komórek B o wysokim stopniu złośliwości (HGBCL) oraz pierwotnego chłoniaka śródpiersia z dużych komórek B (PMBCL) w </w:t>
            </w:r>
            <w:r w:rsidR="004677C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drugiej </w:t>
            </w:r>
            <w:r w:rsidRPr="008C7DF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linii leczenia u pacjentów z nawrotem choroby w ciągu 12 miesięcy od zakończenia immunochemioterapii </w:t>
            </w:r>
            <w:r w:rsidR="004677CB">
              <w:rPr>
                <w:rFonts w:ascii="Lato" w:hAnsi="Lato" w:cstheme="majorHAnsi"/>
                <w:color w:val="000000"/>
                <w:sz w:val="18"/>
                <w:szCs w:val="18"/>
              </w:rPr>
              <w:t>pierwszej</w:t>
            </w:r>
            <w:r w:rsidRPr="008C7DF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linii (wczesny nawrót) lub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 </w:t>
            </w:r>
            <w:r w:rsidRPr="008C7DFD">
              <w:rPr>
                <w:rFonts w:ascii="Lato" w:hAnsi="Lato" w:cstheme="majorHAnsi"/>
                <w:color w:val="000000"/>
                <w:sz w:val="18"/>
                <w:szCs w:val="18"/>
              </w:rPr>
              <w:t>chorob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ą</w:t>
            </w:r>
            <w:r w:rsidRPr="008C7DF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oporn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ą</w:t>
            </w:r>
            <w:r w:rsidRPr="008C7DF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na immunochemioterapię </w:t>
            </w:r>
            <w:r w:rsidR="004677CB">
              <w:rPr>
                <w:rFonts w:ascii="Lato" w:hAnsi="Lato" w:cstheme="majorHAnsi"/>
                <w:color w:val="000000"/>
                <w:sz w:val="18"/>
                <w:szCs w:val="18"/>
              </w:rPr>
              <w:t>pierwszej</w:t>
            </w:r>
            <w:r w:rsidRPr="008C7DF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linii,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oraz</w:t>
            </w:r>
            <w:r w:rsidRPr="008C7DF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r w:rsidR="004677CB">
              <w:rPr>
                <w:rFonts w:ascii="Lato" w:hAnsi="Lato" w:cstheme="majorHAnsi"/>
                <w:color w:val="000000"/>
                <w:sz w:val="18"/>
                <w:szCs w:val="18"/>
              </w:rPr>
              <w:t>trzeciej</w:t>
            </w:r>
            <w:r w:rsidRPr="008C7DF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kolejnych liniach leczenia po wcześniejszym leczeniu zawierającym przeciwciało anty-CD20 i antracykliny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2FFB2D88" w14:textId="584BFF8C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C7DF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B222B4" w:rsidRPr="004D093B" w14:paraId="4F88564C" w14:textId="77777777" w:rsidTr="00926924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FF5BB" w14:textId="329FE41C" w:rsidR="0080392B" w:rsidRDefault="00926924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11</w:t>
            </w:r>
            <w:r w:rsidR="00B222B4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2ACD9" w14:textId="76977F6A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Columvi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DD739" w14:textId="2CFFF261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glofitamab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6901B" w14:textId="72024A3A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B.12.FM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332F2" w14:textId="5CE68EDA" w:rsidR="0080392B" w:rsidRPr="000673F9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CHŁONIAKI B-KOMÓRKOWE (ICD-10: C82, C83, C85)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1DBC" w14:textId="3C8A3998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C7DF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od </w:t>
            </w:r>
            <w:r w:rsidR="004677CB">
              <w:rPr>
                <w:rFonts w:ascii="Lato" w:hAnsi="Lato" w:cstheme="majorHAnsi"/>
                <w:color w:val="000000"/>
                <w:sz w:val="18"/>
                <w:szCs w:val="18"/>
              </w:rPr>
              <w:t>drugiej</w:t>
            </w:r>
            <w:r w:rsidRPr="008C7DF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linii dorosłych chorych na chłoniaka rozlanego z dużych komórek B (DLBCL) z przeciwwskazaniami do autoHSCT glofitamabem w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skojarzeniu z gemcytabiną i oksaliplatyną.</w:t>
            </w:r>
          </w:p>
          <w:p w14:paraId="27E677A2" w14:textId="56987549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C7DF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B222B4" w:rsidRPr="004D093B" w14:paraId="3F6DE49B" w14:textId="77777777" w:rsidTr="00926924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DAC4A" w14:textId="6F33FC8F" w:rsidR="0080392B" w:rsidRDefault="00926924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12</w:t>
            </w:r>
            <w:r w:rsidR="00B222B4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5D5D" w14:textId="0CFFADCF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Blincyto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58164" w14:textId="47BBA143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blinatumomab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1B38B" w14:textId="042650A0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B.65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1A9A5" w14:textId="4CEFAFF7" w:rsidR="0080392B" w:rsidRPr="000673F9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FA5911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OSTRĄ BIAŁACZKĘ LIMFOBLASTYCZNĄ (ICD-10: C91.0)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E6628" w14:textId="77777777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blinatumomabem w monoterapii w ramach terapii konsolidującej u dorosłych pacjentów z nowo rozpoznaną ostrą białaczką </w:t>
            </w:r>
            <w:r w:rsidRPr="00FA5911">
              <w:rPr>
                <w:rFonts w:ascii="Lato" w:hAnsi="Lato" w:cstheme="majorHAnsi"/>
                <w:color w:val="000000"/>
                <w:sz w:val="18"/>
                <w:szCs w:val="18"/>
              </w:rPr>
              <w:t>limfoblastyczną z komórek prekursorowych linii B, bez chromosomu Filadelfia (Ph-) i z ekspresją antygenu CD19 w pierwszej całkowitej remisji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04760A18" w14:textId="4EE1D4B0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FA591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B222B4" w:rsidRPr="004D093B" w14:paraId="189EA4B0" w14:textId="77777777" w:rsidTr="00926924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43F4" w14:textId="02E79071" w:rsidR="00F65312" w:rsidRPr="004D093B" w:rsidRDefault="00926924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13</w:t>
            </w:r>
            <w:r w:rsidR="00B222B4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A83A" w14:textId="31E6FC10" w:rsidR="00F65312" w:rsidRPr="004D093B" w:rsidRDefault="00F65312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A8F1" w14:textId="6733818B" w:rsidR="00F65312" w:rsidRPr="004D093B" w:rsidRDefault="00F65312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docetaksel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4E05E" w14:textId="0C1D3DCE" w:rsidR="00F65312" w:rsidRPr="004D093B" w:rsidRDefault="00F65312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C.19.b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668A" w14:textId="727FEF13" w:rsidR="00F65312" w:rsidRPr="004D093B" w:rsidRDefault="00F65312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C157F6">
              <w:rPr>
                <w:rFonts w:ascii="Lato" w:hAnsi="Lato" w:cstheme="majorHAnsi"/>
                <w:sz w:val="18"/>
                <w:szCs w:val="18"/>
              </w:rPr>
              <w:t>DOCETAXELUM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77FF1" w14:textId="5D39E924" w:rsidR="00F65312" w:rsidRDefault="00F65312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C157F6">
              <w:rPr>
                <w:rFonts w:ascii="Lato" w:hAnsi="Lato" w:cstheme="majorHAnsi"/>
                <w:sz w:val="18"/>
                <w:szCs w:val="18"/>
              </w:rPr>
              <w:t>Leczenie docetakselem pacjentów chorych na gruczolakoraka przełyku w schematach radyk</w:t>
            </w:r>
            <w:r w:rsidR="00746C2A">
              <w:rPr>
                <w:rFonts w:ascii="Lato" w:hAnsi="Lato" w:cstheme="majorHAnsi"/>
                <w:sz w:val="18"/>
                <w:szCs w:val="18"/>
              </w:rPr>
              <w:t>al</w:t>
            </w:r>
            <w:r w:rsidRPr="00C157F6">
              <w:rPr>
                <w:rFonts w:ascii="Lato" w:hAnsi="Lato" w:cstheme="majorHAnsi"/>
                <w:sz w:val="18"/>
                <w:szCs w:val="18"/>
              </w:rPr>
              <w:t>nej chemioterapii oraz paliatywnej chemioterapii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(ICD-10: C15).</w:t>
            </w:r>
          </w:p>
          <w:p w14:paraId="0B1AA7A9" w14:textId="0F043D03" w:rsidR="00F65312" w:rsidRPr="00C157F6" w:rsidRDefault="00F65312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F453C2">
              <w:rPr>
                <w:rFonts w:ascii="Lato" w:hAnsi="Lato" w:cstheme="majorHAnsi"/>
                <w:b/>
                <w:bCs/>
                <w:sz w:val="18"/>
                <w:szCs w:val="18"/>
              </w:rPr>
              <w:t>(Wskazanie off-label)</w:t>
            </w:r>
          </w:p>
        </w:tc>
      </w:tr>
      <w:tr w:rsidR="00B222B4" w:rsidRPr="004D093B" w14:paraId="1ACDA5F7" w14:textId="77777777" w:rsidTr="00926924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00044" w14:textId="4B47DEAB" w:rsidR="00F65312" w:rsidRPr="004D093B" w:rsidRDefault="00926924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14</w:t>
            </w:r>
            <w:r w:rsidR="00B222B4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707EC" w14:textId="79561D34" w:rsidR="00F65312" w:rsidRPr="004D093B" w:rsidRDefault="00F65312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ACB3" w14:textId="5AC18875" w:rsidR="00F65312" w:rsidRPr="004D093B" w:rsidRDefault="00F65312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paklitaksel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F8D6" w14:textId="773AB542" w:rsidR="00F65312" w:rsidRPr="004D093B" w:rsidRDefault="00F65312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C.47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F1138" w14:textId="6C269486" w:rsidR="00F65312" w:rsidRPr="004D093B" w:rsidRDefault="00F65312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PACLITAXEL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083B" w14:textId="75BF0E0C" w:rsidR="00F65312" w:rsidRDefault="00F65312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C23FE">
              <w:rPr>
                <w:rFonts w:ascii="Lato" w:hAnsi="Lato" w:cstheme="majorHAnsi"/>
                <w:sz w:val="18"/>
                <w:szCs w:val="18"/>
              </w:rPr>
              <w:t>Rozszerzenie wskazania obowiązującego obecnie dla paklitakselu w zaawansowanym raku żołądka, poprzez umożliwienie stosowania w</w:t>
            </w:r>
            <w:r>
              <w:rPr>
                <w:rFonts w:ascii="Lato" w:hAnsi="Lato" w:cstheme="majorHAnsi"/>
                <w:sz w:val="18"/>
                <w:szCs w:val="18"/>
              </w:rPr>
              <w:t> </w:t>
            </w:r>
            <w:r w:rsidR="004677CB">
              <w:rPr>
                <w:rFonts w:ascii="Lato" w:hAnsi="Lato" w:cstheme="majorHAnsi"/>
                <w:sz w:val="18"/>
                <w:szCs w:val="18"/>
              </w:rPr>
              <w:t>pierwszej</w:t>
            </w:r>
            <w:r>
              <w:rPr>
                <w:rFonts w:ascii="Lato" w:hAnsi="Lato" w:cstheme="majorHAnsi"/>
                <w:sz w:val="18"/>
                <w:szCs w:val="18"/>
              </w:rPr>
              <w:t> </w:t>
            </w:r>
            <w:r w:rsidRPr="004C23FE">
              <w:rPr>
                <w:rFonts w:ascii="Lato" w:hAnsi="Lato" w:cstheme="majorHAnsi"/>
                <w:sz w:val="18"/>
                <w:szCs w:val="18"/>
              </w:rPr>
              <w:t>linii leczenia.</w:t>
            </w:r>
          </w:p>
          <w:p w14:paraId="01A46544" w14:textId="0065AF9B" w:rsidR="00F65312" w:rsidRPr="004C23FE" w:rsidRDefault="00F65312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F453C2">
              <w:rPr>
                <w:rFonts w:ascii="Lato" w:hAnsi="Lato" w:cstheme="majorHAnsi"/>
                <w:b/>
                <w:bCs/>
                <w:sz w:val="18"/>
                <w:szCs w:val="18"/>
              </w:rPr>
              <w:t>(Wskazanie off-label)</w:t>
            </w:r>
          </w:p>
        </w:tc>
      </w:tr>
    </w:tbl>
    <w:p w14:paraId="7F9CCF36" w14:textId="51B74B46" w:rsidR="004D093B" w:rsidRDefault="004D093B"/>
    <w:p w14:paraId="6240A7BF" w14:textId="77777777" w:rsidR="004C7C2E" w:rsidRDefault="004C7C2E"/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1578"/>
        <w:gridCol w:w="1799"/>
        <w:gridCol w:w="1908"/>
        <w:gridCol w:w="3329"/>
        <w:gridCol w:w="4776"/>
      </w:tblGrid>
      <w:tr w:rsidR="002D6ED9" w:rsidRPr="004D093B" w14:paraId="4C9C4901" w14:textId="77777777" w:rsidTr="004D093B">
        <w:trPr>
          <w:cantSplit/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2A8C2AC0" w:rsidR="002D6ED9" w:rsidRPr="004D093B" w:rsidRDefault="004D093B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>
              <w:br w:type="page"/>
            </w:r>
            <w:r w:rsidR="002D6ED9" w:rsidRPr="004D093B">
              <w:rPr>
                <w:rFonts w:ascii="Lato" w:hAnsi="Lato" w:cstheme="majorHAnsi"/>
                <w:b/>
                <w:bCs/>
                <w:color w:val="FFFFFF"/>
              </w:rPr>
              <w:t>Nowe wskazania nieonkologiczne</w:t>
            </w:r>
          </w:p>
        </w:tc>
      </w:tr>
      <w:tr w:rsidR="002D6ED9" w:rsidRPr="004D093B" w14:paraId="1394CD71" w14:textId="77777777" w:rsidTr="00B01CCE">
        <w:trPr>
          <w:cantSplit/>
          <w:trHeight w:val="628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B01CCE" w:rsidRPr="004D093B" w14:paraId="7522F87A" w14:textId="77777777" w:rsidTr="00B01CCE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592E" w14:textId="5A8849D6" w:rsidR="00B01CCE" w:rsidRPr="004D093B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</w:t>
            </w:r>
            <w:r w:rsidR="0021156E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FB93" w14:textId="72B95744" w:rsidR="00B01CCE" w:rsidRPr="004D093B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Oxlumo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0348" w14:textId="4B55B1C1" w:rsidR="00B01CCE" w:rsidRPr="004D093B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lumasiran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A292" w14:textId="3191223D" w:rsidR="00B01CCE" w:rsidRPr="004D093B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B.129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8478" w14:textId="27DB51EF" w:rsidR="00B01CCE" w:rsidRPr="004D093B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45959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PIERWOTNĄ HIPEROKSALURIĘ TYPU 1 (ICD-10: E74.8)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2F426" w14:textId="77777777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populacji leczonej w ramach programu o pacjentów w stadium IV-V przewlekłej choroby nerek.</w:t>
            </w:r>
          </w:p>
          <w:p w14:paraId="5797C9BB" w14:textId="54BD23BB" w:rsidR="00B01CCE" w:rsidRPr="00E1030B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D64BC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</w:tbl>
    <w:p w14:paraId="17160E61" w14:textId="7A6E45E6" w:rsidR="004C7C2E" w:rsidRDefault="004C7C2E">
      <w:pPr>
        <w:rPr>
          <w:rFonts w:ascii="Lato" w:hAnsi="Lato"/>
        </w:rPr>
      </w:pPr>
    </w:p>
    <w:p w14:paraId="737C8F59" w14:textId="77777777" w:rsidR="004C7C2E" w:rsidRDefault="004C7C2E">
      <w:pPr>
        <w:suppressAutoHyphens w:val="0"/>
        <w:rPr>
          <w:rFonts w:ascii="Lato" w:hAnsi="Lato"/>
        </w:rPr>
      </w:pPr>
      <w:r>
        <w:rPr>
          <w:rFonts w:ascii="Lato" w:hAnsi="Lato"/>
        </w:rP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1645"/>
        <w:gridCol w:w="2504"/>
        <w:gridCol w:w="9199"/>
      </w:tblGrid>
      <w:tr w:rsidR="00A434EB" w:rsidRPr="004D093B" w14:paraId="0B833808" w14:textId="77777777" w:rsidTr="004D093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1F361F2D" w:rsidR="00A434EB" w:rsidRPr="004D093B" w:rsidRDefault="004D093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</w:rPr>
            </w:pPr>
            <w:r>
              <w:rPr>
                <w:rFonts w:ascii="Lato" w:hAnsi="Lato"/>
              </w:rPr>
              <w:lastRenderedPageBreak/>
              <w:br w:type="page"/>
            </w:r>
            <w:r w:rsidR="00A434EB" w:rsidRPr="004D093B">
              <w:rPr>
                <w:rFonts w:ascii="Lato" w:hAnsi="Lato" w:cstheme="majorHAnsi"/>
                <w:b/>
                <w:bCs/>
                <w:color w:val="FFFFFF"/>
              </w:rPr>
              <w:t>Zmiany w programach lekowych i chemioterapii</w:t>
            </w:r>
          </w:p>
        </w:tc>
      </w:tr>
      <w:tr w:rsidR="00A434EB" w:rsidRPr="004D093B" w14:paraId="2BCC5E8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 lub numeru załącznika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 lub załącznika chemioterapii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Krótki opis zmian dokonanych w obrębie programu lekowego / załącznika chemioterapii</w:t>
            </w:r>
          </w:p>
        </w:tc>
      </w:tr>
      <w:tr w:rsidR="0080392B" w:rsidRPr="004D093B" w14:paraId="50DA02B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C88" w14:textId="44BDDD74" w:rsidR="0080392B" w:rsidRPr="004D093B" w:rsidRDefault="00926924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</w:t>
            </w:r>
            <w:r w:rsidR="0021156E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2DB2" w14:textId="23F97764" w:rsidR="0080392B" w:rsidRPr="004D093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B.129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9A8" w14:textId="3465EB8E" w:rsidR="0080392B" w:rsidRPr="0021156E" w:rsidRDefault="0080392B" w:rsidP="0080392B">
            <w:pPr>
              <w:spacing w:before="60" w:after="60" w:line="240" w:lineRule="auto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21156E">
              <w:rPr>
                <w:rFonts w:ascii="Lato" w:hAnsi="Lato"/>
                <w:b/>
                <w:bCs/>
                <w:sz w:val="18"/>
                <w:szCs w:val="18"/>
              </w:rPr>
              <w:t>LECZENIE CHORYCH NA PIERWOTNĄ HIPEROKSALURIĘ TYPU 1 (ICD-10: E74.8)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A8838" w14:textId="77777777" w:rsidR="0080392B" w:rsidRDefault="0080392B" w:rsidP="0080392B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A57907">
              <w:rPr>
                <w:rFonts w:ascii="Lato" w:hAnsi="Lato" w:cstheme="majorHAnsi"/>
                <w:sz w:val="18"/>
                <w:szCs w:val="18"/>
              </w:rPr>
              <w:t>Kompleksowa zmiana treści programu lekowego obejmująca wszystkie jego składowe</w:t>
            </w:r>
            <w:r>
              <w:rPr>
                <w:rFonts w:ascii="Lato" w:hAnsi="Lato" w:cstheme="majorHAnsi"/>
                <w:sz w:val="18"/>
                <w:szCs w:val="18"/>
              </w:rPr>
              <w:t>, prowadzona równolegle do przeniesienia finansowania produktu z Funduszu Medycznego do refundacji systemowej, po 4 latach finansowania jako technologia lekowa o wysokim poziomie innowacyjności (TLI)</w:t>
            </w:r>
            <w:r w:rsidRPr="00A57907">
              <w:rPr>
                <w:rFonts w:ascii="Lato" w:hAnsi="Lato" w:cstheme="majorHAnsi"/>
                <w:sz w:val="18"/>
                <w:szCs w:val="18"/>
              </w:rPr>
              <w:t>.</w:t>
            </w:r>
          </w:p>
          <w:p w14:paraId="4BC7F39F" w14:textId="401899D2" w:rsidR="0080392B" w:rsidRPr="004D093B" w:rsidRDefault="0080392B" w:rsidP="0080392B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A57907">
              <w:rPr>
                <w:rFonts w:ascii="Lato" w:hAnsi="Lato" w:cstheme="majorHAnsi"/>
                <w:sz w:val="18"/>
                <w:szCs w:val="18"/>
              </w:rPr>
              <w:t xml:space="preserve">Główna zmiana dotyczy </w:t>
            </w:r>
            <w:r>
              <w:rPr>
                <w:rFonts w:ascii="Lato" w:hAnsi="Lato" w:cstheme="majorHAnsi"/>
                <w:sz w:val="18"/>
                <w:szCs w:val="18"/>
              </w:rPr>
              <w:t>możliwości leczenia po przeszczepieniu nerki i powrotu do leczenia po ciąży lub karmieniu piersią</w:t>
            </w:r>
            <w:r w:rsidRPr="00A57907">
              <w:rPr>
                <w:rFonts w:ascii="Lato" w:hAnsi="Lato" w:cstheme="majorHAnsi"/>
                <w:sz w:val="18"/>
                <w:szCs w:val="18"/>
              </w:rPr>
              <w:t>. Dodatkowo wprowadzono liczne zmiany ujednolicające i porządkujące program lekowy.</w:t>
            </w:r>
          </w:p>
        </w:tc>
      </w:tr>
      <w:tr w:rsidR="0021156E" w:rsidRPr="004D093B" w14:paraId="571B0832" w14:textId="77777777" w:rsidTr="0021156E">
        <w:trPr>
          <w:cantSplit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0F3C" w14:textId="79428D54" w:rsidR="0021156E" w:rsidRPr="004D093B" w:rsidRDefault="00926924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2</w:t>
            </w:r>
            <w:r w:rsidR="0021156E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148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D09D4" w14:textId="3F10410B" w:rsidR="0021156E" w:rsidRDefault="0021156E" w:rsidP="0021156E">
            <w:pPr>
              <w:spacing w:before="60" w:after="12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2724B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B.32</w:t>
            </w: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, B.33, B.35, B.36</w:t>
            </w:r>
          </w:p>
          <w:p w14:paraId="7055A01B" w14:textId="5410F27E" w:rsidR="0021156E" w:rsidRDefault="0021156E" w:rsidP="0021156E">
            <w:pPr>
              <w:pStyle w:val="Style2"/>
              <w:widowControl/>
              <w:spacing w:after="12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B.47, B.55, B.82, B.105</w:t>
            </w:r>
          </w:p>
          <w:p w14:paraId="41672C03" w14:textId="1D3591F1" w:rsidR="0021156E" w:rsidRDefault="0021156E" w:rsidP="00DA1C97">
            <w:pPr>
              <w:spacing w:before="60" w:after="12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B.124, B.138.FM, B.150, B.157</w:t>
            </w:r>
          </w:p>
          <w:p w14:paraId="020D1FCD" w14:textId="2E1055BE" w:rsidR="0021156E" w:rsidRPr="0021156E" w:rsidRDefault="0021156E" w:rsidP="0080392B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B.161, B.173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A20F" w14:textId="5F06142F" w:rsidR="0021156E" w:rsidRPr="004D093B" w:rsidRDefault="0021156E" w:rsidP="0080392B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32A2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Modyfikacja techniczna mająca na celu dostosowanie zapisu dot. diagnostyki gruźlicy w ramach programów lekowych, w celu umożliwienia stosowania różnych testów IGRA. Zmiana z zapisu </w:t>
            </w:r>
            <w:r w:rsidRPr="00F64A25">
              <w:rPr>
                <w:rFonts w:ascii="Lato" w:hAnsi="Lato" w:cstheme="majorHAnsi"/>
                <w:color w:val="000000"/>
                <w:sz w:val="18"/>
                <w:szCs w:val="18"/>
              </w:rPr>
              <w:t>„test Quantiferon” / „test Quantiferon lub próba tuberkulinowa” na „test IGRA w kierunku zakażenia prątkiem gruźlicy”</w:t>
            </w:r>
            <w:r w:rsidRPr="00932A23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80392B" w:rsidRPr="004D093B" w14:paraId="4B550579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71BC3" w14:textId="48488C14" w:rsidR="0080392B" w:rsidRPr="004D093B" w:rsidRDefault="00926924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3</w:t>
            </w:r>
            <w:r w:rsidR="0021156E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0DC49" w14:textId="7B7B6213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B.96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FAB31" w14:textId="476E6E3C" w:rsidR="0080392B" w:rsidRPr="0021156E" w:rsidRDefault="0080392B" w:rsidP="0080392B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21156E">
              <w:rPr>
                <w:rFonts w:ascii="Lato" w:hAnsi="Lato"/>
                <w:b/>
                <w:bCs/>
                <w:sz w:val="18"/>
                <w:szCs w:val="18"/>
              </w:rPr>
              <w:t>LECZENIE CHORYCH Z NOCNĄ NAPADOWĄ HEMOGLOBINURIĄ (PNH) (ICD-10 D59.5)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76C5D" w14:textId="7287CD09" w:rsidR="0080392B" w:rsidRPr="004A6954" w:rsidRDefault="0080392B" w:rsidP="0080392B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Z</w:t>
            </w:r>
            <w:r w:rsidRPr="00511EB1">
              <w:rPr>
                <w:rFonts w:ascii="Lato" w:hAnsi="Lato" w:cstheme="majorHAnsi"/>
                <w:sz w:val="18"/>
                <w:szCs w:val="18"/>
              </w:rPr>
              <w:t>mian</w:t>
            </w:r>
            <w:r>
              <w:rPr>
                <w:rFonts w:ascii="Lato" w:hAnsi="Lato" w:cstheme="majorHAnsi"/>
                <w:sz w:val="18"/>
                <w:szCs w:val="18"/>
              </w:rPr>
              <w:t>a</w:t>
            </w:r>
            <w:r w:rsidRPr="00511EB1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dostosowująca program do rzeczywistej praktyki klinicznej, </w:t>
            </w:r>
            <w:r w:rsidRPr="00511EB1">
              <w:rPr>
                <w:rFonts w:ascii="Lato" w:hAnsi="Lato" w:cstheme="majorHAnsi"/>
                <w:sz w:val="18"/>
                <w:szCs w:val="18"/>
              </w:rPr>
              <w:t>polegając</w:t>
            </w:r>
            <w:r>
              <w:rPr>
                <w:rFonts w:ascii="Lato" w:hAnsi="Lato" w:cstheme="majorHAnsi"/>
                <w:sz w:val="18"/>
                <w:szCs w:val="18"/>
              </w:rPr>
              <w:t>a</w:t>
            </w:r>
            <w:r w:rsidRPr="00511EB1">
              <w:rPr>
                <w:rFonts w:ascii="Lato" w:hAnsi="Lato" w:cstheme="majorHAnsi"/>
                <w:sz w:val="18"/>
                <w:szCs w:val="18"/>
              </w:rPr>
              <w:t xml:space="preserve"> na wykreśleniu badania wolnej hemoglobiny w moczu z wykazu obligatoryjnych badań przy kwalifikacji do leczenia ekulizumabem, rawulizumabem i krowalimabem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</w:tr>
      <w:tr w:rsidR="0080392B" w:rsidRPr="004D093B" w14:paraId="2E67E4BE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72450" w14:textId="0EBF39F5" w:rsidR="0080392B" w:rsidRPr="004D093B" w:rsidRDefault="00926924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</w:t>
            </w:r>
            <w:r w:rsidR="0021156E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91491" w14:textId="2EB009E1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661CB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B.169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6A9C3" w14:textId="3277D5E7" w:rsidR="0080392B" w:rsidRPr="0021156E" w:rsidRDefault="0080392B" w:rsidP="0080392B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21156E">
              <w:rPr>
                <w:rFonts w:ascii="Lato" w:eastAsia="Calibri" w:hAnsi="Lato" w:cstheme="majorHAnsi"/>
                <w:b/>
                <w:bCs/>
                <w:sz w:val="18"/>
                <w:szCs w:val="18"/>
                <w:lang w:eastAsia="en-US"/>
              </w:rPr>
              <w:t>LECZENIE CHORYCH Z ZESPOŁEM HIPEREOZYNOFILOWYM (HES) (ICD-10: D72.11)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B6253" w14:textId="3A55DE9A" w:rsidR="0080392B" w:rsidRPr="004A6954" w:rsidRDefault="0080392B" w:rsidP="0080392B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Zmiana zapisów</w:t>
            </w:r>
            <w:r w:rsidRPr="00661CB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nakładają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cych</w:t>
            </w:r>
            <w:r w:rsidRPr="00661CB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obowiązek wykonania konwencjonalnego badania cytogenetycznego oraz PCR w kierunku rearanżacji FIP1L1-PDGFRA zarówno na etapie diagnostyki, jak i kwalifikacji do leczenia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na </w:t>
            </w:r>
            <w:r w:rsidRPr="00661CB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jedyn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</w:t>
            </w:r>
            <w:r w:rsidRPr="00661CB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konieczn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</w:t>
            </w:r>
            <w:r w:rsidRPr="00661CB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wystarczając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</w:t>
            </w:r>
            <w:r w:rsidRPr="00661CB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badanie wykluczając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</w:t>
            </w:r>
            <w:r w:rsidRPr="00661CB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klonalną eozynofilię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czyli </w:t>
            </w:r>
            <w:r w:rsidRPr="00661CBE">
              <w:rPr>
                <w:rFonts w:ascii="Lato" w:hAnsi="Lato" w:cstheme="majorHAnsi"/>
                <w:color w:val="000000"/>
                <w:sz w:val="18"/>
                <w:szCs w:val="18"/>
              </w:rPr>
              <w:t>ocen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ę</w:t>
            </w:r>
            <w:r w:rsidRPr="00661CB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genu fuzyjnego FIP1L1: PDGFRA metodą FISH.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Zmiana</w:t>
            </w:r>
            <w:r>
              <w:t xml:space="preserve"> </w:t>
            </w:r>
            <w:r w:rsidRPr="00661CBE">
              <w:rPr>
                <w:rFonts w:ascii="Lato" w:hAnsi="Lato" w:cstheme="majorHAnsi"/>
                <w:color w:val="000000"/>
                <w:sz w:val="18"/>
                <w:szCs w:val="18"/>
              </w:rPr>
              <w:t>dostosowuj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</w:t>
            </w:r>
            <w:r w:rsidRPr="00661CB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program do aktualnej wiedzy klinicznej i rzeczywistej praktyki diagnostycznej w idiopatycznym HES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F65312" w:rsidRPr="004D093B" w14:paraId="354604C6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A1508" w14:textId="1B57D43A" w:rsidR="00F65312" w:rsidRDefault="00926924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6</w:t>
            </w:r>
            <w:r w:rsidR="0021156E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88F5" w14:textId="4D9F931B" w:rsidR="00F65312" w:rsidRPr="00661CBE" w:rsidRDefault="00F65312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B.135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3E990" w14:textId="7DDB5EC7" w:rsidR="00F65312" w:rsidRPr="0021156E" w:rsidRDefault="00F65312" w:rsidP="00F65312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b/>
                <w:bCs/>
                <w:sz w:val="18"/>
                <w:szCs w:val="18"/>
                <w:lang w:eastAsia="en-US"/>
              </w:rPr>
            </w:pPr>
            <w:r w:rsidRPr="0021156E">
              <w:rPr>
                <w:rFonts w:ascii="Lato" w:hAnsi="Lato"/>
                <w:b/>
                <w:bCs/>
                <w:sz w:val="18"/>
                <w:szCs w:val="18"/>
              </w:rPr>
              <w:t>LECZENIE PACJENTÓW Z CHOROBĄ ŚRÓDMIĄŻSZOWĄ PŁUC (ICD-10: D86, J67.0-J67.9, J84.1, J84.8, J84.9, J99.0, J99.1, M34)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3E285" w14:textId="1CA298BB" w:rsidR="00F65312" w:rsidRPr="00926924" w:rsidRDefault="00F65312" w:rsidP="00926924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Zmiana treści programu lekowego na wniosek Konsultanta Krajowego, w zakresie umożliwienia leczenia rituksimabem i tocilizumabem w ośrodkach pulmonologicznych.</w:t>
            </w:r>
          </w:p>
        </w:tc>
      </w:tr>
      <w:tr w:rsidR="00F65312" w:rsidRPr="004D093B" w14:paraId="787D0931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ACFDB" w14:textId="366B1EDE" w:rsidR="00F65312" w:rsidRDefault="00926924" w:rsidP="00926924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7</w:t>
            </w:r>
            <w:r w:rsidR="0021156E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4C8D2" w14:textId="1D2B120C" w:rsidR="00F65312" w:rsidRPr="00661CBE" w:rsidRDefault="00F65312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C5023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B.56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8E5F9" w14:textId="186009D6" w:rsidR="00F65312" w:rsidRPr="0021156E" w:rsidRDefault="00F65312" w:rsidP="00F65312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b/>
                <w:bCs/>
                <w:sz w:val="18"/>
                <w:szCs w:val="18"/>
                <w:lang w:eastAsia="en-US"/>
              </w:rPr>
            </w:pPr>
            <w:r w:rsidRPr="0021156E">
              <w:rPr>
                <w:rFonts w:ascii="Lato" w:eastAsia="Calibri" w:hAnsi="Lato" w:cstheme="majorHAnsi"/>
                <w:b/>
                <w:bCs/>
                <w:sz w:val="18"/>
                <w:szCs w:val="18"/>
                <w:lang w:eastAsia="en-US"/>
              </w:rPr>
              <w:t xml:space="preserve">LECZENIE CHORYCH NA RAKA GRUCZOŁU </w:t>
            </w:r>
            <w:r w:rsidRPr="0021156E">
              <w:rPr>
                <w:rFonts w:ascii="Lato" w:eastAsia="Calibri" w:hAnsi="Lato" w:cstheme="majorHAnsi"/>
                <w:b/>
                <w:bCs/>
                <w:sz w:val="18"/>
                <w:szCs w:val="18"/>
                <w:lang w:eastAsia="en-US"/>
              </w:rPr>
              <w:br/>
              <w:t>KROKOWEGO (ICD-10: C61)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B5873" w14:textId="6FA8557C" w:rsidR="00F65312" w:rsidRDefault="00F65312" w:rsidP="00F65312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50232">
              <w:rPr>
                <w:rFonts w:ascii="Lato" w:hAnsi="Lato" w:cstheme="majorHAnsi"/>
                <w:color w:val="000000"/>
                <w:sz w:val="18"/>
                <w:szCs w:val="18"/>
              </w:rPr>
              <w:t>Zmiana treści programu lekowego na wniosek Konsultanta Krajowego, w zakresie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modyfikacji jednego z kryterium kwalifikacji dla c</w:t>
            </w:r>
            <w:r w:rsidRPr="002A043D">
              <w:rPr>
                <w:rFonts w:ascii="Lato" w:hAnsi="Lato" w:cstheme="majorHAnsi"/>
                <w:color w:val="000000"/>
                <w:sz w:val="18"/>
                <w:szCs w:val="18"/>
              </w:rPr>
              <w:t>horych na wrażliwego na kastrację raka gruczołu krokowego z przerzutami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2A043D">
              <w:rPr>
                <w:rFonts w:ascii="Lato" w:hAnsi="Lato" w:cstheme="majorHAnsi"/>
                <w:color w:val="000000"/>
                <w:sz w:val="18"/>
                <w:szCs w:val="18"/>
              </w:rPr>
              <w:t>apalutamidem albo enzalutamidem albo darolutamidem w skojarzeniu z docetakselem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  <w:r>
              <w:t xml:space="preserve"> </w:t>
            </w:r>
            <w:r w:rsidRPr="00E30CC5">
              <w:rPr>
                <w:rFonts w:ascii="Lato" w:hAnsi="Lato" w:cstheme="majorHAnsi"/>
                <w:color w:val="000000"/>
                <w:sz w:val="18"/>
                <w:szCs w:val="18"/>
              </w:rPr>
              <w:t>z obecnego zapisu: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E30CC5">
              <w:rPr>
                <w:rFonts w:ascii="Lato" w:hAnsi="Lato" w:cstheme="majorHAnsi"/>
                <w:color w:val="000000"/>
                <w:sz w:val="18"/>
                <w:szCs w:val="18"/>
              </w:rPr>
              <w:t>„</w:t>
            </w:r>
            <w:r w:rsidRPr="000315C9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niestosowanie wcześniejszego leczenia octanem abirateronu</w:t>
            </w:r>
            <w:r w:rsidRPr="00E30CC5">
              <w:rPr>
                <w:rFonts w:ascii="Lato" w:hAnsi="Lato" w:cstheme="majorHAnsi"/>
                <w:color w:val="000000"/>
                <w:sz w:val="18"/>
                <w:szCs w:val="18"/>
              </w:rPr>
              <w:t>”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r w:rsidRPr="00E30CC5">
              <w:rPr>
                <w:rFonts w:ascii="Lato" w:hAnsi="Lato" w:cstheme="majorHAnsi"/>
                <w:color w:val="000000"/>
                <w:sz w:val="18"/>
                <w:szCs w:val="18"/>
              </w:rPr>
              <w:t>na: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E30CC5">
              <w:rPr>
                <w:rFonts w:ascii="Lato" w:hAnsi="Lato" w:cstheme="majorHAnsi"/>
                <w:color w:val="000000"/>
                <w:sz w:val="18"/>
                <w:szCs w:val="18"/>
              </w:rPr>
              <w:t>„</w:t>
            </w:r>
            <w:r w:rsidRPr="000315C9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niestosowanie wcześniejszego leczenia octanem abirateronu w chorobie przerzutowej</w:t>
            </w:r>
            <w:r w:rsidRPr="00E30CC5">
              <w:rPr>
                <w:rFonts w:ascii="Lato" w:hAnsi="Lato" w:cstheme="majorHAnsi"/>
                <w:color w:val="000000"/>
                <w:sz w:val="18"/>
                <w:szCs w:val="18"/>
              </w:rPr>
              <w:t>”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F65312" w:rsidRPr="004D093B" w14:paraId="400A1801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E6E4" w14:textId="37653107" w:rsidR="00DA1C97" w:rsidRPr="00DA1C97" w:rsidRDefault="00DA1C97" w:rsidP="00DA1C9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8</w:t>
            </w:r>
            <w:r w:rsidR="0021156E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49B23" w14:textId="7B1E9CC7" w:rsidR="00F65312" w:rsidRPr="00661CBE" w:rsidRDefault="00F65312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230FD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C.87.a, C.87.b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04D2D" w14:textId="60717068" w:rsidR="00F65312" w:rsidRPr="0021156E" w:rsidRDefault="00F65312" w:rsidP="00F65312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b/>
                <w:bCs/>
                <w:sz w:val="18"/>
                <w:szCs w:val="18"/>
                <w:lang w:eastAsia="en-US"/>
              </w:rPr>
            </w:pPr>
            <w:r w:rsidRPr="0021156E">
              <w:rPr>
                <w:rFonts w:ascii="Lato" w:eastAsia="Calibri" w:hAnsi="Lato" w:cstheme="majorHAnsi"/>
                <w:b/>
                <w:bCs/>
                <w:sz w:val="18"/>
                <w:szCs w:val="18"/>
                <w:lang w:eastAsia="en-US"/>
              </w:rPr>
              <w:t>OCTAN ABIRATERONU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DB1C8" w14:textId="7AF23832" w:rsidR="00F65312" w:rsidRDefault="00F65312" w:rsidP="00F65312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36AC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Zmiana treści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załączników do chemioterapii</w:t>
            </w:r>
            <w:r w:rsidRPr="00D36AC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na wniosek Konsultanta Krajowego, w zakresie modyfikacji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zapisów, z obecnego: „</w:t>
            </w:r>
            <w:r w:rsidRPr="00C7429A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Octan abirateronu może być zastosowany u danego pacjenta na podstawie załączników C.87.a. albo C.87.b. tylko w jednym z wymienionych wskazań. Octan abirateronu nie może być zastosowany u danego pacjenta leczonego wcześniej innym nowoczesnym lekiem hormonalnym (apalutamid, enzalutamid, darolutamid)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”,</w:t>
            </w:r>
            <w:r w:rsidRPr="00C7429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na: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>„</w:t>
            </w:r>
            <w:r w:rsidRPr="00C7429A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Octan abirateronu nie może być zastosowany u danego pacjenta leczonego wcześniej innym nowoczesnym lekiem hormonalnym (apalutamid, enzalutamid, darolutamid)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”.</w:t>
            </w:r>
          </w:p>
        </w:tc>
      </w:tr>
      <w:tr w:rsidR="00F65312" w:rsidRPr="004D093B" w14:paraId="297B4898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C3EEF" w14:textId="4016A585" w:rsidR="00F65312" w:rsidRDefault="00DA1C97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9</w:t>
            </w:r>
            <w:r w:rsidR="0021156E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73C5B" w14:textId="6070EE01" w:rsidR="00F65312" w:rsidRPr="00661CBE" w:rsidRDefault="00F65312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B.29.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32754" w14:textId="6767741A" w:rsidR="00F65312" w:rsidRPr="0021156E" w:rsidRDefault="00F65312" w:rsidP="00F65312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b/>
                <w:bCs/>
                <w:sz w:val="18"/>
                <w:szCs w:val="18"/>
                <w:lang w:eastAsia="en-US"/>
              </w:rPr>
            </w:pPr>
            <w:r w:rsidRPr="0021156E">
              <w:rPr>
                <w:rFonts w:ascii="Lato" w:hAnsi="Lato"/>
                <w:b/>
                <w:bCs/>
                <w:sz w:val="18"/>
                <w:szCs w:val="18"/>
              </w:rPr>
              <w:t>LECZENIE CHORYCH NA STWARDNIENIE ROZSIANE (ICD-10: G35)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A8252" w14:textId="619072B5" w:rsidR="00EF3F13" w:rsidRDefault="00DA1C97" w:rsidP="00EF3F13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Z</w:t>
            </w:r>
            <w:r w:rsidR="00F65312">
              <w:rPr>
                <w:rFonts w:ascii="Lato" w:hAnsi="Lato" w:cstheme="majorHAnsi"/>
                <w:sz w:val="18"/>
                <w:szCs w:val="18"/>
              </w:rPr>
              <w:t xml:space="preserve">miana kryterium kwalifikacji </w:t>
            </w:r>
            <w:r>
              <w:rPr>
                <w:rFonts w:ascii="Lato" w:hAnsi="Lato" w:cstheme="majorHAnsi"/>
                <w:sz w:val="18"/>
                <w:szCs w:val="18"/>
              </w:rPr>
              <w:t>do terapii</w:t>
            </w:r>
            <w:r w:rsidR="00F65312">
              <w:rPr>
                <w:rFonts w:ascii="Lato" w:hAnsi="Lato" w:cstheme="majorHAnsi"/>
                <w:sz w:val="18"/>
                <w:szCs w:val="18"/>
              </w:rPr>
              <w:t xml:space="preserve"> natalizumab</w:t>
            </w:r>
            <w:r>
              <w:rPr>
                <w:rFonts w:ascii="Lato" w:hAnsi="Lato" w:cstheme="majorHAnsi"/>
                <w:sz w:val="18"/>
                <w:szCs w:val="18"/>
              </w:rPr>
              <w:t>em</w:t>
            </w:r>
            <w:r w:rsidR="00F65312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sz w:val="18"/>
                <w:szCs w:val="18"/>
              </w:rPr>
              <w:t>w podskórnej formie podania</w:t>
            </w:r>
            <w:r w:rsidR="00F65312" w:rsidRPr="00232934">
              <w:rPr>
                <w:rFonts w:ascii="Lato" w:hAnsi="Lato" w:cstheme="majorHAnsi"/>
                <w:sz w:val="18"/>
                <w:szCs w:val="18"/>
              </w:rPr>
              <w:t xml:space="preserve"> z: </w:t>
            </w:r>
            <w:r w:rsidR="00F65312" w:rsidRPr="00EF3F13">
              <w:rPr>
                <w:rFonts w:ascii="Lato" w:hAnsi="Lato" w:cstheme="majorHAnsi"/>
                <w:i/>
                <w:iCs/>
                <w:sz w:val="18"/>
                <w:szCs w:val="18"/>
              </w:rPr>
              <w:t>„nietolerancja leczenia natalizumabem i.v. (w postaci dożylnej) z powodu zapalenia żył po wlewach dożylnych lub z powodu trudnego dostępu do żył”</w:t>
            </w:r>
            <w:r w:rsidR="00F65312">
              <w:rPr>
                <w:rFonts w:ascii="Lato" w:hAnsi="Lato" w:cstheme="majorHAnsi"/>
                <w:sz w:val="18"/>
                <w:szCs w:val="18"/>
              </w:rPr>
              <w:t xml:space="preserve"> na „</w:t>
            </w:r>
            <w:r w:rsidR="00F65312" w:rsidRPr="00EF3F13">
              <w:rPr>
                <w:rFonts w:ascii="Lato" w:hAnsi="Lato" w:cstheme="majorHAnsi"/>
                <w:i/>
                <w:iCs/>
                <w:sz w:val="18"/>
                <w:szCs w:val="18"/>
              </w:rPr>
              <w:t>brak możliwości leczenia natalizumabem i.v. (w postaci dożylnej definicji nietolerancji natalizumabu iv.</w:t>
            </w:r>
            <w:r w:rsidR="00EF3F13">
              <w:rPr>
                <w:rFonts w:ascii="Lato" w:hAnsi="Lato" w:cstheme="majorHAnsi"/>
                <w:i/>
                <w:iCs/>
                <w:sz w:val="18"/>
                <w:szCs w:val="18"/>
              </w:rPr>
              <w:t>)</w:t>
            </w:r>
            <w:r w:rsidR="00F65312" w:rsidRPr="00EF3F13">
              <w:rPr>
                <w:rFonts w:ascii="Lato" w:hAnsi="Lato" w:cstheme="majorHAnsi"/>
                <w:i/>
                <w:iCs/>
                <w:sz w:val="18"/>
                <w:szCs w:val="18"/>
              </w:rPr>
              <w:t>”</w:t>
            </w:r>
            <w:r w:rsidR="00EF3F13">
              <w:rPr>
                <w:rFonts w:ascii="Lato" w:hAnsi="Lato" w:cstheme="majorHAnsi"/>
                <w:i/>
                <w:iCs/>
                <w:sz w:val="18"/>
                <w:szCs w:val="18"/>
              </w:rPr>
              <w:t>.</w:t>
            </w:r>
          </w:p>
          <w:p w14:paraId="300E64F1" w14:textId="76513505" w:rsidR="00F65312" w:rsidRPr="00BF4BE3" w:rsidRDefault="00EF3F13" w:rsidP="00EF3F13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U</w:t>
            </w:r>
            <w:r w:rsidR="00F65312">
              <w:rPr>
                <w:rFonts w:ascii="Lato" w:hAnsi="Lato" w:cstheme="majorHAnsi"/>
                <w:sz w:val="18"/>
                <w:szCs w:val="18"/>
              </w:rPr>
              <w:t>możliwienie p</w:t>
            </w:r>
            <w:r w:rsidR="00F65312" w:rsidRPr="00232934">
              <w:rPr>
                <w:rFonts w:ascii="Lato" w:hAnsi="Lato" w:cstheme="majorHAnsi"/>
                <w:sz w:val="18"/>
                <w:szCs w:val="18"/>
              </w:rPr>
              <w:t>owr</w:t>
            </w:r>
            <w:r w:rsidR="00F65312">
              <w:rPr>
                <w:rFonts w:ascii="Lato" w:hAnsi="Lato" w:cstheme="majorHAnsi"/>
                <w:sz w:val="18"/>
                <w:szCs w:val="18"/>
              </w:rPr>
              <w:t>o</w:t>
            </w:r>
            <w:r w:rsidR="00F65312" w:rsidRPr="00232934">
              <w:rPr>
                <w:rFonts w:ascii="Lato" w:hAnsi="Lato" w:cstheme="majorHAnsi"/>
                <w:sz w:val="18"/>
                <w:szCs w:val="18"/>
              </w:rPr>
              <w:t>t</w:t>
            </w:r>
            <w:r w:rsidR="00F65312">
              <w:rPr>
                <w:rFonts w:ascii="Lato" w:hAnsi="Lato" w:cstheme="majorHAnsi"/>
                <w:sz w:val="18"/>
                <w:szCs w:val="18"/>
              </w:rPr>
              <w:t>u</w:t>
            </w:r>
            <w:r w:rsidR="00F65312" w:rsidRPr="00232934">
              <w:rPr>
                <w:rFonts w:ascii="Lato" w:hAnsi="Lato" w:cstheme="majorHAnsi"/>
                <w:sz w:val="18"/>
                <w:szCs w:val="18"/>
              </w:rPr>
              <w:t xml:space="preserve"> ze stosowania natalizumabu </w:t>
            </w:r>
            <w:r>
              <w:rPr>
                <w:rFonts w:ascii="Lato" w:hAnsi="Lato" w:cstheme="majorHAnsi"/>
                <w:sz w:val="18"/>
                <w:szCs w:val="18"/>
              </w:rPr>
              <w:t>w podskórnej formie podania</w:t>
            </w:r>
            <w:r w:rsidR="00F65312" w:rsidRPr="00232934">
              <w:rPr>
                <w:rFonts w:ascii="Lato" w:hAnsi="Lato" w:cstheme="majorHAnsi"/>
                <w:sz w:val="18"/>
                <w:szCs w:val="18"/>
              </w:rPr>
              <w:t xml:space="preserve"> do formy </w:t>
            </w:r>
            <w:r>
              <w:rPr>
                <w:rFonts w:ascii="Lato" w:hAnsi="Lato" w:cstheme="majorHAnsi"/>
                <w:sz w:val="18"/>
                <w:szCs w:val="18"/>
              </w:rPr>
              <w:t>dożylnej.</w:t>
            </w:r>
          </w:p>
          <w:p w14:paraId="6B68AB2A" w14:textId="60C32396" w:rsidR="00F65312" w:rsidRDefault="00EF3F13" w:rsidP="00EF3F1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D</w:t>
            </w:r>
            <w:r w:rsidR="00F65312">
              <w:rPr>
                <w:rFonts w:ascii="Lato" w:hAnsi="Lato" w:cstheme="majorHAnsi"/>
                <w:sz w:val="18"/>
                <w:szCs w:val="18"/>
              </w:rPr>
              <w:t xml:space="preserve">odanie </w:t>
            </w:r>
            <w:r>
              <w:rPr>
                <w:rFonts w:ascii="Lato" w:hAnsi="Lato" w:cstheme="majorHAnsi"/>
                <w:sz w:val="18"/>
                <w:szCs w:val="18"/>
              </w:rPr>
              <w:t>terapii</w:t>
            </w:r>
            <w:r w:rsidR="00F65312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sz w:val="18"/>
                <w:szCs w:val="18"/>
              </w:rPr>
              <w:t>f</w:t>
            </w:r>
            <w:r w:rsidR="00F65312">
              <w:rPr>
                <w:rFonts w:ascii="Lato" w:hAnsi="Lato" w:cstheme="majorHAnsi"/>
                <w:sz w:val="18"/>
                <w:szCs w:val="18"/>
              </w:rPr>
              <w:t>umaran</w:t>
            </w:r>
            <w:r>
              <w:rPr>
                <w:rFonts w:ascii="Lato" w:hAnsi="Lato" w:cstheme="majorHAnsi"/>
                <w:sz w:val="18"/>
                <w:szCs w:val="18"/>
              </w:rPr>
              <w:t>em</w:t>
            </w:r>
            <w:r w:rsidR="00F65312">
              <w:rPr>
                <w:rFonts w:ascii="Lato" w:hAnsi="Lato" w:cstheme="majorHAnsi"/>
                <w:sz w:val="18"/>
                <w:szCs w:val="18"/>
              </w:rPr>
              <w:t xml:space="preserve"> tegomilu, który jest odpowiednikiem fumaranu dimetylu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</w:tr>
    </w:tbl>
    <w:p w14:paraId="08AE375A" w14:textId="43C53898" w:rsidR="0056748F" w:rsidRPr="004D093B" w:rsidRDefault="0056748F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</w:p>
    <w:p w14:paraId="052EAE3A" w14:textId="77777777" w:rsidR="004D093B" w:rsidRDefault="004D093B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bookmarkStart w:id="1" w:name="_Hlk90283710"/>
      <w:r>
        <w:rPr>
          <w:rFonts w:ascii="Lato" w:hAnsi="Lato"/>
          <w:b/>
          <w:bCs/>
          <w:color w:val="00B0F0"/>
          <w:sz w:val="28"/>
          <w:szCs w:val="28"/>
        </w:rPr>
        <w:br w:type="page"/>
      </w:r>
    </w:p>
    <w:p w14:paraId="703841AA" w14:textId="36DADBCA" w:rsidR="0056748F" w:rsidRPr="004D093B" w:rsidRDefault="0056748F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2412"/>
        <w:gridCol w:w="1838"/>
        <w:gridCol w:w="4974"/>
        <w:gridCol w:w="4073"/>
      </w:tblGrid>
      <w:tr w:rsidR="00AD08C5" w:rsidRPr="004D093B" w14:paraId="2CD1B9F9" w14:textId="77777777" w:rsidTr="004D093B">
        <w:trPr>
          <w:cantSplit/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"/>
          <w:p w14:paraId="05E7E891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4D093B" w14:paraId="7C1774EA" w14:textId="77777777" w:rsidTr="004D093B">
        <w:trPr>
          <w:cantSplit/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4D093B" w14:paraId="7D53B9E1" w14:textId="77777777" w:rsidTr="004677C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4D093B" w:rsidRDefault="00A118F0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 xml:space="preserve">Nazwa leku, środka spożywczego specjalnego przeznaczenia lub wyrobu </w:t>
            </w:r>
            <w:r w:rsidRPr="004D093B">
              <w:rPr>
                <w:rFonts w:ascii="Lato" w:hAnsi="Lato" w:cstheme="majorHAnsi"/>
                <w:b/>
                <w:bCs/>
                <w:sz w:val="19"/>
                <w:szCs w:val="19"/>
              </w:rPr>
              <w:t>medycznego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Substancja czynna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Wskazanie refundacyjne</w:t>
            </w:r>
          </w:p>
        </w:tc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Doprecyzowanie wskazania</w:t>
            </w:r>
          </w:p>
        </w:tc>
      </w:tr>
      <w:tr w:rsidR="004677CB" w:rsidRPr="004D093B" w14:paraId="4CDBB94B" w14:textId="77777777" w:rsidTr="004677CB">
        <w:trPr>
          <w:cantSplit/>
          <w:trHeight w:val="1898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15CCC" w14:textId="6F9C4624" w:rsidR="004677CB" w:rsidRDefault="004677CB" w:rsidP="004677C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BC99" w14:textId="7C3949E1" w:rsidR="004677CB" w:rsidRPr="00591572" w:rsidRDefault="004677CB" w:rsidP="004677C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77C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Poltixa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2627" w14:textId="3CD4262A" w:rsidR="004677CB" w:rsidRPr="00591572" w:rsidRDefault="004677CB" w:rsidP="004677C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677C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apixaban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D87A6" w14:textId="31C8E29D" w:rsidR="004677CB" w:rsidRPr="00591572" w:rsidRDefault="004677CB" w:rsidP="004677C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77CB">
              <w:rPr>
                <w:rFonts w:ascii="Lato" w:hAnsi="Lato" w:cstheme="majorHAnsi"/>
                <w:color w:val="000000"/>
                <w:sz w:val="18"/>
                <w:szCs w:val="18"/>
              </w:rPr>
              <w:t>Zapobieganie udarom mózgu i zatorowości systemowej u dorosłych pacjentów z niezastawkowym migotaniem przedsionków z co najmniej jednym czynnikiem ryzyka, takim jak przebyty udar mózgu lub przemijający napad niedokrwienny; wiek ≥75 lat; nadciśnienie tętnicze; cukrzyca; objawowa niewydolność serca (klasa wg NYHA ≥II)</w:t>
            </w:r>
          </w:p>
        </w:tc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A7436" w14:textId="77777777" w:rsidR="004677CB" w:rsidRDefault="004677CB" w:rsidP="004677C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Kolejny produkt z grupy NOAC (</w:t>
            </w:r>
            <w:r w:rsidRPr="004677CB">
              <w:rPr>
                <w:rFonts w:ascii="Lato" w:hAnsi="Lato" w:cstheme="majorHAnsi"/>
                <w:color w:val="000000"/>
                <w:sz w:val="18"/>
                <w:szCs w:val="18"/>
              </w:rPr>
              <w:t>Doustne leki przeciwkrzepliwe niebędące antagonistami witaminy K) kierowany do pacjentów z niezastawkowym migotaniem przedsionków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2AF9D135" w14:textId="6038E08E" w:rsidR="004677CB" w:rsidRPr="00591572" w:rsidRDefault="004677CB" w:rsidP="004677C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77CB"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dotychczas nierefundowanego wskazania dla apixabanu - w profilaktyce przeciwzakrzepowej u pacjentów z niezastawkowym migotaniem przedsionków.</w:t>
            </w:r>
          </w:p>
        </w:tc>
      </w:tr>
      <w:tr w:rsidR="004677CB" w:rsidRPr="004D093B" w14:paraId="001A9585" w14:textId="77777777" w:rsidTr="004677CB">
        <w:trPr>
          <w:cantSplit/>
          <w:trHeight w:val="1898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8A9BC" w14:textId="2B3C54E8" w:rsidR="004677CB" w:rsidRDefault="004677CB" w:rsidP="004677C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456E9" w14:textId="40640040" w:rsidR="004677CB" w:rsidRDefault="004677CB" w:rsidP="004677C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Coatoris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6D24D" w14:textId="576A652D" w:rsidR="004677CB" w:rsidRDefault="004677CB" w:rsidP="004677C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ezetymib + atorwastatyna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84598" w14:textId="77777777" w:rsidR="004677CB" w:rsidRPr="00C4239A" w:rsidRDefault="004677CB" w:rsidP="004677C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4239A">
              <w:rPr>
                <w:rFonts w:ascii="Lato" w:hAnsi="Lato" w:cstheme="majorHAnsi"/>
                <w:color w:val="000000"/>
                <w:sz w:val="18"/>
                <w:szCs w:val="18"/>
              </w:rPr>
              <w:t>W leczeniu wspomagającym wraz z dietą u osób dorosłych z pierwotną (heterozygotyczną rodzinną lub niewystępującą rodzinnie) hipercholesterolemią bądź mieszaną hiperlipidemią, w przypadku których odpowiednie jest stosowanie produktów leczniczych złożonych: pacjenci z nieodpowiednią kontrolą choroby przyjmujący statyny w monoterapii; pacjenci leczeni już statynami i ezetymibem.</w:t>
            </w:r>
          </w:p>
          <w:p w14:paraId="63528E51" w14:textId="77777777" w:rsidR="004677CB" w:rsidRPr="00C4239A" w:rsidRDefault="004677CB" w:rsidP="004677C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4239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Zapobieganie wystąpieniu incydentów sercowo-naczyniowych u pacjentów z chorobą wieńcową i ostrym zespołem wieńcowym w wywiadzie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– </w:t>
            </w:r>
            <w:r w:rsidRPr="00C4239A">
              <w:rPr>
                <w:rFonts w:ascii="Lato" w:hAnsi="Lato" w:cstheme="majorHAnsi"/>
                <w:color w:val="000000"/>
                <w:sz w:val="18"/>
                <w:szCs w:val="18"/>
              </w:rPr>
              <w:t>zarówno u pacjentów leczonych statyną, jak i u pacjentów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  <w:r w:rsidRPr="00C4239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którzy nie byli wcześniej leczeni statyną.</w:t>
            </w:r>
          </w:p>
          <w:p w14:paraId="428ED3E0" w14:textId="712A98CF" w:rsidR="004677CB" w:rsidRPr="00C4239A" w:rsidRDefault="004677CB" w:rsidP="004677C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4239A">
              <w:rPr>
                <w:rFonts w:ascii="Lato" w:hAnsi="Lato" w:cstheme="majorHAnsi"/>
                <w:color w:val="000000"/>
                <w:sz w:val="18"/>
                <w:szCs w:val="18"/>
              </w:rPr>
              <w:t>Leczenie wspomagające wraz z dietą u osób dorosłych z homozygotyczną hipercholesterolemią rodzinną.</w:t>
            </w:r>
          </w:p>
        </w:tc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51FCF" w14:textId="77777777" w:rsidR="004677CB" w:rsidRPr="00C4239A" w:rsidRDefault="004677CB" w:rsidP="004677C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4239A"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leku dwuskładnikowego u dorosłych pacjentów, który może być stosowany od początku terapii, bez konieczności wcześniejszego dostosowania leczenia (obecnie w refundacji są produkty z tą samą INN w niższych dawkach, refundowane substytucyjnie – jedynie u pacjentów, u których kontrolę choroby uzyskano już wcześniej za pomocą skojarzenia ator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</w:t>
            </w:r>
            <w:r w:rsidRPr="00C4239A">
              <w:rPr>
                <w:rFonts w:ascii="Lato" w:hAnsi="Lato" w:cstheme="majorHAnsi"/>
                <w:color w:val="000000"/>
                <w:sz w:val="18"/>
                <w:szCs w:val="18"/>
              </w:rPr>
              <w:t>astatyny i ezetymibu, podawanych w oddzielnych preparatach).</w:t>
            </w:r>
          </w:p>
          <w:p w14:paraId="3311FD2D" w14:textId="77777777" w:rsidR="004677CB" w:rsidRDefault="004677CB" w:rsidP="004677C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4239A">
              <w:rPr>
                <w:rFonts w:ascii="Lato" w:hAnsi="Lato" w:cstheme="majorHAnsi"/>
                <w:color w:val="000000"/>
                <w:sz w:val="18"/>
                <w:szCs w:val="18"/>
              </w:rPr>
              <w:t>Nowa terapia w leczeniu homozygotycznej hipercholesterolemii rodzinnej.</w:t>
            </w:r>
          </w:p>
          <w:p w14:paraId="7C63149C" w14:textId="542A6AEF" w:rsidR="004677CB" w:rsidRPr="00C4239A" w:rsidRDefault="004677CB" w:rsidP="004677C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Lek na liście 65+</w:t>
            </w:r>
          </w:p>
        </w:tc>
      </w:tr>
    </w:tbl>
    <w:p w14:paraId="567C6ED6" w14:textId="77777777" w:rsidR="00926924" w:rsidRDefault="00926924" w:rsidP="0068046C">
      <w:pPr>
        <w:suppressAutoHyphens w:val="0"/>
        <w:rPr>
          <w:rFonts w:ascii="Lato" w:hAnsi="Lato"/>
          <w:b/>
          <w:bCs/>
          <w:color w:val="00B0F0"/>
        </w:rPr>
      </w:pPr>
    </w:p>
    <w:p w14:paraId="7D4A36C5" w14:textId="7F0AF3C8" w:rsidR="00D53AC0" w:rsidRDefault="00D53AC0">
      <w:pPr>
        <w:suppressAutoHyphens w:val="0"/>
        <w:rPr>
          <w:rFonts w:ascii="Lato" w:hAnsi="Lato"/>
          <w:b/>
          <w:bCs/>
          <w:color w:val="00B0F0"/>
        </w:rPr>
      </w:pPr>
      <w:r>
        <w:rPr>
          <w:rFonts w:ascii="Lato" w:hAnsi="Lato"/>
          <w:b/>
          <w:bCs/>
          <w:color w:val="00B0F0"/>
        </w:rPr>
        <w:br w:type="page"/>
      </w:r>
    </w:p>
    <w:p w14:paraId="1EE073DE" w14:textId="77777777" w:rsidR="00D445AB" w:rsidRPr="00D445AB" w:rsidRDefault="00D445AB" w:rsidP="00D445AB">
      <w:pPr>
        <w:suppressAutoHyphens w:val="0"/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D445AB">
        <w:rPr>
          <w:rFonts w:ascii="Lato" w:hAnsi="Lato"/>
          <w:b/>
          <w:bCs/>
          <w:color w:val="00B0F0"/>
          <w:sz w:val="28"/>
          <w:szCs w:val="28"/>
        </w:rPr>
        <w:lastRenderedPageBreak/>
        <w:t>KWESTIA PRESKRYPCJI PRODUKTÓW Z APIXABANEM W LECZENIU PROFILAKTYCZNYM PACJENTÓW Z MIGOTANIEM PRZEDSIONKÓW OD 1 KWIETNIA 2026 R.</w:t>
      </w:r>
    </w:p>
    <w:p w14:paraId="23C9D801" w14:textId="77777777" w:rsidR="00D445AB" w:rsidRPr="00D445AB" w:rsidRDefault="00D445AB" w:rsidP="00D445AB">
      <w:pPr>
        <w:spacing w:before="240" w:after="120" w:line="360" w:lineRule="auto"/>
        <w:jc w:val="both"/>
        <w:rPr>
          <w:rFonts w:ascii="Lato" w:hAnsi="Lato"/>
        </w:rPr>
      </w:pPr>
      <w:r w:rsidRPr="00D445AB">
        <w:rPr>
          <w:rFonts w:ascii="Lato" w:hAnsi="Lato"/>
        </w:rPr>
        <w:t xml:space="preserve">Produkty lecznicze z apixabenem będą dostępne w niżej wymienionym wskazaniu klinicznym wyłącznie za odpłatnością 30% - nowe wskazanie, </w:t>
      </w:r>
      <w:r w:rsidRPr="00D445AB">
        <w:rPr>
          <w:rFonts w:ascii="Lato" w:hAnsi="Lato"/>
          <w:b/>
          <w:bCs/>
          <w:u w:val="single"/>
        </w:rPr>
        <w:t>analogicznie jak wskazanie rywaroksabanu i dabigatranu w leczeniu profilaktycznym pacjentów z migotaniem przedsionków od 1 stycznia 2025 r., nie zostało uwzględnione na wykazie bezpłatnych leków dla pacjentów po ukończeniu 65. roku życia.</w:t>
      </w:r>
      <w:r w:rsidRPr="00D445AB">
        <w:rPr>
          <w:rFonts w:ascii="Lato" w:hAnsi="Lato"/>
        </w:rPr>
        <w:t xml:space="preserve"> Tym samym Ministerstwo Zdrowia zwraca szczególną uwagę na prawidłowy proces preskrypcji oraz ewentualnej substytucji na poziomie aptecznym tej grupy produktów. Szczegółowe wyjaśnienia zostały zawarte w opublikowanym komunikacie Ministra Zdrowia dotyczącym preskrypcji rywaroksabanu i dabigatranu, dostępnym pod adresem:</w:t>
      </w:r>
    </w:p>
    <w:p w14:paraId="1170555D" w14:textId="77777777" w:rsidR="00D445AB" w:rsidRPr="00D445AB" w:rsidRDefault="00D445AB" w:rsidP="00D445AB">
      <w:pPr>
        <w:spacing w:line="360" w:lineRule="auto"/>
        <w:rPr>
          <w:rFonts w:ascii="Lato" w:hAnsi="Lato"/>
        </w:rPr>
      </w:pPr>
      <w:hyperlink r:id="rId13" w:history="1">
        <w:r w:rsidRPr="00D445AB">
          <w:rPr>
            <w:rStyle w:val="Hipercze"/>
            <w:rFonts w:ascii="Lato" w:hAnsi="Lato"/>
          </w:rPr>
          <w:t>https://www.gov.pl/web/zdrowie/komunikat-ministra-zdrowia-w-sprawie-refundacji-lekow-z-rywaroksabanem-i-dabigatranem-w-leczeniu-pacjentow-z-migotaniem-przedsionkow</w:t>
        </w:r>
      </w:hyperlink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790"/>
        <w:gridCol w:w="5497"/>
        <w:gridCol w:w="5707"/>
      </w:tblGrid>
      <w:tr w:rsidR="00D445AB" w14:paraId="13DC2AA5" w14:textId="77777777" w:rsidTr="00D445AB">
        <w:trPr>
          <w:trHeight w:val="685"/>
        </w:trPr>
        <w:tc>
          <w:tcPr>
            <w:tcW w:w="997" w:type="pct"/>
            <w:shd w:val="clear" w:color="auto" w:fill="9CC2E5" w:themeFill="accent5" w:themeFillTint="99"/>
            <w:vAlign w:val="center"/>
          </w:tcPr>
          <w:p w14:paraId="1D8790B4" w14:textId="77777777" w:rsidR="00D445AB" w:rsidRPr="00D445AB" w:rsidRDefault="00D445AB" w:rsidP="00D445AB">
            <w:pPr>
              <w:autoSpaceDN w:val="0"/>
              <w:spacing w:before="60" w:after="60"/>
              <w:jc w:val="center"/>
              <w:textAlignment w:val="baseline"/>
              <w:rPr>
                <w:rFonts w:ascii="Lato" w:eastAsia="Calibri" w:hAnsi="Lato" w:cstheme="majorHAns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  <w:r w:rsidRPr="00D445AB">
              <w:rPr>
                <w:rFonts w:ascii="Lato" w:eastAsia="Calibri" w:hAnsi="Lato" w:cstheme="majorHAns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  <w:t>Leki z substancją czynną</w:t>
            </w:r>
          </w:p>
        </w:tc>
        <w:tc>
          <w:tcPr>
            <w:tcW w:w="1964" w:type="pct"/>
            <w:shd w:val="clear" w:color="auto" w:fill="9CC2E5" w:themeFill="accent5" w:themeFillTint="99"/>
            <w:vAlign w:val="center"/>
          </w:tcPr>
          <w:p w14:paraId="74C6FA8A" w14:textId="77777777" w:rsidR="00D445AB" w:rsidRPr="00D445AB" w:rsidRDefault="00D445AB" w:rsidP="00D445AB">
            <w:pPr>
              <w:jc w:val="center"/>
              <w:rPr>
                <w:rFonts w:ascii="Lato" w:eastAsia="Calibri" w:hAnsi="Lato" w:cstheme="majorHAns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  <w:r w:rsidRPr="00D445AB">
              <w:rPr>
                <w:rFonts w:ascii="Lato" w:eastAsia="Calibri" w:hAnsi="Lato" w:cstheme="majorHAns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  <w:t>Wskazania uwzględnione na liście D2 tj. leków bezpłatnych powyżej 65 r.ż.</w:t>
            </w:r>
          </w:p>
        </w:tc>
        <w:tc>
          <w:tcPr>
            <w:tcW w:w="2039" w:type="pct"/>
            <w:shd w:val="clear" w:color="auto" w:fill="9CC2E5" w:themeFill="accent5" w:themeFillTint="99"/>
            <w:vAlign w:val="center"/>
          </w:tcPr>
          <w:p w14:paraId="10868655" w14:textId="77777777" w:rsidR="00D445AB" w:rsidRPr="00D445AB" w:rsidRDefault="00D445AB" w:rsidP="00D445AB">
            <w:pPr>
              <w:jc w:val="center"/>
              <w:rPr>
                <w:rFonts w:ascii="Lato" w:eastAsia="Calibri" w:hAnsi="Lato" w:cstheme="majorHAns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  <w:r w:rsidRPr="00D445AB">
              <w:rPr>
                <w:rFonts w:ascii="Lato" w:eastAsia="Calibri" w:hAnsi="Lato" w:cstheme="majorHAns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  <w:t xml:space="preserve">Wskazania </w:t>
            </w:r>
            <w:r w:rsidRPr="00D445AB">
              <w:rPr>
                <w:rFonts w:ascii="Lato" w:eastAsia="Calibri" w:hAnsi="Lato" w:cstheme="majorHAnsi"/>
                <w:b/>
                <w:bCs/>
                <w:color w:val="000000"/>
                <w:kern w:val="0"/>
                <w:sz w:val="19"/>
                <w:szCs w:val="19"/>
                <w:u w:val="single"/>
                <w14:ligatures w14:val="none"/>
              </w:rPr>
              <w:t>nieuwzględnione</w:t>
            </w:r>
            <w:r w:rsidRPr="00D445AB">
              <w:rPr>
                <w:rFonts w:ascii="Lato" w:eastAsia="Calibri" w:hAnsi="Lato" w:cstheme="majorHAns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  <w:t xml:space="preserve"> na liście D2 tj. leków bezpłatnych powyżej 65 r.ż.</w:t>
            </w:r>
          </w:p>
        </w:tc>
      </w:tr>
      <w:tr w:rsidR="00D445AB" w14:paraId="06F3341A" w14:textId="77777777" w:rsidTr="00D445AB">
        <w:tc>
          <w:tcPr>
            <w:tcW w:w="997" w:type="pct"/>
            <w:vAlign w:val="center"/>
          </w:tcPr>
          <w:p w14:paraId="005CC586" w14:textId="060DF3DD" w:rsidR="00D445AB" w:rsidRPr="00D445AB" w:rsidRDefault="00D445AB" w:rsidP="002D0E3F">
            <w:pPr>
              <w:rPr>
                <w:rFonts w:ascii="Lato" w:hAnsi="Lato"/>
                <w:sz w:val="18"/>
                <w:szCs w:val="18"/>
              </w:rPr>
            </w:pPr>
            <w:r w:rsidRPr="00D445AB">
              <w:rPr>
                <w:rFonts w:ascii="Lato" w:hAnsi="Lato"/>
                <w:sz w:val="18"/>
                <w:szCs w:val="18"/>
              </w:rPr>
              <w:t xml:space="preserve">Apixaban </w:t>
            </w:r>
            <w:r w:rsidRPr="00D445AB">
              <w:rPr>
                <w:rFonts w:ascii="Lato" w:hAnsi="Lato"/>
                <w:sz w:val="18"/>
                <w:szCs w:val="18"/>
              </w:rPr>
              <w:br/>
              <w:t>(od 1.04.2026</w:t>
            </w:r>
            <w:r w:rsidR="00DD3D78">
              <w:rPr>
                <w:rFonts w:ascii="Lato" w:hAnsi="Lato"/>
                <w:sz w:val="18"/>
                <w:szCs w:val="18"/>
              </w:rPr>
              <w:t xml:space="preserve"> </w:t>
            </w:r>
            <w:r w:rsidRPr="00D445AB">
              <w:rPr>
                <w:rFonts w:ascii="Lato" w:hAnsi="Lato"/>
                <w:sz w:val="18"/>
                <w:szCs w:val="18"/>
              </w:rPr>
              <w:t>r.)</w:t>
            </w:r>
          </w:p>
        </w:tc>
        <w:tc>
          <w:tcPr>
            <w:tcW w:w="1964" w:type="pct"/>
            <w:vAlign w:val="center"/>
          </w:tcPr>
          <w:p w14:paraId="02126765" w14:textId="77777777" w:rsidR="00D445AB" w:rsidRPr="00D445AB" w:rsidRDefault="00D445AB" w:rsidP="00D445AB">
            <w:pPr>
              <w:pStyle w:val="Akapitzlist"/>
              <w:numPr>
                <w:ilvl w:val="0"/>
                <w:numId w:val="28"/>
              </w:numPr>
              <w:suppressAutoHyphens w:val="0"/>
              <w:rPr>
                <w:rFonts w:ascii="Lato" w:hAnsi="Lato"/>
                <w:sz w:val="18"/>
                <w:szCs w:val="18"/>
              </w:rPr>
            </w:pPr>
            <w:r w:rsidRPr="00D445AB">
              <w:rPr>
                <w:rFonts w:ascii="Lato" w:hAnsi="Lato"/>
                <w:sz w:val="18"/>
                <w:szCs w:val="18"/>
              </w:rPr>
              <w:t>Żylne powikłania zakrzepowo-zatorowe u dorosłych pacjentów po przebytej planowej alloplastyce całkowitej stawu biodrowego (do 38 dnia po przebytej alloplastyce) lub kolanowego (do 14 dnia po przebytej alloplastyce) - prewencja pierwotna;</w:t>
            </w:r>
          </w:p>
          <w:p w14:paraId="1140F867" w14:textId="77777777" w:rsidR="00D445AB" w:rsidRDefault="00D445AB" w:rsidP="00D445AB">
            <w:pPr>
              <w:pStyle w:val="Akapitzlist"/>
              <w:suppressAutoHyphens w:val="0"/>
              <w:ind w:left="360"/>
              <w:rPr>
                <w:rFonts w:ascii="Lato" w:hAnsi="Lato"/>
                <w:sz w:val="18"/>
                <w:szCs w:val="18"/>
              </w:rPr>
            </w:pPr>
          </w:p>
          <w:p w14:paraId="17154CA3" w14:textId="64AE640B" w:rsidR="00D445AB" w:rsidRPr="00D445AB" w:rsidRDefault="00D445AB" w:rsidP="00D445AB">
            <w:pPr>
              <w:pStyle w:val="Akapitzlist"/>
              <w:numPr>
                <w:ilvl w:val="0"/>
                <w:numId w:val="28"/>
              </w:numPr>
              <w:suppressAutoHyphens w:val="0"/>
              <w:rPr>
                <w:rFonts w:ascii="Lato" w:hAnsi="Lato"/>
                <w:sz w:val="18"/>
                <w:szCs w:val="18"/>
              </w:rPr>
            </w:pPr>
            <w:r w:rsidRPr="00D445AB">
              <w:rPr>
                <w:rFonts w:ascii="Lato" w:hAnsi="Lato"/>
                <w:sz w:val="18"/>
                <w:szCs w:val="18"/>
              </w:rPr>
              <w:t>Leczenie zakrzepicy żył głębokich lub zatorowości płucnej oraz profilaktyka nawrotowej zakrzepicy żył głębokich i zatorowości płucne</w:t>
            </w:r>
          </w:p>
        </w:tc>
        <w:tc>
          <w:tcPr>
            <w:tcW w:w="2039" w:type="pct"/>
            <w:vAlign w:val="center"/>
          </w:tcPr>
          <w:p w14:paraId="2729BAE2" w14:textId="77777777" w:rsidR="00D445AB" w:rsidRPr="00D445AB" w:rsidRDefault="00D445AB" w:rsidP="00D445AB">
            <w:pPr>
              <w:pStyle w:val="Akapitzlist"/>
              <w:numPr>
                <w:ilvl w:val="0"/>
                <w:numId w:val="29"/>
              </w:numPr>
              <w:suppressAutoHyphens w:val="0"/>
              <w:rPr>
                <w:rFonts w:ascii="Lato" w:hAnsi="Lato"/>
                <w:sz w:val="18"/>
                <w:szCs w:val="18"/>
              </w:rPr>
            </w:pPr>
            <w:r w:rsidRPr="00D445AB">
              <w:rPr>
                <w:rFonts w:ascii="Lato" w:hAnsi="Lato"/>
                <w:sz w:val="18"/>
                <w:szCs w:val="18"/>
              </w:rPr>
              <w:t>Zapobieganie udarom mózgu i zatorowości systemowej u dorosłych pacjentów z niezastawkowym migotaniem przedsionków z co najmniej jednym czynnikiem ryzyka, takim jak przebyty udar mózgu lub przemijający napad niedokrwienny; wiek ≥75 lat; nadciśnienie tętnicze; cukrzyca; objawowa niewydolność serca (klasa wg NYHA ≥II)</w:t>
            </w:r>
          </w:p>
        </w:tc>
      </w:tr>
      <w:tr w:rsidR="00D445AB" w14:paraId="421E00F2" w14:textId="77777777" w:rsidTr="00D445AB">
        <w:tc>
          <w:tcPr>
            <w:tcW w:w="997" w:type="pct"/>
            <w:vAlign w:val="center"/>
          </w:tcPr>
          <w:p w14:paraId="3B2289EC" w14:textId="77777777" w:rsidR="00D445AB" w:rsidRPr="00D445AB" w:rsidRDefault="00D445AB" w:rsidP="002D0E3F">
            <w:pPr>
              <w:rPr>
                <w:rFonts w:ascii="Lato" w:hAnsi="Lato"/>
                <w:sz w:val="18"/>
                <w:szCs w:val="18"/>
              </w:rPr>
            </w:pPr>
            <w:r w:rsidRPr="00D445AB">
              <w:rPr>
                <w:rFonts w:ascii="Lato" w:hAnsi="Lato"/>
                <w:sz w:val="18"/>
                <w:szCs w:val="18"/>
              </w:rPr>
              <w:t>Rywaroksaban</w:t>
            </w:r>
            <w:r w:rsidRPr="00D445AB">
              <w:rPr>
                <w:rFonts w:ascii="Lato" w:hAnsi="Lato"/>
                <w:sz w:val="18"/>
                <w:szCs w:val="18"/>
              </w:rPr>
              <w:br/>
              <w:t>(od 1.01.2025 r.)</w:t>
            </w:r>
          </w:p>
        </w:tc>
        <w:tc>
          <w:tcPr>
            <w:tcW w:w="1964" w:type="pct"/>
            <w:vAlign w:val="center"/>
          </w:tcPr>
          <w:p w14:paraId="3711F4F8" w14:textId="04864B4F" w:rsidR="00D445AB" w:rsidRPr="00D445AB" w:rsidRDefault="00D445AB" w:rsidP="00D445AB">
            <w:pPr>
              <w:pStyle w:val="Akapitzlist"/>
              <w:numPr>
                <w:ilvl w:val="0"/>
                <w:numId w:val="32"/>
              </w:numPr>
              <w:suppressAutoHyphens w:val="0"/>
              <w:rPr>
                <w:rFonts w:ascii="Lato" w:hAnsi="Lato"/>
                <w:sz w:val="18"/>
                <w:szCs w:val="18"/>
              </w:rPr>
            </w:pPr>
            <w:r w:rsidRPr="00D445AB">
              <w:rPr>
                <w:rFonts w:ascii="Lato" w:hAnsi="Lato"/>
                <w:sz w:val="18"/>
                <w:szCs w:val="18"/>
              </w:rPr>
              <w:t>Leczenie zakrzepicy żył głębokich u osób powyżej 18 roku życia; Profilaktyka nawrotów zakrzepicy żył głębokich lub zatorowości płucnej - po ostrej zakrzepicy żył głębokich u osób powyżej 18 roku życia; Leczenie zatorowości płucnej oraz profilaktyka nawrotowej zakrzepicy żył głębokich i zatorowości płucnej u dorosłych (A)</w:t>
            </w:r>
            <w:r>
              <w:rPr>
                <w:rFonts w:ascii="Lato" w:hAnsi="Lato"/>
                <w:sz w:val="18"/>
                <w:szCs w:val="18"/>
              </w:rPr>
              <w:br/>
            </w:r>
          </w:p>
          <w:p w14:paraId="46EFA22A" w14:textId="77777777" w:rsidR="00D445AB" w:rsidRPr="00D445AB" w:rsidRDefault="00D445AB" w:rsidP="00D445AB">
            <w:pPr>
              <w:numPr>
                <w:ilvl w:val="0"/>
                <w:numId w:val="32"/>
              </w:numPr>
              <w:suppressAutoHyphens w:val="0"/>
              <w:rPr>
                <w:rFonts w:ascii="Lato" w:hAnsi="Lato"/>
                <w:sz w:val="18"/>
                <w:szCs w:val="18"/>
              </w:rPr>
            </w:pPr>
            <w:r w:rsidRPr="00D445AB">
              <w:rPr>
                <w:rFonts w:ascii="Lato" w:hAnsi="Lato"/>
                <w:sz w:val="18"/>
                <w:szCs w:val="18"/>
              </w:rPr>
              <w:lastRenderedPageBreak/>
              <w:t>Żylne powikłania zakrzepowo-zatorowe u dorosłych pacjentów po przebytej planowej alloplastyce całkowitej stawu biodrowego (do 30 dnia po przebytej alloplastyce) lub kolanowego (do 14 dnia po przebytej alloplastyce) - prewencja pierwotna</w:t>
            </w:r>
          </w:p>
        </w:tc>
        <w:tc>
          <w:tcPr>
            <w:tcW w:w="2039" w:type="pct"/>
            <w:vAlign w:val="center"/>
          </w:tcPr>
          <w:p w14:paraId="722CF774" w14:textId="77777777" w:rsidR="00D445AB" w:rsidRPr="00D445AB" w:rsidRDefault="00D445AB" w:rsidP="00D445AB">
            <w:pPr>
              <w:pStyle w:val="Akapitzlist"/>
              <w:numPr>
                <w:ilvl w:val="0"/>
                <w:numId w:val="33"/>
              </w:numPr>
              <w:suppressAutoHyphens w:val="0"/>
              <w:rPr>
                <w:rFonts w:ascii="Lato" w:hAnsi="Lato"/>
                <w:sz w:val="18"/>
                <w:szCs w:val="18"/>
              </w:rPr>
            </w:pPr>
            <w:r w:rsidRPr="00D445AB">
              <w:rPr>
                <w:rFonts w:ascii="Lato" w:hAnsi="Lato"/>
                <w:sz w:val="18"/>
                <w:szCs w:val="18"/>
              </w:rPr>
              <w:lastRenderedPageBreak/>
              <w:t>Profilaktyka udarów i zatorowości obwodowej u dorosłych pacjentów z migotaniem przedsionków niezwiązanym z wadą zastawkową, z jednym lub kilkoma czynnikami ryzyka, takimi jak wcześniejszy udar lub przemijający napad niedokrwienny, wiek ≥75 lat, nadciśnienie tętnicze, cukrzyca, zastoinowa niewydolność serca</w:t>
            </w:r>
          </w:p>
        </w:tc>
      </w:tr>
      <w:tr w:rsidR="00D445AB" w14:paraId="4B34B1EF" w14:textId="77777777" w:rsidTr="00D445AB">
        <w:tc>
          <w:tcPr>
            <w:tcW w:w="997" w:type="pct"/>
            <w:vAlign w:val="center"/>
          </w:tcPr>
          <w:p w14:paraId="14171BA8" w14:textId="77777777" w:rsidR="00D445AB" w:rsidRPr="00D445AB" w:rsidRDefault="00D445AB" w:rsidP="002D0E3F">
            <w:pPr>
              <w:rPr>
                <w:rFonts w:ascii="Lato" w:hAnsi="Lato"/>
                <w:sz w:val="18"/>
                <w:szCs w:val="18"/>
              </w:rPr>
            </w:pPr>
            <w:r w:rsidRPr="00D445AB">
              <w:rPr>
                <w:rFonts w:ascii="Lato" w:hAnsi="Lato"/>
                <w:sz w:val="18"/>
                <w:szCs w:val="18"/>
              </w:rPr>
              <w:t xml:space="preserve">Dabigatran </w:t>
            </w:r>
            <w:r w:rsidRPr="00D445AB">
              <w:rPr>
                <w:rFonts w:ascii="Lato" w:hAnsi="Lato"/>
                <w:sz w:val="18"/>
                <w:szCs w:val="18"/>
              </w:rPr>
              <w:br/>
              <w:t>(od 1.01.2025 r.)</w:t>
            </w:r>
          </w:p>
        </w:tc>
        <w:tc>
          <w:tcPr>
            <w:tcW w:w="1964" w:type="pct"/>
            <w:vAlign w:val="center"/>
          </w:tcPr>
          <w:p w14:paraId="558CCA68" w14:textId="2F03B88B" w:rsidR="00D445AB" w:rsidRPr="00D445AB" w:rsidRDefault="00D445AB" w:rsidP="00D445AB">
            <w:pPr>
              <w:pStyle w:val="Akapitzlist"/>
              <w:numPr>
                <w:ilvl w:val="0"/>
                <w:numId w:val="31"/>
              </w:numPr>
              <w:suppressAutoHyphens w:val="0"/>
              <w:rPr>
                <w:rFonts w:ascii="Lato" w:hAnsi="Lato"/>
                <w:sz w:val="18"/>
                <w:szCs w:val="18"/>
              </w:rPr>
            </w:pPr>
            <w:r w:rsidRPr="00D445AB">
              <w:rPr>
                <w:rFonts w:ascii="Lato" w:hAnsi="Lato"/>
                <w:sz w:val="18"/>
                <w:szCs w:val="18"/>
              </w:rPr>
              <w:t>Leczenie zakrzepicy żył głębokich lub zatorowości płucnej - u osób powyżej 18 roku życia; Profilaktyka nawrotów zakrzepicy żył głębokich lub zatorowości płucnej - u osób powyżej 18 roku życia;</w:t>
            </w:r>
            <w:r>
              <w:rPr>
                <w:rFonts w:ascii="Lato" w:hAnsi="Lato"/>
                <w:sz w:val="18"/>
                <w:szCs w:val="18"/>
              </w:rPr>
              <w:br/>
            </w:r>
          </w:p>
          <w:p w14:paraId="153DD179" w14:textId="77777777" w:rsidR="00D445AB" w:rsidRPr="00D445AB" w:rsidRDefault="00D445AB" w:rsidP="00D445AB">
            <w:pPr>
              <w:pStyle w:val="Akapitzlist"/>
              <w:numPr>
                <w:ilvl w:val="0"/>
                <w:numId w:val="31"/>
              </w:numPr>
              <w:suppressAutoHyphens w:val="0"/>
              <w:rPr>
                <w:rFonts w:ascii="Lato" w:hAnsi="Lato"/>
                <w:sz w:val="18"/>
                <w:szCs w:val="18"/>
              </w:rPr>
            </w:pPr>
            <w:r w:rsidRPr="00D445AB">
              <w:rPr>
                <w:rFonts w:ascii="Lato" w:hAnsi="Lato"/>
                <w:sz w:val="18"/>
                <w:szCs w:val="18"/>
              </w:rPr>
              <w:t>Żylne powikłania zakrzepowo-zatorowe u dorosłych pacjentów po przebytej planowej alloplastyce całkowitej stawu biodrowego (do 30 dnia po przebytej alloplastyce) lub kolanowego (do 14 dnia po przebytej alloplastyce) - prewencja pierwotna;</w:t>
            </w:r>
          </w:p>
        </w:tc>
        <w:tc>
          <w:tcPr>
            <w:tcW w:w="2039" w:type="pct"/>
            <w:vAlign w:val="center"/>
          </w:tcPr>
          <w:p w14:paraId="7F99D2B0" w14:textId="77777777" w:rsidR="00D445AB" w:rsidRPr="00D445AB" w:rsidRDefault="00D445AB" w:rsidP="00D445AB">
            <w:pPr>
              <w:pStyle w:val="Akapitzlist"/>
              <w:numPr>
                <w:ilvl w:val="0"/>
                <w:numId w:val="30"/>
              </w:numPr>
              <w:suppressAutoHyphens w:val="0"/>
              <w:rPr>
                <w:rFonts w:ascii="Lato" w:hAnsi="Lato"/>
                <w:sz w:val="18"/>
                <w:szCs w:val="18"/>
              </w:rPr>
            </w:pPr>
            <w:r w:rsidRPr="00D445AB">
              <w:rPr>
                <w:rFonts w:ascii="Lato" w:hAnsi="Lato"/>
                <w:sz w:val="18"/>
                <w:szCs w:val="18"/>
              </w:rPr>
              <w:t>Profilaktyka udarów i zatorowości obwodowej u dorosłych pacjentów z migotaniem przedsionków niezwiązanym z wadą zastawkową, z jednym lub kilkoma czynnikami ryzyka, takimi jak wcześniejszy udar lub przemijający napad niedokrwienny, wiek ≥75 lat, nadciśnienie tętnicze, cukrzyca, niewydolność serca (klasa ≥II wg NYHA)</w:t>
            </w:r>
          </w:p>
        </w:tc>
      </w:tr>
    </w:tbl>
    <w:p w14:paraId="3F9AEB60" w14:textId="77777777" w:rsidR="00D445AB" w:rsidRPr="00F153FA" w:rsidRDefault="00D445AB" w:rsidP="00D445AB"/>
    <w:p w14:paraId="35449BA4" w14:textId="77777777" w:rsidR="00D445AB" w:rsidRPr="00F153FA" w:rsidRDefault="00D445AB" w:rsidP="00D445AB"/>
    <w:p w14:paraId="0D986DBB" w14:textId="78B93271" w:rsidR="00D445AB" w:rsidRPr="00D445AB" w:rsidRDefault="00D445AB" w:rsidP="00D445AB">
      <w:pPr>
        <w:spacing w:before="240" w:after="120" w:line="360" w:lineRule="auto"/>
        <w:jc w:val="both"/>
        <w:rPr>
          <w:rFonts w:ascii="Lato" w:hAnsi="Lato"/>
        </w:rPr>
      </w:pPr>
      <w:r w:rsidRPr="00D445AB">
        <w:rPr>
          <w:rFonts w:ascii="Lato" w:hAnsi="Lato"/>
        </w:rPr>
        <w:t xml:space="preserve">Dodatkowo Ministerstwo Zdrowia </w:t>
      </w:r>
      <w:r>
        <w:rPr>
          <w:rFonts w:ascii="Lato" w:hAnsi="Lato"/>
        </w:rPr>
        <w:t>informuje</w:t>
      </w:r>
      <w:r w:rsidRPr="00D445AB">
        <w:rPr>
          <w:rFonts w:ascii="Lato" w:hAnsi="Lato"/>
        </w:rPr>
        <w:t xml:space="preserve">, iż na wniosek podmiotu odpowiedzialnego Boehringer Ingelheim Sp. z o.o. </w:t>
      </w:r>
      <w:r>
        <w:rPr>
          <w:rFonts w:ascii="Lato" w:hAnsi="Lato"/>
        </w:rPr>
        <w:t>produkt leczniczy</w:t>
      </w:r>
      <w:r w:rsidRPr="00D445AB">
        <w:rPr>
          <w:rFonts w:ascii="Lato" w:hAnsi="Lato"/>
        </w:rPr>
        <w:t xml:space="preserve"> Pradaxa został wyłączony z bezpłatnego wykazu 65+.</w:t>
      </w:r>
      <w:r>
        <w:rPr>
          <w:rFonts w:ascii="Lato" w:hAnsi="Lato"/>
        </w:rPr>
        <w:t xml:space="preserve"> Jednocześnie, w dalszym ciągu pozostaje dostęp do bezpłatnych leków z dabigatranem, bowiem </w:t>
      </w:r>
      <w:r w:rsidRPr="00D445AB">
        <w:rPr>
          <w:rFonts w:ascii="Lato" w:hAnsi="Lato"/>
        </w:rPr>
        <w:t xml:space="preserve">w refundacji pozostaje 13 indywidualnych produktów leczniczych </w:t>
      </w:r>
      <w:r>
        <w:rPr>
          <w:rFonts w:ascii="Lato" w:hAnsi="Lato"/>
        </w:rPr>
        <w:t xml:space="preserve">z tą samą substancją czynną </w:t>
      </w:r>
      <w:r w:rsidRPr="00D445AB">
        <w:rPr>
          <w:rFonts w:ascii="Lato" w:hAnsi="Lato"/>
        </w:rPr>
        <w:t>(kody GTIN) dostępnych w ramach listy D2 - leków bezpłatnych dla osób powyżej 65 r.ż.</w:t>
      </w:r>
    </w:p>
    <w:p w14:paraId="0AD80B17" w14:textId="77777777" w:rsidR="00D445AB" w:rsidRDefault="00D445AB" w:rsidP="00D53AC0">
      <w:pPr>
        <w:suppressAutoHyphens w:val="0"/>
        <w:jc w:val="center"/>
        <w:rPr>
          <w:rFonts w:ascii="Lato" w:hAnsi="Lato"/>
          <w:b/>
          <w:bCs/>
          <w:color w:val="00B0F0"/>
          <w:sz w:val="28"/>
          <w:szCs w:val="28"/>
        </w:rPr>
      </w:pPr>
    </w:p>
    <w:p w14:paraId="570D2A6A" w14:textId="2BB6473F" w:rsidR="00D53AC0" w:rsidRPr="00D53AC0" w:rsidRDefault="00D53AC0" w:rsidP="00D53AC0">
      <w:pPr>
        <w:suppressAutoHyphens w:val="0"/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D53AC0">
        <w:rPr>
          <w:rFonts w:ascii="Lato" w:hAnsi="Lato"/>
          <w:b/>
          <w:bCs/>
          <w:color w:val="00B0F0"/>
          <w:sz w:val="28"/>
          <w:szCs w:val="28"/>
        </w:rPr>
        <w:t>BRAK REFUNDACJI LEKU SIGNIFOR W RAMACH PROGRAMU B.118 LECZENIE PACJENTÓW Z CHOROBĄ CUSHINGA (ICD-10: E24.0)</w:t>
      </w:r>
    </w:p>
    <w:p w14:paraId="5E76055E" w14:textId="77777777" w:rsidR="00D53AC0" w:rsidRPr="00D53AC0" w:rsidRDefault="00D53AC0" w:rsidP="00D53AC0">
      <w:pPr>
        <w:spacing w:before="240" w:after="120" w:line="360" w:lineRule="auto"/>
        <w:jc w:val="both"/>
        <w:rPr>
          <w:rFonts w:ascii="Lato" w:hAnsi="Lato"/>
        </w:rPr>
      </w:pPr>
      <w:r w:rsidRPr="00D53AC0">
        <w:rPr>
          <w:rFonts w:ascii="Lato" w:hAnsi="Lato"/>
        </w:rPr>
        <w:t>Dniem 31 marca 2026 r. upływa termin obowiązywania decyzji o objęciu refundacją leków:</w:t>
      </w:r>
    </w:p>
    <w:p w14:paraId="5A03755D" w14:textId="6C7514E1" w:rsidR="00D53AC0" w:rsidRPr="00D53AC0" w:rsidRDefault="00D53AC0" w:rsidP="00D53AC0">
      <w:pPr>
        <w:pStyle w:val="Akapitzlist"/>
        <w:numPr>
          <w:ilvl w:val="0"/>
          <w:numId w:val="27"/>
        </w:numPr>
        <w:spacing w:before="240" w:after="120" w:line="360" w:lineRule="auto"/>
        <w:jc w:val="both"/>
        <w:rPr>
          <w:rFonts w:ascii="Lato" w:hAnsi="Lato"/>
        </w:rPr>
      </w:pPr>
      <w:r w:rsidRPr="00D53AC0">
        <w:rPr>
          <w:rFonts w:ascii="Lato" w:hAnsi="Lato"/>
        </w:rPr>
        <w:t>Signifor, Pasireotidum, proszek i rozpuszczalnik do sporządzania zawiesiny do wstrzykiwań, 20 mg, 1 fiol. proszku + 1 amp.-strzyk. 2 ml rozp. + 1 igła + 1 łącznik fiolki, GTIN: 03663502003534</w:t>
      </w:r>
      <w:r>
        <w:rPr>
          <w:rFonts w:ascii="Lato" w:hAnsi="Lato"/>
        </w:rPr>
        <w:t>,</w:t>
      </w:r>
    </w:p>
    <w:p w14:paraId="644099E1" w14:textId="6BAE3932" w:rsidR="00D53AC0" w:rsidRPr="00D53AC0" w:rsidRDefault="00D53AC0" w:rsidP="00D53AC0">
      <w:pPr>
        <w:pStyle w:val="Akapitzlist"/>
        <w:numPr>
          <w:ilvl w:val="0"/>
          <w:numId w:val="27"/>
        </w:numPr>
        <w:spacing w:before="240" w:after="120" w:line="360" w:lineRule="auto"/>
        <w:jc w:val="both"/>
        <w:rPr>
          <w:rFonts w:ascii="Lato" w:hAnsi="Lato"/>
        </w:rPr>
      </w:pPr>
      <w:r w:rsidRPr="00D53AC0">
        <w:rPr>
          <w:rFonts w:ascii="Lato" w:hAnsi="Lato"/>
        </w:rPr>
        <w:lastRenderedPageBreak/>
        <w:t>Signifor, Pasireotidum, proszek i rozpuszczalnik do sporządzania zawiesiny do wstrzykiwań, 30 mg, 1 fiol. proszku + 1 amp.-strzyk. 2 ml rozp. + 1 igła + 1 łącznik fiolki, GTIN: 03663502003527</w:t>
      </w:r>
      <w:r>
        <w:rPr>
          <w:rFonts w:ascii="Lato" w:hAnsi="Lato"/>
        </w:rPr>
        <w:t>.</w:t>
      </w:r>
    </w:p>
    <w:p w14:paraId="7E1D958F" w14:textId="5012BC8B" w:rsidR="00D53AC0" w:rsidRPr="00D53AC0" w:rsidRDefault="00D53AC0" w:rsidP="00D53AC0">
      <w:pPr>
        <w:pStyle w:val="Akapitzlist"/>
        <w:numPr>
          <w:ilvl w:val="0"/>
          <w:numId w:val="27"/>
        </w:numPr>
        <w:spacing w:before="240" w:after="120" w:line="360" w:lineRule="auto"/>
        <w:jc w:val="both"/>
        <w:rPr>
          <w:rFonts w:ascii="Lato" w:hAnsi="Lato"/>
        </w:rPr>
      </w:pPr>
      <w:r w:rsidRPr="00D53AC0">
        <w:rPr>
          <w:rFonts w:ascii="Lato" w:hAnsi="Lato"/>
        </w:rPr>
        <w:t>Signifor, Pasireotidum, proszek i rozpuszczalnik do sporządzania zawiesiny do wstrzykiwań, 40 mg, 1 fiol. proszku + 1 amp.-strzyk. 2 ml rozp. + 1 igła + 1 łącznik fiolki, GTIN: 03663502003510</w:t>
      </w:r>
      <w:r>
        <w:rPr>
          <w:rFonts w:ascii="Lato" w:hAnsi="Lato"/>
        </w:rPr>
        <w:t>,</w:t>
      </w:r>
    </w:p>
    <w:p w14:paraId="755B01C2" w14:textId="6AD9F7F6" w:rsidR="00D53AC0" w:rsidRPr="00D53AC0" w:rsidRDefault="00D53AC0" w:rsidP="00D53AC0">
      <w:pPr>
        <w:spacing w:before="240" w:after="120" w:line="360" w:lineRule="auto"/>
        <w:jc w:val="both"/>
        <w:rPr>
          <w:rFonts w:ascii="Lato" w:hAnsi="Lato"/>
        </w:rPr>
      </w:pPr>
      <w:r w:rsidRPr="00D53AC0">
        <w:rPr>
          <w:rFonts w:ascii="Lato" w:hAnsi="Lato"/>
        </w:rPr>
        <w:t>w ramach programu lekowego B.118 Leczenie pacjentów z chorobą Cushinga (ICD-10: E24.0). Wnioskodawca Recordati Rare Diseases SARL</w:t>
      </w:r>
      <w:r>
        <w:rPr>
          <w:rFonts w:ascii="Lato" w:hAnsi="Lato"/>
        </w:rPr>
        <w:t xml:space="preserve"> </w:t>
      </w:r>
      <w:r w:rsidRPr="00D53AC0">
        <w:rPr>
          <w:rFonts w:ascii="Lato" w:hAnsi="Lato"/>
        </w:rPr>
        <w:t>przedłożył wniosk</w:t>
      </w:r>
      <w:r>
        <w:rPr>
          <w:rFonts w:ascii="Lato" w:hAnsi="Lato"/>
        </w:rPr>
        <w:t>i</w:t>
      </w:r>
      <w:r w:rsidRPr="00D53AC0">
        <w:rPr>
          <w:rFonts w:ascii="Lato" w:hAnsi="Lato"/>
        </w:rPr>
        <w:t xml:space="preserve"> o kontynuację refundacji na kolejny okres obowiązywania, </w:t>
      </w:r>
      <w:r>
        <w:rPr>
          <w:rFonts w:ascii="Lato" w:hAnsi="Lato"/>
        </w:rPr>
        <w:t xml:space="preserve">jednakże w toku postępowania refundacyjnego </w:t>
      </w:r>
      <w:r w:rsidRPr="00D53AC0">
        <w:rPr>
          <w:rFonts w:ascii="Lato" w:hAnsi="Lato"/>
        </w:rPr>
        <w:t xml:space="preserve">jako że podmiot odpowiedzialny dla leku </w:t>
      </w:r>
      <w:r>
        <w:rPr>
          <w:rFonts w:ascii="Lato" w:hAnsi="Lato"/>
        </w:rPr>
        <w:t xml:space="preserve">Signifor </w:t>
      </w:r>
      <w:r w:rsidRPr="00D53AC0">
        <w:rPr>
          <w:rFonts w:ascii="Lato" w:hAnsi="Lato"/>
        </w:rPr>
        <w:t xml:space="preserve">podjął decyzję o </w:t>
      </w:r>
      <w:r>
        <w:rPr>
          <w:rFonts w:ascii="Lato" w:hAnsi="Lato"/>
        </w:rPr>
        <w:t>wycofaniu przedmiotowych</w:t>
      </w:r>
      <w:r w:rsidRPr="00D53AC0">
        <w:rPr>
          <w:rFonts w:ascii="Lato" w:hAnsi="Lato"/>
        </w:rPr>
        <w:t xml:space="preserve"> wniosk</w:t>
      </w:r>
      <w:r>
        <w:rPr>
          <w:rFonts w:ascii="Lato" w:hAnsi="Lato"/>
        </w:rPr>
        <w:t>ów</w:t>
      </w:r>
      <w:r w:rsidRPr="00D53AC0">
        <w:rPr>
          <w:rFonts w:ascii="Lato" w:hAnsi="Lato"/>
        </w:rPr>
        <w:t xml:space="preserve"> o przedłużenie </w:t>
      </w:r>
      <w:r>
        <w:rPr>
          <w:rFonts w:ascii="Lato" w:hAnsi="Lato"/>
        </w:rPr>
        <w:t xml:space="preserve">refundacji w ramach programu B.118. Mając na względzie, iż produkt leczniczy Signifor do dnia 31 marca 2026 r. jest jedynym lekiem finansowanym w ramach wspomnianego wyżej programu lekowego, z dniem 1 kwietnia 2026 r. program ten zostanie zamknięty. </w:t>
      </w:r>
    </w:p>
    <w:p w14:paraId="623741A8" w14:textId="55A0F153" w:rsidR="00926924" w:rsidRDefault="00D53AC0" w:rsidP="00D53AC0">
      <w:pPr>
        <w:spacing w:before="240" w:after="12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Jednocześnie Wnioskodawca poinformował, iż celem </w:t>
      </w:r>
      <w:r w:rsidRPr="00D53AC0">
        <w:rPr>
          <w:rFonts w:ascii="Lato" w:hAnsi="Lato"/>
        </w:rPr>
        <w:t xml:space="preserve">zabezpieczenia kontynuacji terapii chorych, którzy są aktualnie </w:t>
      </w:r>
      <w:r>
        <w:rPr>
          <w:rFonts w:ascii="Lato" w:hAnsi="Lato"/>
        </w:rPr>
        <w:t>pozostają leczeni w ramach programu lekowego B.118,</w:t>
      </w:r>
      <w:r w:rsidRPr="00D53AC0">
        <w:rPr>
          <w:rFonts w:ascii="Lato" w:hAnsi="Lato"/>
        </w:rPr>
        <w:t xml:space="preserve"> deklaruje złożenie do N</w:t>
      </w:r>
      <w:r>
        <w:rPr>
          <w:rFonts w:ascii="Lato" w:hAnsi="Lato"/>
        </w:rPr>
        <w:t xml:space="preserve">arodowego </w:t>
      </w:r>
      <w:r w:rsidRPr="00D53AC0">
        <w:rPr>
          <w:rFonts w:ascii="Lato" w:hAnsi="Lato"/>
        </w:rPr>
        <w:t>F</w:t>
      </w:r>
      <w:r>
        <w:rPr>
          <w:rFonts w:ascii="Lato" w:hAnsi="Lato"/>
        </w:rPr>
        <w:t xml:space="preserve">unduszu </w:t>
      </w:r>
      <w:r w:rsidRPr="00D53AC0">
        <w:rPr>
          <w:rFonts w:ascii="Lato" w:hAnsi="Lato"/>
        </w:rPr>
        <w:t>Z</w:t>
      </w:r>
      <w:r>
        <w:rPr>
          <w:rFonts w:ascii="Lato" w:hAnsi="Lato"/>
        </w:rPr>
        <w:t>drowia odpowiednich</w:t>
      </w:r>
      <w:r w:rsidRPr="00D53AC0">
        <w:rPr>
          <w:rFonts w:ascii="Lato" w:hAnsi="Lato"/>
        </w:rPr>
        <w:t xml:space="preserve"> wniosków na podstawie art. 37b ustawy z dnia 12 maja 2011 r. o refundacji leków, środków spożywczych specjalnego przeznaczenia żywieniowego oraz wyrobów medycznych.</w:t>
      </w:r>
    </w:p>
    <w:p w14:paraId="4D578FCF" w14:textId="77777777" w:rsidR="00D445AB" w:rsidRPr="00D53AC0" w:rsidRDefault="00D445AB" w:rsidP="00D53AC0">
      <w:pPr>
        <w:spacing w:before="240" w:after="120" w:line="360" w:lineRule="auto"/>
        <w:jc w:val="both"/>
        <w:rPr>
          <w:rFonts w:ascii="Lato" w:hAnsi="Lato"/>
        </w:rPr>
      </w:pPr>
    </w:p>
    <w:sectPr w:rsidR="00D445AB" w:rsidRPr="00D53AC0" w:rsidSect="005058F2">
      <w:headerReference w:type="first" r:id="rId14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B6A9B" w14:textId="77777777" w:rsidR="0021172C" w:rsidRDefault="0021172C">
      <w:pPr>
        <w:spacing w:after="0" w:line="240" w:lineRule="auto"/>
      </w:pPr>
      <w:r>
        <w:separator/>
      </w:r>
    </w:p>
  </w:endnote>
  <w:endnote w:type="continuationSeparator" w:id="0">
    <w:p w14:paraId="5B2E9EF6" w14:textId="77777777" w:rsidR="0021172C" w:rsidRDefault="00211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2F817" w14:textId="77777777" w:rsidR="0021172C" w:rsidRDefault="0021172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51DAAC" w14:textId="77777777" w:rsidR="0021172C" w:rsidRDefault="00211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A8B0" w14:textId="77777777" w:rsidR="00DD0639" w:rsidRDefault="00DD0639">
    <w:pPr>
      <w:pStyle w:val="Nagwek"/>
    </w:pPr>
    <w:r>
      <w:rPr>
        <w:noProof/>
        <w:lang w:eastAsia="pl-PL"/>
      </w:rPr>
      <w:drawing>
        <wp:inline distT="0" distB="0" distL="0" distR="0" wp14:anchorId="302D1DAD" wp14:editId="4DD84965">
          <wp:extent cx="2381885" cy="1061720"/>
          <wp:effectExtent l="0" t="0" r="0" b="0"/>
          <wp:docPr id="1654198235" name="Obraz 1654198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2B0D" w14:textId="498A510F" w:rsidR="00AB647D" w:rsidRDefault="00AB64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77316" w14:textId="2C7B00ED" w:rsidR="00AB647D" w:rsidRDefault="00AB64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3252"/>
    <w:multiLevelType w:val="hybridMultilevel"/>
    <w:tmpl w:val="6CE62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81B6B"/>
    <w:multiLevelType w:val="hybridMultilevel"/>
    <w:tmpl w:val="703AEA7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163CA"/>
    <w:multiLevelType w:val="hybridMultilevel"/>
    <w:tmpl w:val="0DE0BC64"/>
    <w:lvl w:ilvl="0" w:tplc="CEC4EFEE">
      <w:start w:val="1"/>
      <w:numFmt w:val="bullet"/>
      <w:lvlText w:val="•"/>
      <w:lvlJc w:val="left"/>
      <w:pPr>
        <w:ind w:left="1049" w:firstLine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-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4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1E346ADB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1FD02CAE"/>
    <w:multiLevelType w:val="hybridMultilevel"/>
    <w:tmpl w:val="703AEA7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93817"/>
    <w:multiLevelType w:val="hybridMultilevel"/>
    <w:tmpl w:val="2710E4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340582"/>
    <w:multiLevelType w:val="hybridMultilevel"/>
    <w:tmpl w:val="1970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550F8"/>
    <w:multiLevelType w:val="hybridMultilevel"/>
    <w:tmpl w:val="06123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F6E8B"/>
    <w:multiLevelType w:val="multilevel"/>
    <w:tmpl w:val="C32AD0A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20" w15:restartNumberingAfterBreak="0">
    <w:nsid w:val="4EBA728E"/>
    <w:multiLevelType w:val="hybridMultilevel"/>
    <w:tmpl w:val="1748A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72792B"/>
    <w:multiLevelType w:val="hybridMultilevel"/>
    <w:tmpl w:val="75AA8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49419A"/>
    <w:multiLevelType w:val="hybridMultilevel"/>
    <w:tmpl w:val="2710E4A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B03E5C"/>
    <w:multiLevelType w:val="hybridMultilevel"/>
    <w:tmpl w:val="FF32B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C30263"/>
    <w:multiLevelType w:val="hybridMultilevel"/>
    <w:tmpl w:val="8910B7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74EE7"/>
    <w:multiLevelType w:val="hybridMultilevel"/>
    <w:tmpl w:val="703AEA7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FD0460"/>
    <w:multiLevelType w:val="hybridMultilevel"/>
    <w:tmpl w:val="2710E4A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2068946">
    <w:abstractNumId w:val="7"/>
  </w:num>
  <w:num w:numId="2" w16cid:durableId="983047750">
    <w:abstractNumId w:val="5"/>
  </w:num>
  <w:num w:numId="3" w16cid:durableId="912206815">
    <w:abstractNumId w:val="8"/>
  </w:num>
  <w:num w:numId="4" w16cid:durableId="19192415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262071">
    <w:abstractNumId w:val="27"/>
  </w:num>
  <w:num w:numId="6" w16cid:durableId="1164782895">
    <w:abstractNumId w:val="6"/>
  </w:num>
  <w:num w:numId="7" w16cid:durableId="1764568987">
    <w:abstractNumId w:val="11"/>
  </w:num>
  <w:num w:numId="8" w16cid:durableId="1605840971">
    <w:abstractNumId w:val="12"/>
  </w:num>
  <w:num w:numId="9" w16cid:durableId="969629549">
    <w:abstractNumId w:val="24"/>
  </w:num>
  <w:num w:numId="10" w16cid:durableId="1576276737">
    <w:abstractNumId w:val="3"/>
  </w:num>
  <w:num w:numId="11" w16cid:durableId="409036424">
    <w:abstractNumId w:val="28"/>
  </w:num>
  <w:num w:numId="12" w16cid:durableId="1526747669">
    <w:abstractNumId w:val="4"/>
  </w:num>
  <w:num w:numId="13" w16cid:durableId="1746950255">
    <w:abstractNumId w:val="13"/>
  </w:num>
  <w:num w:numId="14" w16cid:durableId="329715522">
    <w:abstractNumId w:val="15"/>
  </w:num>
  <w:num w:numId="15" w16cid:durableId="1837842867">
    <w:abstractNumId w:val="14"/>
  </w:num>
  <w:num w:numId="16" w16cid:durableId="1970238000">
    <w:abstractNumId w:val="26"/>
  </w:num>
  <w:num w:numId="17" w16cid:durableId="485172914">
    <w:abstractNumId w:val="19"/>
  </w:num>
  <w:num w:numId="18" w16cid:durableId="338780148">
    <w:abstractNumId w:val="9"/>
  </w:num>
  <w:num w:numId="19" w16cid:durableId="1977641737">
    <w:abstractNumId w:val="3"/>
  </w:num>
  <w:num w:numId="20" w16cid:durableId="1099830501">
    <w:abstractNumId w:val="2"/>
  </w:num>
  <w:num w:numId="21" w16cid:durableId="1796680411">
    <w:abstractNumId w:val="21"/>
  </w:num>
  <w:num w:numId="22" w16cid:durableId="1157845039">
    <w:abstractNumId w:val="20"/>
  </w:num>
  <w:num w:numId="23" w16cid:durableId="1318220489">
    <w:abstractNumId w:val="17"/>
  </w:num>
  <w:num w:numId="24" w16cid:durableId="791442922">
    <w:abstractNumId w:val="23"/>
  </w:num>
  <w:num w:numId="25" w16cid:durableId="1013071577">
    <w:abstractNumId w:val="25"/>
  </w:num>
  <w:num w:numId="26" w16cid:durableId="52388111">
    <w:abstractNumId w:val="18"/>
  </w:num>
  <w:num w:numId="27" w16cid:durableId="674965252">
    <w:abstractNumId w:val="0"/>
  </w:num>
  <w:num w:numId="28" w16cid:durableId="423958947">
    <w:abstractNumId w:val="1"/>
  </w:num>
  <w:num w:numId="29" w16cid:durableId="1030648796">
    <w:abstractNumId w:val="16"/>
  </w:num>
  <w:num w:numId="30" w16cid:durableId="2071152937">
    <w:abstractNumId w:val="30"/>
  </w:num>
  <w:num w:numId="31" w16cid:durableId="1083533236">
    <w:abstractNumId w:val="10"/>
  </w:num>
  <w:num w:numId="32" w16cid:durableId="1166357710">
    <w:abstractNumId w:val="29"/>
  </w:num>
  <w:num w:numId="33" w16cid:durableId="19636830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06AE8"/>
    <w:rsid w:val="00012001"/>
    <w:rsid w:val="00031E9F"/>
    <w:rsid w:val="00033ED5"/>
    <w:rsid w:val="0004009C"/>
    <w:rsid w:val="0005011B"/>
    <w:rsid w:val="00052CB0"/>
    <w:rsid w:val="00052E44"/>
    <w:rsid w:val="000673F9"/>
    <w:rsid w:val="000702E4"/>
    <w:rsid w:val="00070A13"/>
    <w:rsid w:val="00070A89"/>
    <w:rsid w:val="000739EA"/>
    <w:rsid w:val="0008118E"/>
    <w:rsid w:val="00086074"/>
    <w:rsid w:val="0009112E"/>
    <w:rsid w:val="00097B17"/>
    <w:rsid w:val="000A4576"/>
    <w:rsid w:val="000A688D"/>
    <w:rsid w:val="000A6B96"/>
    <w:rsid w:val="000B21F0"/>
    <w:rsid w:val="000B32C4"/>
    <w:rsid w:val="000B7075"/>
    <w:rsid w:val="000D02C0"/>
    <w:rsid w:val="000D2FED"/>
    <w:rsid w:val="000E3BBE"/>
    <w:rsid w:val="000E649C"/>
    <w:rsid w:val="000F077F"/>
    <w:rsid w:val="000F3ED2"/>
    <w:rsid w:val="000F5E24"/>
    <w:rsid w:val="001030B2"/>
    <w:rsid w:val="001204EA"/>
    <w:rsid w:val="001330B8"/>
    <w:rsid w:val="0014120D"/>
    <w:rsid w:val="00143D0B"/>
    <w:rsid w:val="00144B55"/>
    <w:rsid w:val="00155C8E"/>
    <w:rsid w:val="00161605"/>
    <w:rsid w:val="00170D7F"/>
    <w:rsid w:val="00172790"/>
    <w:rsid w:val="00173D8E"/>
    <w:rsid w:val="00180F5C"/>
    <w:rsid w:val="00184C89"/>
    <w:rsid w:val="00186CB7"/>
    <w:rsid w:val="00190358"/>
    <w:rsid w:val="001933DE"/>
    <w:rsid w:val="00194CB4"/>
    <w:rsid w:val="00197FA2"/>
    <w:rsid w:val="001A1A5B"/>
    <w:rsid w:val="001A7E82"/>
    <w:rsid w:val="001B0859"/>
    <w:rsid w:val="001B354B"/>
    <w:rsid w:val="001B440C"/>
    <w:rsid w:val="001B7475"/>
    <w:rsid w:val="001D6485"/>
    <w:rsid w:val="001E2320"/>
    <w:rsid w:val="001E610A"/>
    <w:rsid w:val="001E721F"/>
    <w:rsid w:val="00205C55"/>
    <w:rsid w:val="00206C0B"/>
    <w:rsid w:val="0021156E"/>
    <w:rsid w:val="0021172C"/>
    <w:rsid w:val="00221A2A"/>
    <w:rsid w:val="002270E2"/>
    <w:rsid w:val="00230BB7"/>
    <w:rsid w:val="0024697E"/>
    <w:rsid w:val="00255E53"/>
    <w:rsid w:val="00262272"/>
    <w:rsid w:val="00275115"/>
    <w:rsid w:val="00280311"/>
    <w:rsid w:val="00280AC1"/>
    <w:rsid w:val="00281BE7"/>
    <w:rsid w:val="00286651"/>
    <w:rsid w:val="00287196"/>
    <w:rsid w:val="0029287B"/>
    <w:rsid w:val="0029403F"/>
    <w:rsid w:val="002C0340"/>
    <w:rsid w:val="002C19DE"/>
    <w:rsid w:val="002D55B8"/>
    <w:rsid w:val="002D6ED9"/>
    <w:rsid w:val="002E46AC"/>
    <w:rsid w:val="002E46D5"/>
    <w:rsid w:val="002F0FB2"/>
    <w:rsid w:val="002F61E3"/>
    <w:rsid w:val="003051DF"/>
    <w:rsid w:val="0031104C"/>
    <w:rsid w:val="003130CA"/>
    <w:rsid w:val="00326537"/>
    <w:rsid w:val="003357D9"/>
    <w:rsid w:val="00337B00"/>
    <w:rsid w:val="00355899"/>
    <w:rsid w:val="00356E75"/>
    <w:rsid w:val="0035733E"/>
    <w:rsid w:val="00361D44"/>
    <w:rsid w:val="00374DBE"/>
    <w:rsid w:val="0037704D"/>
    <w:rsid w:val="0037714E"/>
    <w:rsid w:val="003841AB"/>
    <w:rsid w:val="003935E8"/>
    <w:rsid w:val="003975D4"/>
    <w:rsid w:val="003A0986"/>
    <w:rsid w:val="003A0F16"/>
    <w:rsid w:val="003A5B7D"/>
    <w:rsid w:val="003A6433"/>
    <w:rsid w:val="003B46BF"/>
    <w:rsid w:val="003D2AE2"/>
    <w:rsid w:val="003D71C6"/>
    <w:rsid w:val="003F072E"/>
    <w:rsid w:val="003F266F"/>
    <w:rsid w:val="003F6709"/>
    <w:rsid w:val="00404F9B"/>
    <w:rsid w:val="00411C64"/>
    <w:rsid w:val="004156E6"/>
    <w:rsid w:val="00415707"/>
    <w:rsid w:val="00416F70"/>
    <w:rsid w:val="0041703B"/>
    <w:rsid w:val="004403B4"/>
    <w:rsid w:val="00446466"/>
    <w:rsid w:val="00447CE9"/>
    <w:rsid w:val="00453B55"/>
    <w:rsid w:val="00457779"/>
    <w:rsid w:val="004602E4"/>
    <w:rsid w:val="00466FE8"/>
    <w:rsid w:val="004677CB"/>
    <w:rsid w:val="004744CD"/>
    <w:rsid w:val="0048011A"/>
    <w:rsid w:val="004850DC"/>
    <w:rsid w:val="00490715"/>
    <w:rsid w:val="00491267"/>
    <w:rsid w:val="00491300"/>
    <w:rsid w:val="00492285"/>
    <w:rsid w:val="004A2F20"/>
    <w:rsid w:val="004A2F45"/>
    <w:rsid w:val="004A5135"/>
    <w:rsid w:val="004B2F38"/>
    <w:rsid w:val="004C23FE"/>
    <w:rsid w:val="004C35E7"/>
    <w:rsid w:val="004C7C2E"/>
    <w:rsid w:val="004D093B"/>
    <w:rsid w:val="004D2191"/>
    <w:rsid w:val="004D7DDC"/>
    <w:rsid w:val="004E4723"/>
    <w:rsid w:val="004F3FEF"/>
    <w:rsid w:val="005058F2"/>
    <w:rsid w:val="00512C38"/>
    <w:rsid w:val="00512C7C"/>
    <w:rsid w:val="005130EF"/>
    <w:rsid w:val="005143E4"/>
    <w:rsid w:val="00517F7B"/>
    <w:rsid w:val="0055182D"/>
    <w:rsid w:val="00553AE5"/>
    <w:rsid w:val="0056748F"/>
    <w:rsid w:val="00574D83"/>
    <w:rsid w:val="00581108"/>
    <w:rsid w:val="0058276D"/>
    <w:rsid w:val="005871C9"/>
    <w:rsid w:val="005B06B3"/>
    <w:rsid w:val="005B598A"/>
    <w:rsid w:val="005C1959"/>
    <w:rsid w:val="005C499F"/>
    <w:rsid w:val="005C608D"/>
    <w:rsid w:val="005C6551"/>
    <w:rsid w:val="005D269A"/>
    <w:rsid w:val="005D3140"/>
    <w:rsid w:val="005D5D31"/>
    <w:rsid w:val="005E4CF5"/>
    <w:rsid w:val="005E7898"/>
    <w:rsid w:val="005F70FE"/>
    <w:rsid w:val="006008CD"/>
    <w:rsid w:val="00633806"/>
    <w:rsid w:val="00633883"/>
    <w:rsid w:val="00634434"/>
    <w:rsid w:val="0064109C"/>
    <w:rsid w:val="0064487F"/>
    <w:rsid w:val="006648F3"/>
    <w:rsid w:val="00670C14"/>
    <w:rsid w:val="0068046C"/>
    <w:rsid w:val="00680B0E"/>
    <w:rsid w:val="00687B5F"/>
    <w:rsid w:val="00687E5A"/>
    <w:rsid w:val="006905E7"/>
    <w:rsid w:val="006967BC"/>
    <w:rsid w:val="006A03EB"/>
    <w:rsid w:val="006A533F"/>
    <w:rsid w:val="006A7DCE"/>
    <w:rsid w:val="006B1374"/>
    <w:rsid w:val="006C1B62"/>
    <w:rsid w:val="006C452F"/>
    <w:rsid w:val="006C4ED5"/>
    <w:rsid w:val="006D079B"/>
    <w:rsid w:val="006D183E"/>
    <w:rsid w:val="006D336E"/>
    <w:rsid w:val="006D7125"/>
    <w:rsid w:val="006D7964"/>
    <w:rsid w:val="006F498A"/>
    <w:rsid w:val="006F5BEB"/>
    <w:rsid w:val="00711E24"/>
    <w:rsid w:val="007135A8"/>
    <w:rsid w:val="007156F6"/>
    <w:rsid w:val="00715B91"/>
    <w:rsid w:val="00722C54"/>
    <w:rsid w:val="007321D8"/>
    <w:rsid w:val="00733AF9"/>
    <w:rsid w:val="00734732"/>
    <w:rsid w:val="00740ABA"/>
    <w:rsid w:val="00742312"/>
    <w:rsid w:val="0074295D"/>
    <w:rsid w:val="00746C2A"/>
    <w:rsid w:val="00755E27"/>
    <w:rsid w:val="0076786B"/>
    <w:rsid w:val="0078723A"/>
    <w:rsid w:val="007A4FB5"/>
    <w:rsid w:val="007B043E"/>
    <w:rsid w:val="007C4332"/>
    <w:rsid w:val="007C4C95"/>
    <w:rsid w:val="007D0493"/>
    <w:rsid w:val="007D1551"/>
    <w:rsid w:val="007D273D"/>
    <w:rsid w:val="007D6A3A"/>
    <w:rsid w:val="007D6B6F"/>
    <w:rsid w:val="007D74E2"/>
    <w:rsid w:val="007E0751"/>
    <w:rsid w:val="007E4FAA"/>
    <w:rsid w:val="007F016E"/>
    <w:rsid w:val="007F78F1"/>
    <w:rsid w:val="008008F6"/>
    <w:rsid w:val="008017A7"/>
    <w:rsid w:val="0080392B"/>
    <w:rsid w:val="00823875"/>
    <w:rsid w:val="00827817"/>
    <w:rsid w:val="00827986"/>
    <w:rsid w:val="008279BD"/>
    <w:rsid w:val="00832ED2"/>
    <w:rsid w:val="0084154E"/>
    <w:rsid w:val="00843352"/>
    <w:rsid w:val="00844624"/>
    <w:rsid w:val="008462C0"/>
    <w:rsid w:val="0087118E"/>
    <w:rsid w:val="008771C8"/>
    <w:rsid w:val="00882DCA"/>
    <w:rsid w:val="0088727A"/>
    <w:rsid w:val="00896D35"/>
    <w:rsid w:val="008B00C4"/>
    <w:rsid w:val="008B43B0"/>
    <w:rsid w:val="008C02CF"/>
    <w:rsid w:val="008C0493"/>
    <w:rsid w:val="008C0E92"/>
    <w:rsid w:val="008D45C3"/>
    <w:rsid w:val="008E18D7"/>
    <w:rsid w:val="008E33C7"/>
    <w:rsid w:val="008E4059"/>
    <w:rsid w:val="008F1D35"/>
    <w:rsid w:val="009066C7"/>
    <w:rsid w:val="0092216D"/>
    <w:rsid w:val="00926924"/>
    <w:rsid w:val="00933339"/>
    <w:rsid w:val="00953B84"/>
    <w:rsid w:val="00982754"/>
    <w:rsid w:val="0098671D"/>
    <w:rsid w:val="00991174"/>
    <w:rsid w:val="009943F4"/>
    <w:rsid w:val="00995FDD"/>
    <w:rsid w:val="00996389"/>
    <w:rsid w:val="009A2234"/>
    <w:rsid w:val="009A6D46"/>
    <w:rsid w:val="009B2F99"/>
    <w:rsid w:val="009B7A36"/>
    <w:rsid w:val="009B7A4D"/>
    <w:rsid w:val="009C573D"/>
    <w:rsid w:val="009C7016"/>
    <w:rsid w:val="009D10B8"/>
    <w:rsid w:val="009D185F"/>
    <w:rsid w:val="009D43CC"/>
    <w:rsid w:val="009E02ED"/>
    <w:rsid w:val="009E2331"/>
    <w:rsid w:val="009F413F"/>
    <w:rsid w:val="009F550A"/>
    <w:rsid w:val="009F7497"/>
    <w:rsid w:val="00A01F60"/>
    <w:rsid w:val="00A118F0"/>
    <w:rsid w:val="00A159DA"/>
    <w:rsid w:val="00A22494"/>
    <w:rsid w:val="00A22A7B"/>
    <w:rsid w:val="00A242D8"/>
    <w:rsid w:val="00A434EB"/>
    <w:rsid w:val="00A5351C"/>
    <w:rsid w:val="00A54C06"/>
    <w:rsid w:val="00A5788D"/>
    <w:rsid w:val="00A633F0"/>
    <w:rsid w:val="00A6481E"/>
    <w:rsid w:val="00A66140"/>
    <w:rsid w:val="00A66626"/>
    <w:rsid w:val="00A7064A"/>
    <w:rsid w:val="00A7345A"/>
    <w:rsid w:val="00A75027"/>
    <w:rsid w:val="00A85057"/>
    <w:rsid w:val="00A90397"/>
    <w:rsid w:val="00A90CB0"/>
    <w:rsid w:val="00A9374D"/>
    <w:rsid w:val="00A94461"/>
    <w:rsid w:val="00A960EA"/>
    <w:rsid w:val="00AA4608"/>
    <w:rsid w:val="00AA6179"/>
    <w:rsid w:val="00AB1235"/>
    <w:rsid w:val="00AB2D5E"/>
    <w:rsid w:val="00AB647D"/>
    <w:rsid w:val="00AC0511"/>
    <w:rsid w:val="00AD08C5"/>
    <w:rsid w:val="00AE069A"/>
    <w:rsid w:val="00AF1EBC"/>
    <w:rsid w:val="00AF4056"/>
    <w:rsid w:val="00B01CCE"/>
    <w:rsid w:val="00B1467F"/>
    <w:rsid w:val="00B222B4"/>
    <w:rsid w:val="00B31928"/>
    <w:rsid w:val="00B326A9"/>
    <w:rsid w:val="00B45ED3"/>
    <w:rsid w:val="00B51809"/>
    <w:rsid w:val="00B543E9"/>
    <w:rsid w:val="00B5661F"/>
    <w:rsid w:val="00B57127"/>
    <w:rsid w:val="00B76B2B"/>
    <w:rsid w:val="00B8251D"/>
    <w:rsid w:val="00B94288"/>
    <w:rsid w:val="00B9538B"/>
    <w:rsid w:val="00BA15A9"/>
    <w:rsid w:val="00BA598F"/>
    <w:rsid w:val="00BB30C0"/>
    <w:rsid w:val="00BB52E7"/>
    <w:rsid w:val="00BC376D"/>
    <w:rsid w:val="00BD18E8"/>
    <w:rsid w:val="00BD20BC"/>
    <w:rsid w:val="00BF6985"/>
    <w:rsid w:val="00C15673"/>
    <w:rsid w:val="00C157F6"/>
    <w:rsid w:val="00C15E6F"/>
    <w:rsid w:val="00C206AA"/>
    <w:rsid w:val="00C210A9"/>
    <w:rsid w:val="00C22821"/>
    <w:rsid w:val="00C243BF"/>
    <w:rsid w:val="00C25F63"/>
    <w:rsid w:val="00C276AE"/>
    <w:rsid w:val="00C34F0F"/>
    <w:rsid w:val="00C4237C"/>
    <w:rsid w:val="00C4239A"/>
    <w:rsid w:val="00C51E8F"/>
    <w:rsid w:val="00C55C85"/>
    <w:rsid w:val="00C60868"/>
    <w:rsid w:val="00C6097A"/>
    <w:rsid w:val="00C64DAA"/>
    <w:rsid w:val="00C65204"/>
    <w:rsid w:val="00C70530"/>
    <w:rsid w:val="00C77217"/>
    <w:rsid w:val="00C816A5"/>
    <w:rsid w:val="00C83BE1"/>
    <w:rsid w:val="00C97315"/>
    <w:rsid w:val="00CA1AD2"/>
    <w:rsid w:val="00CA2878"/>
    <w:rsid w:val="00CA7D06"/>
    <w:rsid w:val="00CB2E2B"/>
    <w:rsid w:val="00CB3D33"/>
    <w:rsid w:val="00CC0463"/>
    <w:rsid w:val="00CC7F58"/>
    <w:rsid w:val="00CD47C3"/>
    <w:rsid w:val="00CE099F"/>
    <w:rsid w:val="00CE73E2"/>
    <w:rsid w:val="00CF402D"/>
    <w:rsid w:val="00CF5E4F"/>
    <w:rsid w:val="00CF7674"/>
    <w:rsid w:val="00D17D3E"/>
    <w:rsid w:val="00D445AB"/>
    <w:rsid w:val="00D4466C"/>
    <w:rsid w:val="00D44A5D"/>
    <w:rsid w:val="00D510E8"/>
    <w:rsid w:val="00D53AC0"/>
    <w:rsid w:val="00D554A2"/>
    <w:rsid w:val="00D5628B"/>
    <w:rsid w:val="00D63F4F"/>
    <w:rsid w:val="00D6426A"/>
    <w:rsid w:val="00D66456"/>
    <w:rsid w:val="00D77CD0"/>
    <w:rsid w:val="00D9306F"/>
    <w:rsid w:val="00DA1C97"/>
    <w:rsid w:val="00DB0B88"/>
    <w:rsid w:val="00DC1405"/>
    <w:rsid w:val="00DD0639"/>
    <w:rsid w:val="00DD18C6"/>
    <w:rsid w:val="00DD3D78"/>
    <w:rsid w:val="00DD6D00"/>
    <w:rsid w:val="00DE00F0"/>
    <w:rsid w:val="00DE1894"/>
    <w:rsid w:val="00DE5079"/>
    <w:rsid w:val="00DF6B3A"/>
    <w:rsid w:val="00E01942"/>
    <w:rsid w:val="00E04ED8"/>
    <w:rsid w:val="00E10271"/>
    <w:rsid w:val="00E1030B"/>
    <w:rsid w:val="00E25808"/>
    <w:rsid w:val="00E25B21"/>
    <w:rsid w:val="00E34DF7"/>
    <w:rsid w:val="00E35DF6"/>
    <w:rsid w:val="00E41E11"/>
    <w:rsid w:val="00E50D44"/>
    <w:rsid w:val="00E52765"/>
    <w:rsid w:val="00E64133"/>
    <w:rsid w:val="00E66456"/>
    <w:rsid w:val="00E738D5"/>
    <w:rsid w:val="00E8288D"/>
    <w:rsid w:val="00E8348C"/>
    <w:rsid w:val="00E900DE"/>
    <w:rsid w:val="00E91E64"/>
    <w:rsid w:val="00EA326D"/>
    <w:rsid w:val="00EB1B3E"/>
    <w:rsid w:val="00EB4A6C"/>
    <w:rsid w:val="00EB5A68"/>
    <w:rsid w:val="00EB77EA"/>
    <w:rsid w:val="00EC0C4F"/>
    <w:rsid w:val="00EC2B8F"/>
    <w:rsid w:val="00EC74BA"/>
    <w:rsid w:val="00ED15F0"/>
    <w:rsid w:val="00EE4384"/>
    <w:rsid w:val="00EE4BD7"/>
    <w:rsid w:val="00EF3551"/>
    <w:rsid w:val="00EF3F13"/>
    <w:rsid w:val="00F017D6"/>
    <w:rsid w:val="00F12CF6"/>
    <w:rsid w:val="00F147FC"/>
    <w:rsid w:val="00F15BD4"/>
    <w:rsid w:val="00F229A3"/>
    <w:rsid w:val="00F31A79"/>
    <w:rsid w:val="00F42214"/>
    <w:rsid w:val="00F5061B"/>
    <w:rsid w:val="00F61A7D"/>
    <w:rsid w:val="00F63AA8"/>
    <w:rsid w:val="00F65312"/>
    <w:rsid w:val="00F67CA2"/>
    <w:rsid w:val="00F859A8"/>
    <w:rsid w:val="00F9203E"/>
    <w:rsid w:val="00F957B7"/>
    <w:rsid w:val="00FA53DF"/>
    <w:rsid w:val="00FB2364"/>
    <w:rsid w:val="00FB30AC"/>
    <w:rsid w:val="00FB3B6F"/>
    <w:rsid w:val="00FC712D"/>
    <w:rsid w:val="00FD39E3"/>
    <w:rsid w:val="00FD48BC"/>
    <w:rsid w:val="00FE1242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46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1,Styl moj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  <w:style w:type="character" w:customStyle="1" w:styleId="AkapitzlistZnak">
    <w:name w:val="Akapit z listą Znak"/>
    <w:aliases w:val="Bullet1 Znak,Styl moj Znak,aotm_załączniki Znak,Akapit z listą11 Znak,Table Legend Znak,Dot pt Znak,F5 List Paragraph Znak,List Paragraph1 Znak,No Spacing1 Znak,List Paragraph Char Char Char Znak,Indicator Text Znak,Bullet 1 Znak"/>
    <w:basedOn w:val="Domylnaczcionkaakapitu"/>
    <w:link w:val="Akapitzlist"/>
    <w:uiPriority w:val="99"/>
    <w:qFormat/>
    <w:rsid w:val="001933DE"/>
  </w:style>
  <w:style w:type="paragraph" w:customStyle="1" w:styleId="pismamz">
    <w:name w:val="pisma_mz"/>
    <w:basedOn w:val="Normalny"/>
    <w:link w:val="pismamzZnak"/>
    <w:qFormat/>
    <w:rsid w:val="00C157F6"/>
    <w:pPr>
      <w:suppressAutoHyphens w:val="0"/>
      <w:autoSpaceDN/>
      <w:spacing w:after="0" w:line="360" w:lineRule="auto"/>
      <w:contextualSpacing/>
      <w:jc w:val="both"/>
      <w:textAlignment w:val="auto"/>
    </w:pPr>
    <w:rPr>
      <w:rFonts w:ascii="Arial" w:hAnsi="Arial"/>
    </w:rPr>
  </w:style>
  <w:style w:type="character" w:customStyle="1" w:styleId="pismamzZnak">
    <w:name w:val="pisma_mz Znak"/>
    <w:link w:val="pismamz"/>
    <w:rsid w:val="00C157F6"/>
    <w:rPr>
      <w:rFonts w:ascii="Arial" w:hAnsi="Arial"/>
    </w:rPr>
  </w:style>
  <w:style w:type="character" w:styleId="Hipercze">
    <w:name w:val="Hyperlink"/>
    <w:basedOn w:val="Domylnaczcionkaakapitu"/>
    <w:uiPriority w:val="99"/>
    <w:unhideWhenUsed/>
    <w:rsid w:val="00D445A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445A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www.gov.pl/web/zdrowie/komunikat-ministra-zdrowia-w-sprawie-refundacji-lekow-z-rywaroksabanem-i-dabigatranem-w-leczeniu-pacjentow-z-migotaniem-przedsionkow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stycze&#324;%202026%20Wykresy%20od%20201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stycze&#324;%202026%20Wykresy%20od%2020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stycze&#324;%202026%20Wykresy%20wskazania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stycze&#324;%202026%20Wykresy%20wskazania%20od%20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2025 r. - ONKO/NIEONKO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059576556477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2026'!$A$3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2026'!$B$1:$E$2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2026'!$B$3:$E$3</c:f>
              <c:numCache>
                <c:formatCode>General</c:formatCode>
                <c:ptCount val="4"/>
                <c:pt idx="0">
                  <c:v>9</c:v>
                </c:pt>
                <c:pt idx="1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06-43A2-A1AA-48F677CBDF69}"/>
            </c:ext>
          </c:extLst>
        </c:ser>
        <c:ser>
          <c:idx val="1"/>
          <c:order val="1"/>
          <c:tx>
            <c:strRef>
              <c:f>'miesiące 2026'!$A$4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2026'!$B$1:$E$2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2026'!$B$4:$E$4</c:f>
              <c:numCache>
                <c:formatCode>General</c:formatCode>
                <c:ptCount val="4"/>
                <c:pt idx="0">
                  <c:v>15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06-43A2-A1AA-48F677CBDF6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2025 r. - choroby rzadkie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29429975099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2026'!$A$18</c:f>
              <c:strCache>
                <c:ptCount val="1"/>
                <c:pt idx="0">
                  <c:v>Wskazania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2026'!$B$16:$E$17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2026'!$B$18:$E$18</c:f>
              <c:numCache>
                <c:formatCode>General</c:formatCode>
                <c:ptCount val="4"/>
                <c:pt idx="0">
                  <c:v>8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A9-4051-854A-A3353FB63831}"/>
            </c:ext>
          </c:extLst>
        </c:ser>
        <c:ser>
          <c:idx val="1"/>
          <c:order val="1"/>
          <c:tx>
            <c:strRef>
              <c:f>'miesiące 2026'!$A$19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2026'!$B$16:$E$17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2026'!$B$19:$E$19</c:f>
              <c:numCache>
                <c:formatCode>General</c:formatCode>
                <c:ptCount val="4"/>
                <c:pt idx="0">
                  <c:v>16</c:v>
                </c:pt>
                <c:pt idx="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A9-4051-854A-A3353FB6383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8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>
                <a:solidFill>
                  <a:sysClr val="windowText" lastClr="000000"/>
                </a:solidFill>
                <a:latin typeface="Lato" panose="020F0502020204030203" pitchFamily="34" charset="-18"/>
              </a:rPr>
              <a:t>Cząsteczko-wskazania onkologiczne w 2026 r. </a:t>
            </a:r>
          </a:p>
        </c:rich>
      </c:tx>
      <c:layout>
        <c:manualLayout>
          <c:xMode val="edge"/>
          <c:yMode val="edge"/>
          <c:x val="0.25296529732800593"/>
          <c:y val="1.76976838634200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8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3582997522272922"/>
          <c:y val="9.3949853404065461E-2"/>
          <c:w val="0.84009663854336591"/>
          <c:h val="0.83812409501116225"/>
        </c:manualLayout>
      </c:layout>
      <c:barChart>
        <c:barDir val="bar"/>
        <c:grouping val="clustered"/>
        <c:varyColors val="0"/>
        <c:ser>
          <c:idx val="10"/>
          <c:order val="0"/>
          <c:tx>
            <c:strRef>
              <c:f>'miesiące 2026'!$B$2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('miesiące 2026'!$A$3:$A$10,'miesiące 2026'!$A$12)</c:f>
              <c:strCache>
                <c:ptCount val="4"/>
                <c:pt idx="0">
                  <c:v>Nowotwory układu 
pokarmowego</c:v>
                </c:pt>
                <c:pt idx="1">
                  <c:v>Nowotwory układu 
oddechowego</c:v>
                </c:pt>
                <c:pt idx="2">
                  <c:v>Nowotwory 
ginekologiczne</c:v>
                </c:pt>
                <c:pt idx="3">
                  <c:v>Hematoonkologia</c:v>
                </c:pt>
              </c:strCache>
              <c:extLst/>
            </c:strRef>
          </c:cat>
          <c:val>
            <c:numRef>
              <c:f>('miesiące 2026'!$B$3:$B$10,'miesiące 2026'!$B$12)</c:f>
              <c:numCache>
                <c:formatCode>General</c:formatCode>
                <c:ptCount val="4"/>
                <c:pt idx="0">
                  <c:v>7</c:v>
                </c:pt>
                <c:pt idx="1">
                  <c:v>9</c:v>
                </c:pt>
                <c:pt idx="2">
                  <c:v>2</c:v>
                </c:pt>
                <c:pt idx="3">
                  <c:v>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0B1-4968-864E-ED7FD8C13F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1046271"/>
        <c:axId val="751054175"/>
      </c:barChart>
      <c:valAx>
        <c:axId val="7510541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1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>
                <a:latin typeface="Lato" panose="020F0502020204030203" pitchFamily="34" charset="-18"/>
              </a:rPr>
              <a:t>Cząsteczko-wskazania nieonkologiczne w 2026 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0948966438366801"/>
          <c:y val="9.8125794674171332E-2"/>
          <c:w val="0.76644349190079053"/>
          <c:h val="0.8339481537410563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'miesiące 2026'!$B$19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'miesiące 2026'!$A$20:$A$39</c:f>
              <c:strCache>
                <c:ptCount val="10"/>
                <c:pt idx="0">
                  <c:v>Urologia</c:v>
                </c:pt>
                <c:pt idx="1">
                  <c:v>Pulmonologia</c:v>
                </c:pt>
                <c:pt idx="2">
                  <c:v>Okulistyka</c:v>
                </c:pt>
                <c:pt idx="3">
                  <c:v>Neurologia</c:v>
                </c:pt>
                <c:pt idx="4">
                  <c:v>Kardiologia</c:v>
                </c:pt>
                <c:pt idx="5">
                  <c:v>Hematologia</c:v>
                </c:pt>
                <c:pt idx="6">
                  <c:v>Gastroenterologia</c:v>
                </c:pt>
                <c:pt idx="7">
                  <c:v>Dermatologia</c:v>
                </c:pt>
                <c:pt idx="8">
                  <c:v>Choroby metaboliczne</c:v>
                </c:pt>
                <c:pt idx="9">
                  <c:v>Alergologia</c:v>
                </c:pt>
              </c:strCache>
              <c:extLst/>
            </c:strRef>
          </c:cat>
          <c:val>
            <c:numRef>
              <c:f>'miesiące 2026'!$B$20:$B$39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2</c:v>
                </c:pt>
                <c:pt idx="6">
                  <c:v>1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C792-40BB-96CE-6C2234DCED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296495"/>
        <c:axId val="241294831"/>
      </c:barChart>
      <c:valAx>
        <c:axId val="2412948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  <c:majorUnit val="1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2738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Bereda Sylwia</cp:lastModifiedBy>
  <cp:revision>3</cp:revision>
  <dcterms:created xsi:type="dcterms:W3CDTF">2026-03-17T14:53:00Z</dcterms:created>
  <dcterms:modified xsi:type="dcterms:W3CDTF">2026-03-17T14:53:00Z</dcterms:modified>
</cp:coreProperties>
</file>