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4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Zarządzenie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Regionalnego Dyrektora Ochrony Środowiska w Bydgoszczy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 w:val="0"/>
          <w:caps w:val="0"/>
          <w:sz w:val="24"/>
        </w:rPr>
        <w:t>z dnia 19 maja 2025 r.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 w:val="0"/>
          <w:caps w:val="0"/>
          <w:sz w:val="22"/>
        </w:rPr>
      </w:pP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w sprawie uznania za rezerwat przyrody „Dolina Rzeki Mątawy”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kwietnia 2004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roku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ochronie przyrody  (Dz. U. z 2024 r. poz. 1478 oraz 1940) zarządza się,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1.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Uznaje się za rezerwat przyrody pod nazwą „Dolina Rzeki Mątawy”, zwany dalej „rezerwatem”, obszar o powierzchni 23,00 ha, położony na terenie gminy Jeżewo, w powiecie świeckim, w województwie kujawsko-pomorskim.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 obszarach graniczących z rezerwatem wyznacza się otulinę o powierzchni 36,40 ha, położoną na terenie gminy Jeżewo, w powiecie świeckim, w województwie kujawsko-pomorskim.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 przebieg granicy rezerwatu oraz jego otuliny w postaci mapy są określone w załączniku nr 1 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przebieg granicy rezerwatu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postaci wykazu współrzędnych punktów załamania granicy są określone w załączniku nr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 przebieg granicy otuliny rezerwatu w postaci wykazu współrzędnych punktów załamania granicy są określone w załączniku nr 3 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Celem ochrony rezerwatu jest zachowanie zróżnicowanych i unikatowych fitocenoz leśnych, ochrona wysięków wód i źródlisk, zachowanie ukształtowania i zasobów doliny rzeki Mątawy oraz zachodzących w niej procesów przyrodniczych.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3.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rezerwatu określa się rodzaj - Leśny (L).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rezerwatu określa się typ i podtyp: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 względu na dominujący przedmiot ochrony: typ - Fitocenotyczny (PFi), podtyp - zbiorowisk leśnych (zl);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 względu na główny typ ekosystemu: typ – Leśny i borowy (EL), podtyp - lasów nizinnych (lni).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Nadzór nad rezerwatem sprawuje Regionalny Dyrektor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Bydgoszczy.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Zarządzenie wchodzi w życie po upływie 14 dni od dnia ogłoszenia.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2670440" cy="1054608"/>
            <wp:docPr id="10000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044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maja 2025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rezerwatu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jego otuliny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mapy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9320" cy="7719101"/>
            <wp:docPr id="10000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9320" cy="7719101"/>
            <wp:docPr id="100005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9320" cy="7719101"/>
            <wp:docPr id="100007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041"/>
        <w:gridCol w:w="504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0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73478" cy="7724219"/>
            <wp:docPr id="100009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3478" cy="77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041"/>
        <w:gridCol w:w="504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0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70440" cy="1054608"/>
            <wp:docPr id="10001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044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7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maja 2025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rezerwatu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wykazu współrzędnych punktów załamania granicy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układzie współrzędnych płaskich prostokątnych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PL-1992</w:t>
      </w:r>
      <w:r>
        <w:rPr>
          <w:rStyle w:val="FootnoteReference"/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0"/>
          <w:u w:val="none" w:color="000000"/>
          <w:vertAlign w:val="superscript"/>
        </w:rPr>
        <w:footnoteReference w:customMarkFollows="1" w:id="2"/>
        <w:t xml:space="preserve">1)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3360"/>
        <w:gridCol w:w="3361"/>
        <w:gridCol w:w="336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Y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632666,88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471479,40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632612,38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471495,81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632600,21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471501,63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632588,74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471516,76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632522,42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471524,91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632516,07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471521,74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632506,55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471513,80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632466,94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471523,60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632372,67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471537,61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632363,67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471538,14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632337,74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471537,61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632253,60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471536,55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632230,32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471546,08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632200,16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471561,43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632195,22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471576,95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632194,33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471579,73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632182,98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471574,71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632100,81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471574,35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632083,76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471571,72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632083,74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471571,67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632072,83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471578,61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632033,79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471577,46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631999,35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471533,83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631986,72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471529,24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631960,36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471547,10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631959,22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471552,30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631957,00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471555,27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631970,08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471607,60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631970,10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471607,61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631991,19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471608,25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632003,35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471617,95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632014,59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471632,45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632045,63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471642,68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632080,67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471648,14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632121,20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471649,66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632123,07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471649,73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632148,11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471653,26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632192,19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471679,35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632213,08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471691,12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632215,64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471700,86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632207,53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471723,78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632154,74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471716,00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632120,65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471705,45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632086,76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471697,63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632073,29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471690,78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632038,41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471693,85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631981,39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471697,78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631981,38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471697,79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631978,79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471685,37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631953,28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471689,44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631918,11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471712,24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631909,47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471728,59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631905,46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471744,98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631907,00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471772,03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631936,10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471813,84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631908,99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471832,73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631907,74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471831,70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631905,33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471829,72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631879,48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471807,47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631874,19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471818,60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631843,57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471831,32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631840,79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471832,48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631810,93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471844,89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631798,04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471825,92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631793,74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471819,60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631786,14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471808,41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631781,57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471801,68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631770,51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471785,41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631754,45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471733,46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631752,57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471727,36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631750,27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471719,92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631767,91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471683,26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631773,86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471661,03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631792,87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471627,96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631783,51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471614,20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631778,92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471545,31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631799,58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471524,65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631852,39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471510,87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631873,06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471514,31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631904,06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471481,02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631939,65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471432,80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631976,39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471421,32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631993,61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471393,76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632029,20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471354,73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632125,32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471320,39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632128,15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471319,39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632128,31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471319,89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632131,32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471319,45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632153,58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471316,23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632162,82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471343,92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632224,44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471388,80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632254,25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471395,92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632271,21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471381,00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632271,24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471380,97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632285,12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471375,07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632286,37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471371,67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632304,69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471360,18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632311,52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471357,56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632325,51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471352,19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632332,23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471331,67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632331,52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471308,74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632439,94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471305,64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632436,61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471292,47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632467,70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471292,57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632475,42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471272,66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632485,61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471270,90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632497,12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471276,06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632504,56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471298,43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632508,50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471299,61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632542,82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471300,06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632542,89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471300,08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632573,86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471310,82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632635,90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471329,33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632638,69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471345,75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632644,39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471345,53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632651,76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471345,25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632728,94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471392,33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632776,91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471414,14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632794,86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471409,25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632807,63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471489,55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632812,45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471522,01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632818,79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471564,72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632819,73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471570,98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632796,00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471570,95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632790,18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471570,42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632784,36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471556,66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632773,25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471537,61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632761,61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471513,80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632754,73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471494,22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632731,44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471472,79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632718,74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471467,23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632708,10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471475,88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632666,88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471479,40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70440" cy="1054608"/>
            <wp:docPr id="10001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044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9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maja 2025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otuliny rezerwatu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wykazu współrzędnych punktów załamania granicy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układzie współrzędnych płaskich prostokątnych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664"/>
        <w:gridCol w:w="2806"/>
        <w:gridCol w:w="2806"/>
        <w:gridCol w:w="2806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Y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Komentarz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632265,96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471235,82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632367,25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471106,75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632369,89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471103,22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632370,10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471103,18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632370,62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471102,66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632372,28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471105,24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632400,33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471148,93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632473,50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471092,73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632502,04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471070,80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632570,69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471018,06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632634,62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470967,64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632584,87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470915,37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632582,94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470913,06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632600,07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470895,87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632601,25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470894,99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632631,90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470872,11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632637,46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470867,96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632659,32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470851,94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632704,04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470979,57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632723,09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471047,43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632749,29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471160,79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632794,86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471409,25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632776,91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471414,14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632728,94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471392,33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632651,76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471345,25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632644,39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471345,53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632638,69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471345,75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632635,90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471329,33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632573,86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471310,82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632542,89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471300,08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632542,82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471300,06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632508,50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471299,61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632504,56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471298,43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632497,12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471276,06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632485,61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471270,90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632475,42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471272,66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632467,70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471292,57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632436,61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471292,47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632439,94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471305,64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632331,52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471308,74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632332,23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471331,67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632325,51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471352,19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632311,52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471357,56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632304,69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471360,18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632286,37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471371,67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632285,12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471375,07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632271,24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471380,97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632271,21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471381,00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632254,25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471395,92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632224,44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471388,80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632162,82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471343,92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632153,58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471316,23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632131,32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471319,45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632128,31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471319,89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632128,15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471319,39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632125,32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471320,39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632029,20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471354,73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631993,61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471393,76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631976,39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471421,32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631939,65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471432,80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631904,06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471481,02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631873,06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471514,31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631852,39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471510,87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631799,58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471524,65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631778,92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471545,31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631783,51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471614,20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631792,87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471627,96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631773,86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471661,03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631767,91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471683,26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631750,27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471719,92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631752,57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471727,36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631754,45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471733,46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631770,51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471785,41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631749,41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471813,93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631737,69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471838,84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631705,57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471823,09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631704,70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471822,59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631661,51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471798,08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631669,88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471762,20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631684,46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471506,91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631778,55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471431,65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631829,48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471396,92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631914,31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471355,15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632017,18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471302,29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632101,25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471246,18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632103,78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471244,27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632197,02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471208,06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632265,96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471235,82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632821,37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471566,22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632827,91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471578,62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632838,56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471602,92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632842,00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471623,35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632845,14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471652,85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632849,42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471676,55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632837,57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471678,03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632756,27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471665,09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632722,63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471659,74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632604,64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471640,96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632595,22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471639,46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632550,44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471633,72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632539,47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471630,66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632497,02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471635,20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632480,36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471624,48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632413,28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471618,13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632200,42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471580,91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632196,85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471580,38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632237,55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471666,09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632243,71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471679,06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632247,09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471758,17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632245,55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471759,48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632195,00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471802,40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632155,68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471841,37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632099,41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471882,81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632087,44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471892,88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632051,84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471922,83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632035,61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471881,94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631993,75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471882,64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631939,72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471858,02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631908,99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471832,73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631936,10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471813,84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631907,00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471772,03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631905,46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471744,98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631909,47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471728,59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631918,11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471712,24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631953,28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471689,44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631978,79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471685,37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631981,38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471697,79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631981,39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471697,78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632038,41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471693,85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632073,29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471690,78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632086,76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471697,63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632120,65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471705,45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632154,74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471716,00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632207,53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471723,78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632215,64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471700,86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632213,08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471691,12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632192,19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471679,35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632148,11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471653,26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632123,07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471649,73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632121,20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471649,66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632080,67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471648,14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632045,63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471642,68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632014,59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471632,45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632003,35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471617,95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631991,19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471608,25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631970,10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471607,61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631970,08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471607,60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631957,00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471555,27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631959,22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471552,30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631960,36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471547,10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631986,72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471529,24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631999,35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471533,83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632033,79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471577,46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632072,83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471578,61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632083,74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471571,67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632083,76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471571,72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632100,81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471574,35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632182,98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471574,71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632194,33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471579,73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632195,22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471576,95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632200,16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471561,43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632230,32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471546,08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632253,60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471536,55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632337,74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471537,61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632363,67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471538,14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632372,67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471537,61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632466,94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471523,60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632506,55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471513,80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632516,07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471521,74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632522,42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471524,91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632588,74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471516,76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632600,21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471501,63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632612,38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471495,81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632666,88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471479,40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632708,10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471475,88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632718,74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471467,23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632731,44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471472,79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632754,73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471494,22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632761,61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471513,80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632773,25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471537,61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632784,36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471556,66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632790,18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471570,42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632796,00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471570,95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632819,73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471570,98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632818,79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471564,72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632812,45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471522,01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632807,63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471489,55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632812,76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471493,21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632817,53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471510,05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632817,80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471512,49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632818,57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471520,22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632818,52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471520,49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632818,61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471521,01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632818,76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471536,35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632818,77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471543,45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632820,41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471557,65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632821,37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471566,22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nr 2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70440" cy="1054608"/>
            <wp:docPr id="100015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044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21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</w:t>
      </w:r>
      <w:r>
        <w:rPr>
          <w:b/>
          <w:caps/>
          <w:color w:val="000000"/>
          <w:szCs w:val="20"/>
          <w:shd w:val="clear" w:color="auto" w:fill="FFFFFF"/>
        </w:rPr>
        <w:t>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Na podstawie art. 13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ust. 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 ustawy z dnia 16 kwietnia 2004 roku o ochronie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(Dz. U. z 202</w:t>
      </w:r>
      <w:r>
        <w:rPr>
          <w:color w:val="000000"/>
          <w:szCs w:val="20"/>
          <w:shd w:val="clear" w:color="auto" w:fill="FFFFFF"/>
        </w:rPr>
        <w:t>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shd w:val="clear" w:color="auto" w:fill="FFFFFF"/>
        </w:rPr>
        <w:t>1478 ze zm.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znanie za 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sprawującego nadzór nad rezerwatem.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Rezerwat przyrody „</w:t>
      </w:r>
      <w:r>
        <w:rPr>
          <w:color w:val="000000"/>
          <w:szCs w:val="20"/>
          <w:shd w:val="clear" w:color="auto" w:fill="FFFFFF"/>
        </w:rPr>
        <w:t>Dolina Rzeki Mątawy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o powierzchni </w:t>
      </w:r>
      <w:r>
        <w:rPr>
          <w:color w:val="000000"/>
          <w:szCs w:val="20"/>
          <w:shd w:val="clear" w:color="auto" w:fill="FFFFFF"/>
        </w:rPr>
        <w:t>23,00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ha zlokalizowany jest </w:t>
      </w:r>
      <w:r>
        <w:rPr>
          <w:color w:val="000000"/>
          <w:szCs w:val="20"/>
          <w:shd w:val="clear" w:color="auto" w:fill="FFFFFF"/>
        </w:rPr>
        <w:t>na terenie gminy Jeżewo, w powiecie świeckim, w województwie kujawsko-pomorskim.</w:t>
      </w:r>
      <w:r>
        <w:rPr>
          <w:color w:val="000000"/>
          <w:szCs w:val="20"/>
          <w:shd w:val="clear" w:color="auto" w:fill="FFFFFF"/>
        </w:rPr>
        <w:t xml:space="preserve"> W dniu 6 maja 2024 r. do Regionalnej Dyrekcji Ochrony Środowiska w Bydgoszczy, wpłynął wniosek Polskiego Klubu Ekologicznego Okręgu Pomorsko-Kujawskiego, uzupełniony w dniu 11 czerwca 2024 r., o utworzenie powyższego rezerwatu przyrody. Zgodnie z otrzymanym wnioskiem p</w:t>
      </w:r>
      <w:r>
        <w:rPr>
          <w:color w:val="000000"/>
          <w:szCs w:val="20"/>
          <w:shd w:val="clear" w:color="auto" w:fill="FFFFFF"/>
          <w:lang w:val="x-none" w:eastAsia="en-US" w:bidi="ar-SA"/>
        </w:rPr>
        <w:t>r</w:t>
      </w:r>
      <w:r>
        <w:rPr>
          <w:color w:val="000000"/>
          <w:szCs w:val="20"/>
          <w:shd w:val="clear" w:color="auto" w:fill="FFFFFF"/>
        </w:rPr>
        <w:t>oponowany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do objęcia ochroną rezerwatową </w:t>
      </w:r>
      <w:r>
        <w:rPr>
          <w:color w:val="000000"/>
          <w:szCs w:val="20"/>
          <w:shd w:val="clear" w:color="auto" w:fill="FFFFFF"/>
        </w:rPr>
        <w:t>obszar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stanowi </w:t>
      </w:r>
      <w:r>
        <w:rPr>
          <w:color w:val="000000"/>
          <w:szCs w:val="20"/>
          <w:shd w:val="clear" w:color="auto" w:fill="FFFFFF"/>
        </w:rPr>
        <w:t xml:space="preserve">szczególnie cenne zasoby i walory przyrodnicze, od fitocenoz leśnych (łęgi jesionowo-olszowe </w:t>
      </w:r>
      <w:r>
        <w:rPr>
          <w:i/>
          <w:color w:val="000000"/>
          <w:szCs w:val="20"/>
          <w:shd w:val="clear" w:color="auto" w:fill="FFFFFF"/>
        </w:rPr>
        <w:t xml:space="preserve">Fraxino-Alnetum </w:t>
      </w:r>
      <w:r>
        <w:rPr>
          <w:color w:val="000000"/>
          <w:szCs w:val="20"/>
          <w:shd w:val="clear" w:color="auto" w:fill="FFFFFF"/>
        </w:rPr>
        <w:t>91E0-3</w:t>
      </w:r>
      <w:r>
        <w:rPr>
          <w:color w:val="000000"/>
          <w:szCs w:val="20"/>
          <w:shd w:val="clear" w:color="auto" w:fill="FFFFFF"/>
        </w:rPr>
        <w:t xml:space="preserve">) i źródliskowe lasy olszowe 91E0-4 na obrzeżu dominujących olsów porzeczkowych </w:t>
      </w:r>
      <w:r>
        <w:rPr>
          <w:i/>
          <w:color w:val="000000"/>
          <w:szCs w:val="20"/>
          <w:shd w:val="clear" w:color="auto" w:fill="FFFFFF"/>
        </w:rPr>
        <w:t>Ribeso nigri - Alnetum</w:t>
      </w:r>
      <w:r>
        <w:rPr>
          <w:color w:val="000000"/>
          <w:szCs w:val="20"/>
          <w:shd w:val="clear" w:color="auto" w:fill="FFFFFF"/>
        </w:rPr>
        <w:t>, poprzez fragmenty grądów subatlantyckich (</w:t>
      </w:r>
      <w:r>
        <w:rPr>
          <w:i/>
          <w:color w:val="000000"/>
          <w:szCs w:val="20"/>
          <w:shd w:val="clear" w:color="auto" w:fill="FFFFFF"/>
        </w:rPr>
        <w:t>Stellario-Carpinetum</w:t>
      </w:r>
      <w:r>
        <w:rPr>
          <w:color w:val="000000"/>
          <w:szCs w:val="20"/>
          <w:shd w:val="clear" w:color="auto" w:fill="FFFFFF"/>
        </w:rPr>
        <w:t xml:space="preserve"> 9160-1) graniczących w tym regionie z subkontynentalnymi (</w:t>
      </w:r>
      <w:r>
        <w:rPr>
          <w:i/>
          <w:color w:val="000000"/>
          <w:szCs w:val="20"/>
          <w:shd w:val="clear" w:color="auto" w:fill="FFFFFF"/>
        </w:rPr>
        <w:t>Tilio-Carpinetum</w:t>
      </w:r>
      <w:r>
        <w:rPr>
          <w:color w:val="000000"/>
          <w:szCs w:val="20"/>
          <w:shd w:val="clear" w:color="auto" w:fill="FFFFFF"/>
        </w:rPr>
        <w:t xml:space="preserve"> - 9170-2) oraz zboczowymi (</w:t>
      </w:r>
      <w:r>
        <w:rPr>
          <w:i/>
          <w:color w:val="000000"/>
          <w:szCs w:val="20"/>
          <w:shd w:val="clear" w:color="auto" w:fill="FFFFFF"/>
        </w:rPr>
        <w:t>Acer platanoides - Tilia cordata</w:t>
      </w:r>
      <w:r>
        <w:rPr>
          <w:color w:val="000000"/>
          <w:szCs w:val="20"/>
          <w:shd w:val="clear" w:color="auto" w:fill="FFFFFF"/>
        </w:rPr>
        <w:t xml:space="preserve"> - 9170-3), a także potencjalnie z żyzną i kwaśną buczyną niżową (</w:t>
      </w:r>
      <w:r>
        <w:rPr>
          <w:i/>
          <w:color w:val="000000"/>
          <w:szCs w:val="20"/>
          <w:shd w:val="clear" w:color="auto" w:fill="FFFFFF"/>
        </w:rPr>
        <w:t>Galio odorati-Fagetum</w:t>
      </w:r>
      <w:r>
        <w:rPr>
          <w:color w:val="000000"/>
          <w:szCs w:val="20"/>
          <w:shd w:val="clear" w:color="auto" w:fill="FFFFFF"/>
        </w:rPr>
        <w:t xml:space="preserve"> - 9130-1 i </w:t>
      </w:r>
      <w:r>
        <w:rPr>
          <w:i/>
          <w:color w:val="000000"/>
          <w:szCs w:val="20"/>
          <w:shd w:val="clear" w:color="auto" w:fill="FFFFFF"/>
        </w:rPr>
        <w:t>Luzulo pilosae-Fagetum</w:t>
      </w:r>
      <w:r>
        <w:rPr>
          <w:color w:val="000000"/>
          <w:szCs w:val="20"/>
          <w:shd w:val="clear" w:color="auto" w:fill="FFFFFF"/>
        </w:rPr>
        <w:t xml:space="preserve"> - 9110-1). W tym miejscu dolina rzeki Mątawy, szczególnie od strony zachodniej, obfituje w liczne wysięki wód i źródliska z bogatą florą mchów i wątrobowców, co szczególnie podnosi jej walory przyrodnicze i krajobrazowe.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Teren rezerwatu zasiedla szereg rzadkich i chronionych gatunków zwierząt: bóbr europejski </w:t>
      </w:r>
      <w:r>
        <w:rPr>
          <w:i/>
          <w:color w:val="000000"/>
          <w:szCs w:val="20"/>
          <w:shd w:val="clear" w:color="auto" w:fill="FFFFFF"/>
        </w:rPr>
        <w:t>Castor fiber</w:t>
      </w:r>
      <w:r>
        <w:rPr>
          <w:color w:val="000000"/>
          <w:szCs w:val="20"/>
          <w:shd w:val="clear" w:color="auto" w:fill="FFFFFF"/>
        </w:rPr>
        <w:t xml:space="preserve">, wydry </w:t>
      </w:r>
      <w:r>
        <w:rPr>
          <w:i/>
          <w:color w:val="000000"/>
          <w:szCs w:val="20"/>
          <w:shd w:val="clear" w:color="auto" w:fill="FFFFFF"/>
        </w:rPr>
        <w:t>Lutra lutra</w:t>
      </w:r>
      <w:r>
        <w:rPr>
          <w:color w:val="000000"/>
          <w:szCs w:val="20"/>
          <w:shd w:val="clear" w:color="auto" w:fill="FFFFFF"/>
        </w:rPr>
        <w:t xml:space="preserve">, regularnie pojawia się wilk </w:t>
      </w:r>
      <w:r>
        <w:rPr>
          <w:i/>
          <w:color w:val="000000"/>
          <w:szCs w:val="20"/>
          <w:shd w:val="clear" w:color="auto" w:fill="FFFFFF"/>
        </w:rPr>
        <w:t>Canis lupus</w:t>
      </w:r>
      <w:r>
        <w:rPr>
          <w:color w:val="000000"/>
          <w:szCs w:val="20"/>
          <w:shd w:val="clear" w:color="auto" w:fill="FFFFFF"/>
        </w:rPr>
        <w:t xml:space="preserve">. Teren doliny rzeki okazał się ważnym żerowiskiem dla bocian czarnego </w:t>
      </w:r>
      <w:r>
        <w:rPr>
          <w:i/>
          <w:color w:val="000000"/>
          <w:szCs w:val="20"/>
          <w:shd w:val="clear" w:color="auto" w:fill="FFFFFF"/>
        </w:rPr>
        <w:t>Ciconia nigra</w:t>
      </w:r>
      <w:r>
        <w:rPr>
          <w:color w:val="000000"/>
          <w:szCs w:val="20"/>
          <w:shd w:val="clear" w:color="auto" w:fill="FFFFFF"/>
        </w:rPr>
        <w:t xml:space="preserve">, regularnie pojawia się kania ruda </w:t>
      </w:r>
      <w:r>
        <w:rPr>
          <w:i/>
          <w:color w:val="000000"/>
          <w:szCs w:val="20"/>
          <w:shd w:val="clear" w:color="auto" w:fill="FFFFFF"/>
        </w:rPr>
        <w:t>Milvus milvu</w:t>
      </w:r>
      <w:r>
        <w:rPr>
          <w:color w:val="000000"/>
          <w:szCs w:val="20"/>
          <w:shd w:val="clear" w:color="auto" w:fill="FFFFFF"/>
        </w:rPr>
        <w:t xml:space="preserve">s, myszołów </w:t>
      </w:r>
      <w:r>
        <w:rPr>
          <w:i/>
          <w:color w:val="000000"/>
          <w:szCs w:val="20"/>
          <w:shd w:val="clear" w:color="auto" w:fill="FFFFFF"/>
        </w:rPr>
        <w:t>Buteo buteo</w:t>
      </w:r>
      <w:r>
        <w:rPr>
          <w:color w:val="000000"/>
          <w:szCs w:val="20"/>
          <w:shd w:val="clear" w:color="auto" w:fill="FFFFFF"/>
        </w:rPr>
        <w:t xml:space="preserve">, jastrząb </w:t>
      </w:r>
      <w:r>
        <w:rPr>
          <w:i/>
          <w:color w:val="000000"/>
          <w:szCs w:val="20"/>
          <w:shd w:val="clear" w:color="auto" w:fill="FFFFFF"/>
        </w:rPr>
        <w:t>Accipiter gentilis</w:t>
      </w:r>
      <w:r>
        <w:rPr>
          <w:color w:val="000000"/>
          <w:szCs w:val="20"/>
          <w:shd w:val="clear" w:color="auto" w:fill="FFFFFF"/>
        </w:rPr>
        <w:t xml:space="preserve">, krogulec </w:t>
      </w:r>
      <w:r>
        <w:rPr>
          <w:i/>
          <w:color w:val="000000"/>
          <w:szCs w:val="20"/>
          <w:shd w:val="clear" w:color="auto" w:fill="FFFFFF"/>
        </w:rPr>
        <w:t>Accipiter nisus</w:t>
      </w:r>
      <w:r>
        <w:rPr>
          <w:color w:val="000000"/>
          <w:szCs w:val="20"/>
          <w:shd w:val="clear" w:color="auto" w:fill="FFFFFF"/>
        </w:rPr>
        <w:t xml:space="preserve">. Rezerwat przyrody jest miejscem gniazdowania m.in. bielika </w:t>
      </w:r>
      <w:r>
        <w:rPr>
          <w:i/>
          <w:color w:val="000000"/>
          <w:szCs w:val="20"/>
          <w:shd w:val="clear" w:color="auto" w:fill="FFFFFF"/>
        </w:rPr>
        <w:t>Haliaeetus albicilla</w:t>
      </w:r>
      <w:r>
        <w:rPr>
          <w:color w:val="000000"/>
          <w:szCs w:val="20"/>
          <w:shd w:val="clear" w:color="auto" w:fill="FFFFFF"/>
        </w:rPr>
        <w:t xml:space="preserve">, puszczyka </w:t>
      </w:r>
      <w:r>
        <w:rPr>
          <w:i/>
          <w:color w:val="000000"/>
          <w:szCs w:val="20"/>
          <w:shd w:val="clear" w:color="auto" w:fill="FFFFFF"/>
        </w:rPr>
        <w:t>Strix aluco</w:t>
      </w:r>
      <w:r>
        <w:rPr>
          <w:color w:val="000000"/>
          <w:szCs w:val="20"/>
          <w:shd w:val="clear" w:color="auto" w:fill="FFFFFF"/>
        </w:rPr>
        <w:t xml:space="preserve">, łabędzia krzykliwego </w:t>
      </w:r>
      <w:r>
        <w:rPr>
          <w:i/>
          <w:color w:val="000000"/>
          <w:szCs w:val="20"/>
          <w:shd w:val="clear" w:color="auto" w:fill="FFFFFF"/>
        </w:rPr>
        <w:t>Cygnus cygnus</w:t>
      </w:r>
      <w:r>
        <w:rPr>
          <w:color w:val="000000"/>
          <w:szCs w:val="20"/>
          <w:shd w:val="clear" w:color="auto" w:fill="FFFFFF"/>
        </w:rPr>
        <w:t xml:space="preserve">, żurawia </w:t>
      </w:r>
      <w:r>
        <w:rPr>
          <w:i/>
          <w:color w:val="000000"/>
          <w:szCs w:val="20"/>
          <w:shd w:val="clear" w:color="auto" w:fill="FFFFFF"/>
        </w:rPr>
        <w:t>Grus grus</w:t>
      </w:r>
      <w:r>
        <w:rPr>
          <w:color w:val="000000"/>
          <w:szCs w:val="20"/>
          <w:shd w:val="clear" w:color="auto" w:fill="FFFFFF"/>
        </w:rPr>
        <w:t xml:space="preserve">, zimorodka </w:t>
      </w:r>
      <w:r>
        <w:rPr>
          <w:i/>
          <w:color w:val="000000"/>
          <w:szCs w:val="20"/>
          <w:shd w:val="clear" w:color="auto" w:fill="FFFFFF"/>
        </w:rPr>
        <w:t>Alcedo atthis</w:t>
      </w:r>
      <w:r>
        <w:rPr>
          <w:color w:val="000000"/>
          <w:szCs w:val="20"/>
          <w:shd w:val="clear" w:color="auto" w:fill="FFFFFF"/>
        </w:rPr>
        <w:t xml:space="preserve">, gągoła </w:t>
      </w:r>
      <w:r>
        <w:rPr>
          <w:i/>
          <w:color w:val="000000"/>
          <w:szCs w:val="20"/>
          <w:shd w:val="clear" w:color="auto" w:fill="FFFFFF"/>
        </w:rPr>
        <w:t>Bucephala  clangula</w:t>
      </w:r>
      <w:r>
        <w:rPr>
          <w:color w:val="000000"/>
          <w:szCs w:val="20"/>
          <w:shd w:val="clear" w:color="auto" w:fill="FFFFFF"/>
        </w:rPr>
        <w:t xml:space="preserve"> oraz dzięciołów: czarnego </w:t>
      </w:r>
      <w:r>
        <w:rPr>
          <w:i/>
          <w:color w:val="000000"/>
          <w:szCs w:val="20"/>
          <w:shd w:val="clear" w:color="auto" w:fill="FFFFFF"/>
        </w:rPr>
        <w:t>Dryocepus martiius</w:t>
      </w:r>
      <w:r>
        <w:rPr>
          <w:color w:val="000000"/>
          <w:szCs w:val="20"/>
          <w:shd w:val="clear" w:color="auto" w:fill="FFFFFF"/>
        </w:rPr>
        <w:t xml:space="preserve">, zielonego </w:t>
      </w:r>
      <w:r>
        <w:rPr>
          <w:i/>
          <w:color w:val="000000"/>
          <w:szCs w:val="20"/>
          <w:shd w:val="clear" w:color="auto" w:fill="FFFFFF"/>
        </w:rPr>
        <w:t>Picus viridis</w:t>
      </w:r>
      <w:r>
        <w:rPr>
          <w:color w:val="000000"/>
          <w:szCs w:val="20"/>
          <w:shd w:val="clear" w:color="auto" w:fill="FFFFFF"/>
        </w:rPr>
        <w:t xml:space="preserve">, dużego  </w:t>
      </w:r>
      <w:r>
        <w:rPr>
          <w:i/>
          <w:color w:val="000000"/>
          <w:szCs w:val="20"/>
          <w:shd w:val="clear" w:color="auto" w:fill="FFFFFF"/>
        </w:rPr>
        <w:t>Dendrocopos major</w:t>
      </w:r>
      <w:r>
        <w:rPr>
          <w:color w:val="000000"/>
          <w:szCs w:val="20"/>
          <w:shd w:val="clear" w:color="auto" w:fill="FFFFFF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Rzeka Mątawa w rezerwacie przyrody na niemal całym terenie (tj. za wyjątkiem dolnego, podpiętrzonego odcinka) ma zachowany naturalny, zróżnicowany siedliskowo, meandrujący charakter koryta o wyraźnie zaznaczonym przepływie. Są to warunki sprzyjające formowaniu zbliżonych do naturalnych zespołów ichtiofauny i grup bezkręgowców wód płynących, o dużym udziale gatunków typowo rzecznych, co wymaga szczegółowej inwentaryzacji na etapie tworzenia planu ochrony dla powyższego rezerwatu.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>Teren rezerwatu przyrody znajduje się w granicach Nadwiślańskiego Parku Krajobrazowego, wchodzącego w skład  Zespołu Parków Krajobrazowych nad Dolną Wisłą, powołanie nowego rezerwatu przyrody na tym obszarze podkreśli walory funkcjonującego Parku.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>Na obszarach graniczących z rezerwatem wyznacza się otulinę o powierzchni 36,40 ha.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Dane o proponowanym rezerwacie pochodzą</w:t>
      </w:r>
      <w:r>
        <w:rPr>
          <w:color w:val="000000"/>
          <w:szCs w:val="20"/>
          <w:shd w:val="clear" w:color="auto" w:fill="FFFFFF"/>
        </w:rPr>
        <w:t xml:space="preserve"> z rekonesansu przyrodniczego przeprowadzonego wiosną 2024 r. przez przyrodników </w:t>
      </w:r>
      <w:r>
        <w:rPr>
          <w:color w:val="000000"/>
          <w:szCs w:val="20"/>
          <w:shd w:val="clear" w:color="auto" w:fill="FFFFFF"/>
        </w:rPr>
        <w:t>Polskiego Klubu Ekologicznego Okręgu Pomorsko-Kujawskiego</w:t>
      </w:r>
      <w:r>
        <w:rPr>
          <w:color w:val="000000"/>
          <w:szCs w:val="20"/>
          <w:shd w:val="clear" w:color="auto" w:fill="FFFFFF"/>
          <w:lang w:val="x-none" w:eastAsia="en-US" w:bidi="ar-SA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Ze względu na powyższe walory przyrodnicze, celem ochrony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rezerwatu jest zachowanie </w:t>
      </w:r>
      <w:r>
        <w:rPr>
          <w:color w:val="000000"/>
          <w:szCs w:val="20"/>
          <w:shd w:val="clear" w:color="auto" w:fill="FFFFFF"/>
        </w:rPr>
        <w:t>zróżnicowanych i unikatowych fitocenoz leśnych, ochrona wysięków wód i źródlisk, zachowanie ukształtowania i zasobów doliny rzeki Mątawy oraz zachodzących w niej procesów przyrodniczych.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Zgodnie z rozporządzeniem Ministra Środowiska z dnia 30 marca 20</w:t>
      </w:r>
      <w:r>
        <w:rPr>
          <w:color w:val="000000"/>
          <w:szCs w:val="20"/>
          <w:shd w:val="clear" w:color="auto" w:fill="FFFFFF"/>
        </w:rPr>
        <w:t>0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5 r. </w:t>
      </w:r>
      <w:r>
        <w:rPr>
          <w:color w:val="000000"/>
          <w:szCs w:val="20"/>
          <w:shd w:val="clear" w:color="auto" w:fill="FFFFFF"/>
        </w:rPr>
        <w:t xml:space="preserve">w sprawie rodzajów, typów i podtypów rezerwatów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(Dz. U. z 2005 r., Nr 60, poz. 533) </w:t>
      </w:r>
      <w:r>
        <w:rPr>
          <w:color w:val="000000"/>
          <w:szCs w:val="20"/>
          <w:shd w:val="clear" w:color="auto" w:fill="FFFFFF"/>
        </w:rPr>
        <w:t xml:space="preserve">dla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rezerwat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Dolina Rzeki Mątawy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określono rodzaj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Leśny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L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oraz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określ</w:t>
      </w:r>
      <w:r>
        <w:rPr>
          <w:color w:val="000000"/>
          <w:szCs w:val="20"/>
          <w:shd w:val="clear" w:color="auto" w:fill="FFFFFF"/>
        </w:rPr>
        <w:t>ono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typ i podtyp: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1) ze względu na dominujący przedmiot ochrony: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typ - </w:t>
      </w:r>
      <w:r>
        <w:rPr>
          <w:color w:val="000000"/>
          <w:szCs w:val="20"/>
          <w:shd w:val="clear" w:color="auto" w:fill="FFFFFF"/>
          <w:lang w:val="x-none" w:eastAsia="en-US" w:bidi="ar-SA"/>
        </w:rPr>
        <w:t>Fitocenotyczny (PFi), podtyp</w:t>
      </w:r>
      <w:r>
        <w:rPr>
          <w:color w:val="000000"/>
          <w:szCs w:val="20"/>
          <w:shd w:val="clear" w:color="auto" w:fill="FFFFFF"/>
        </w:rPr>
        <w:t xml:space="preserve"> -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zbiorowisk leśnych (zl);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2) ze względu na główny typ ekosystemu: typ – Leśny i borowy (EL), </w:t>
      </w:r>
      <w:r>
        <w:rPr>
          <w:color w:val="000000"/>
          <w:szCs w:val="20"/>
          <w:shd w:val="clear" w:color="auto" w:fill="FFFFFF"/>
        </w:rPr>
        <w:t xml:space="preserve">podtyp - </w:t>
      </w:r>
      <w:r>
        <w:rPr>
          <w:color w:val="000000"/>
          <w:szCs w:val="20"/>
          <w:shd w:val="clear" w:color="auto" w:fill="FFFFFF"/>
          <w:lang w:val="x-none" w:eastAsia="en-US" w:bidi="ar-SA"/>
        </w:rPr>
        <w:t>lasów nizinnych (lni).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niniejszym akcie prawnym, wykorzystując dane systemu informacji przestrzennej, wprowadzono załączniki w postaci mapy obszaru rezerwatu oraz wykaz współrzędnych punktów załamania granic</w:t>
      </w:r>
      <w:r>
        <w:rPr>
          <w:color w:val="000000"/>
          <w:szCs w:val="20"/>
          <w:shd w:val="clear" w:color="auto" w:fill="FFFFFF"/>
        </w:rPr>
        <w:t xml:space="preserve">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sporządzonych w układzie współrzędnych płaskich prostokątnych PL-1992, o których mowa w rozporządzeniu Rady Ministrów z dnia 15 października 2012 r. w sprawie państwowego systemu odniesień przestrzennych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(Dz.U z 20</w:t>
      </w:r>
      <w:r>
        <w:rPr>
          <w:color w:val="000000"/>
          <w:szCs w:val="20"/>
          <w:shd w:val="clear" w:color="auto" w:fill="FFFFFF"/>
        </w:rPr>
        <w:t>24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r., poz. </w:t>
      </w:r>
      <w:r>
        <w:rPr>
          <w:color w:val="000000"/>
          <w:szCs w:val="20"/>
          <w:shd w:val="clear" w:color="auto" w:fill="FFFFFF"/>
        </w:rPr>
        <w:t>342</w:t>
      </w:r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u w:color="00000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R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ezerwat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Dolina Rzeki Mątawy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położ</w:t>
      </w:r>
      <w:r>
        <w:rPr>
          <w:color w:val="000000"/>
          <w:szCs w:val="20"/>
          <w:u w:color="000000"/>
          <w:shd w:val="clear" w:color="auto" w:fill="FFFFFF"/>
        </w:rPr>
        <w:t>ony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</w:rPr>
        <w:t>jest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na gruntach należących do Skarbu Państwa, zarządzanych </w:t>
      </w:r>
      <w:r>
        <w:rPr>
          <w:color w:val="000000"/>
          <w:szCs w:val="20"/>
          <w:u w:color="000000"/>
          <w:shd w:val="clear" w:color="auto" w:fill="FFFFFF"/>
        </w:rPr>
        <w:t xml:space="preserve">przez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r>
        <w:rPr>
          <w:color w:val="000000"/>
          <w:szCs w:val="20"/>
          <w:u w:color="000000"/>
          <w:shd w:val="clear" w:color="auto" w:fill="FFFFFF"/>
        </w:rPr>
        <w:t xml:space="preserve">Dąbrowa oraz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Państwowe Gospodarstwo Wodne Wody Polskie Regionalny Zarząd Gospodarki Wodnej w Gdańsku</w:t>
      </w:r>
      <w:r>
        <w:rPr>
          <w:color w:val="000000"/>
          <w:szCs w:val="20"/>
          <w:u w:color="000000"/>
          <w:shd w:val="clear" w:color="auto" w:fill="FFFFFF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r>
        <w:rPr>
          <w:color w:val="000000"/>
          <w:szCs w:val="20"/>
          <w:u w:color="000000"/>
          <w:shd w:val="clear" w:color="auto" w:fill="FFFFFF"/>
        </w:rPr>
        <w:t xml:space="preserve">Dąbrowa, wyraziło zgodę na utworzenie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Dolina Rzeki Mątawy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i zaopiniowało projekt rezerwatu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25 marca 2025 r., znak ZG.7212.17.2025.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</w:rPr>
        <w:t xml:space="preserve">Regionalna Dyrekcja Lasów Państwowych w Toruniu wyraziła zgodę na utworzenie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Dolina Rzeki Mątawy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i zaopiniowała projekt rezerwatu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25 marca 2025 r., znak ZO.7212.8.2025.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Państwowe Gospodarstwo Wodne Wody Polskie Regionalny Zarząd Gospodarki Wodnej w Gdańsku</w:t>
      </w:r>
      <w:r>
        <w:rPr>
          <w:color w:val="000000"/>
          <w:szCs w:val="20"/>
          <w:u w:color="000000"/>
          <w:shd w:val="clear" w:color="auto" w:fill="FFFFFF"/>
        </w:rPr>
        <w:t xml:space="preserve">, zarządca części obszaru rezerwatu, wyraziło zgodę na utworzenie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Dolina Rzeki Mątawy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i zaopiniowało projekt rezerwatu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3 marca 2025 r., znak G.RZŚ.492.5.2025.MBC.1.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Nadzór nad rezerwatem powierzony został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Regionaln</w:t>
      </w:r>
      <w:r>
        <w:rPr>
          <w:color w:val="000000"/>
          <w:szCs w:val="20"/>
          <w:shd w:val="clear" w:color="auto" w:fill="FFFFFF"/>
        </w:rPr>
        <w:t>emu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Dyrektor</w:t>
      </w:r>
      <w:r>
        <w:rPr>
          <w:color w:val="000000"/>
          <w:szCs w:val="20"/>
          <w:shd w:val="clear" w:color="auto" w:fill="FFFFFF"/>
        </w:rPr>
        <w:t>owi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Ochrony Środowiska w Bydgoszczy</w:t>
      </w:r>
      <w:r>
        <w:rPr>
          <w:color w:val="000000"/>
          <w:szCs w:val="20"/>
          <w:shd w:val="clear" w:color="auto" w:fill="FFFFFF"/>
          <w:lang w:val="x-none" w:eastAsia="en-US" w:bidi="ar-SA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 w:val="22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Projekt zarządzenia został zaopiniowany pozytywnie przez Regionalną Radę Ochrony Przyrody w Bydgoszczy  </w:t>
      </w:r>
      <w:r>
        <w:rPr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uchwałą </w:t>
      </w:r>
      <w:r>
        <w:rPr>
          <w:color w:val="000000"/>
          <w:sz w:val="22"/>
          <w:szCs w:val="20"/>
          <w:shd w:val="clear" w:color="auto" w:fill="FFFFFF"/>
        </w:rPr>
        <w:t>n</w:t>
      </w:r>
      <w:r>
        <w:rPr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r </w:t>
      </w:r>
      <w:r>
        <w:rPr>
          <w:color w:val="000000"/>
          <w:sz w:val="22"/>
          <w:szCs w:val="20"/>
          <w:shd w:val="clear" w:color="auto" w:fill="FFFFFF"/>
        </w:rPr>
        <w:t>4/2025</w:t>
      </w:r>
      <w:r>
        <w:rPr>
          <w:color w:val="000000"/>
          <w:sz w:val="22"/>
          <w:szCs w:val="20"/>
          <w:shd w:val="clear" w:color="auto" w:fill="FFFFFF"/>
          <w:lang w:val="x-none" w:eastAsia="en-US" w:bidi="ar-SA"/>
        </w:rPr>
        <w:t>, z dnia</w:t>
      </w:r>
      <w:r>
        <w:rPr>
          <w:color w:val="000000"/>
          <w:sz w:val="22"/>
          <w:szCs w:val="20"/>
          <w:shd w:val="clear" w:color="auto" w:fill="FFFFFF"/>
        </w:rPr>
        <w:t xml:space="preserve"> 8 kwietnia 2025 r.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 podstawie art. 59 ust. 2 ustawy z dnia 23 stycznia 2009 r. o wojewodzie i administracji rządowej w województwie </w:t>
      </w:r>
      <w:r>
        <w:rPr>
          <w:color w:val="000000"/>
          <w:szCs w:val="20"/>
          <w:shd w:val="clear" w:color="auto" w:fill="FFFFFF"/>
        </w:rPr>
        <w:t>(Dz. U. z 2023 r. poz. 190)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projekt zarządzenia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został uzgodniony przez Wojewodę Kujawsko-Pomorskiego </w:t>
      </w:r>
      <w:r>
        <w:rPr>
          <w:color w:val="000000"/>
          <w:szCs w:val="20"/>
          <w:shd w:val="clear" w:color="auto" w:fill="FFFFFF"/>
        </w:rPr>
        <w:t>pismem znak: WRS.II.710.4.3.2025, z dnia 23 kwietnia 2025 r.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right"/>
        <w:rPr>
          <w:color w:val="000000"/>
          <w:szCs w:val="20"/>
          <w:shd w:val="clear" w:color="auto" w:fill="FFFFFF"/>
          <w:lang w:val="x-none" w:eastAsia="en-US" w:bidi="ar-SA"/>
        </w:rPr>
      </w:pPr>
      <w:r>
        <w:drawing>
          <wp:inline>
            <wp:extent cx="2647950" cy="105727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footerReference w:type="default" r:id="rId23"/>
      <w:type w:val="nextPage"/>
      <w:pgSz w:w="11907" w:h="16839" w:code="9"/>
      <w:pgMar w:top="1440" w:right="862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47AE27DB-BBA7-40CF-A10A-0BE47D4B5608.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47AE27DB-BBA7-40CF-A10A-0BE47D4B5608.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47AE27DB-BBA7-40CF-A10A-0BE47D4B5608.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47AE27DB-BBA7-40CF-A10A-0BE47D4B5608.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403"/>
      <w:gridCol w:w="32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47AE27DB-BBA7-40CF-A10A-0BE47D4B5608. Uchwalony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pPr>
        <w:spacing w:after="0" w:line="240" w:lineRule="auto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  <w:footnote w:id="2">
    <w:p>
      <w:pPr>
        <w:pStyle w:val="FootnoteText"/>
        <w:keepNext w:val="0"/>
        <w:keepLines/>
        <w:spacing w:before="0" w:after="0" w:line="240" w:lineRule="auto"/>
        <w:ind w:left="170" w:right="0" w:hanging="170"/>
        <w:jc w:val="both"/>
        <w:rPr>
          <w:rFonts w:ascii="Times New Roman" w:eastAsia="Times New Roman" w:hAnsi="Times New Roman" w:cs="Times New Roman"/>
          <w:sz w:val="20"/>
        </w:rPr>
      </w:pPr>
      <w:r>
        <w:rPr>
          <w:rStyle w:val="FootnoteReference"/>
          <w:b w:val="0"/>
          <w:caps w:val="0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z w:val="20"/>
        </w:rPr>
        <w:t>Układ współrzędnych płaskich prostokątnych PL-1992 jest jednym z układów tworzących państwowy system odniesień przestrzennych, o którym mowa w przepisach wydanych na podstawie art. 3 ust. 5 ustawy z dnia 17 maja 1989 r. – Prawo geodezyjne i kartograficzne (t.j. Dz. U. z 2024 r. poz. 1151 i 1824).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footnotePr>
    <w:footnote w:id="0"/>
    <w:footnote w:id="1"/>
  </w:footnotePr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  <w:lang w:val="pl-PL" w:eastAsia="pl-PL" w:bidi="pl-PL"/>
    </w:rPr>
  </w:style>
  <w:style w:type="character" w:default="1" w:styleId="DefaultParagraphFont">
    <w:name w:val="Default Paragraph Font"/>
    <w:semiHidden/>
    <w:rPr>
      <w:lang w:val="pl-PL" w:eastAsia="pl-PL" w:bidi="pl-PL"/>
    </w:rPr>
  </w:style>
  <w:style w:type="table" w:default="1" w:styleId="TableNormal">
    <w:name w:val="Normal Table"/>
    <w:semiHidden/>
    <w:rPr>
      <w:lang w:val="pl-PL" w:eastAsia="pl-PL" w:bidi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basedOn w:val="DefaultParagraphFont"/>
    <w:rsid w:val="00805BCE"/>
    <w:rPr>
      <w:vertAlign w:val="superscript"/>
    </w:rPr>
  </w:style>
  <w:style w:type="paragraph" w:styleId="FootnoteText">
    <w:name w:val="footnote text"/>
    <w:basedOn w:val="Normal"/>
    <w:rsid w:val="00805BC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3.png" /><Relationship Id="rId11" Type="http://schemas.openxmlformats.org/officeDocument/2006/relationships/image" Target="Zalacznik48F9DF96-FF6E-427B-AFE3-306465A83362.jpg" TargetMode="External" /><Relationship Id="rId12" Type="http://schemas.openxmlformats.org/officeDocument/2006/relationships/image" Target="media/image4.png" /><Relationship Id="rId13" Type="http://schemas.openxmlformats.org/officeDocument/2006/relationships/image" Target="ZalacznikD29246E3-97F6-4420-AE37-4EDAFC86765D.jpg" TargetMode="External" /><Relationship Id="rId14" Type="http://schemas.openxmlformats.org/officeDocument/2006/relationships/image" Target="media/image5.png" /><Relationship Id="rId15" Type="http://schemas.openxmlformats.org/officeDocument/2006/relationships/image" Target="Zalacznik8550ECFD-9E10-4380-9D80-7497B08CFF4A.jpg" TargetMode="External" /><Relationship Id="rId16" Type="http://schemas.openxmlformats.org/officeDocument/2006/relationships/image" Target="Zalacznik91FD14E7-5E95-41E8-A20F-EB9A69DABE60.jpg" TargetMode="External" /><Relationship Id="rId17" Type="http://schemas.openxmlformats.org/officeDocument/2006/relationships/footer" Target="footer2.xml" /><Relationship Id="rId18" Type="http://schemas.openxmlformats.org/officeDocument/2006/relationships/image" Target="ZalacznikF5544AAE-32F2-4667-94B1-59FD5F826254.jpg" TargetMode="External" /><Relationship Id="rId19" Type="http://schemas.openxmlformats.org/officeDocument/2006/relationships/footer" Target="footer3.xml" /><Relationship Id="rId2" Type="http://schemas.openxmlformats.org/officeDocument/2006/relationships/settings" Target="settings.xml" /><Relationship Id="rId20" Type="http://schemas.openxmlformats.org/officeDocument/2006/relationships/image" Target="Zalacznik567C78BB-DAF7-4E17-BF33-F503938D98B0.jpg" TargetMode="External" /><Relationship Id="rId21" Type="http://schemas.openxmlformats.org/officeDocument/2006/relationships/footer" Target="footer4.xml" /><Relationship Id="rId22" Type="http://schemas.openxmlformats.org/officeDocument/2006/relationships/image" Target="media/image6.jpeg" /><Relationship Id="rId23" Type="http://schemas.openxmlformats.org/officeDocument/2006/relationships/footer" Target="footer5.xml" /><Relationship Id="rId24" Type="http://schemas.openxmlformats.org/officeDocument/2006/relationships/theme" Target="theme/theme1.xml" /><Relationship Id="rId25" Type="http://schemas.openxmlformats.org/officeDocument/2006/relationships/styles" Target="style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1.jpeg" /><Relationship Id="rId6" Type="http://schemas.openxmlformats.org/officeDocument/2006/relationships/image" Target="ZalacznikD740996E-3979-4AD4-8A3E-62C746504F05.jpg" TargetMode="External" /><Relationship Id="rId7" Type="http://schemas.openxmlformats.org/officeDocument/2006/relationships/footer" Target="footer1.xml" /><Relationship Id="rId8" Type="http://schemas.openxmlformats.org/officeDocument/2006/relationships/image" Target="media/image2.png" /><Relationship Id="rId9" Type="http://schemas.openxmlformats.org/officeDocument/2006/relationships/image" Target="Zalacznik1BE671A8-5695-4ABE-9C3C-DBF9794FAA8B.jp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Regionalny Dyrektor Ochrony Środowiska w Bydgoszczy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z dnia 19 maja 2025 r.</dc:title>
  <dc:subject>w^sprawie uznania za rezerwat przyrody „Dolina Rzeki Mątawy”</dc:subject>
  <dc:creator>kleszczynska</dc:creator>
  <cp:lastModifiedBy>kleszczynska</cp:lastModifiedBy>
  <cp:revision>1</cp:revision>
  <dcterms:created xsi:type="dcterms:W3CDTF">2025-05-19T12:38:08Z</dcterms:created>
  <dcterms:modified xsi:type="dcterms:W3CDTF">2025-05-19T12:38:08Z</dcterms:modified>
  <cp:category>Akt prawny</cp:category>
</cp:coreProperties>
</file>