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9B4B0" w14:textId="77777777" w:rsidR="00FE302E" w:rsidRPr="00C13B3B" w:rsidRDefault="00FE302E" w:rsidP="00FE302E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D658E58" w14:textId="77777777" w:rsidR="00FE302E" w:rsidRPr="00C13B3B" w:rsidRDefault="00FE302E" w:rsidP="00FE302E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C12879C" w14:textId="77777777" w:rsidR="00FE302E" w:rsidRPr="00C13B3B" w:rsidRDefault="00FE302E" w:rsidP="00FE302E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DE923A5" w14:textId="77777777" w:rsidR="00FE302E" w:rsidRPr="00C13B3B" w:rsidRDefault="00FE302E" w:rsidP="00FE302E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4093EB8" w14:textId="77777777" w:rsidR="00FE302E" w:rsidRPr="00C13B3B" w:rsidRDefault="00FE302E" w:rsidP="00FE302E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1B7E126" w14:textId="055CFCF4" w:rsidR="00FE302E" w:rsidRPr="00C13B3B" w:rsidRDefault="00A65357" w:rsidP="00FE302E">
      <w:pPr>
        <w:pStyle w:val="Default"/>
        <w:jc w:val="center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REGULAMIN</w:t>
      </w:r>
    </w:p>
    <w:p w14:paraId="66455382" w14:textId="77777777" w:rsidR="00FE302E" w:rsidRPr="00C13B3B" w:rsidRDefault="00FE302E" w:rsidP="00FE302E">
      <w:pPr>
        <w:pStyle w:val="Default"/>
        <w:jc w:val="center"/>
        <w:rPr>
          <w:color w:val="auto"/>
          <w:sz w:val="32"/>
          <w:szCs w:val="32"/>
        </w:rPr>
      </w:pPr>
    </w:p>
    <w:p w14:paraId="0CA180DD" w14:textId="77777777" w:rsidR="00FE302E" w:rsidRPr="00C13B3B" w:rsidRDefault="00FE302E" w:rsidP="00FE302E">
      <w:pPr>
        <w:pStyle w:val="Default"/>
        <w:jc w:val="center"/>
        <w:rPr>
          <w:color w:val="auto"/>
          <w:sz w:val="32"/>
          <w:szCs w:val="32"/>
        </w:rPr>
      </w:pPr>
      <w:r w:rsidRPr="00C13B3B">
        <w:rPr>
          <w:color w:val="auto"/>
          <w:sz w:val="32"/>
          <w:szCs w:val="32"/>
        </w:rPr>
        <w:t>dla zamówień poniżej kwoty, o której mowa w art. 2 ust. 1 pkt 1 ustawy Prawo zamówień publicznych realizowanych w ramach projektów współfinansowanych ze środków Funduszy Europejskich w ramach Programu Fundusze Europejskie na Infrastrukturę Klimat i Środowisko 2021-2027</w:t>
      </w:r>
    </w:p>
    <w:p w14:paraId="6503A219" w14:textId="44CE074D" w:rsidR="00FE302E" w:rsidRPr="00C13B3B" w:rsidRDefault="0036004A" w:rsidP="0036004A">
      <w:pPr>
        <w:rPr>
          <w:rFonts w:ascii="Arial" w:hAnsi="Arial" w:cs="Arial"/>
          <w:b/>
          <w:bCs/>
          <w:sz w:val="20"/>
          <w:szCs w:val="20"/>
        </w:rPr>
      </w:pPr>
      <w:r w:rsidRPr="00C13B3B">
        <w:rPr>
          <w:b/>
          <w:bCs/>
          <w:sz w:val="20"/>
          <w:szCs w:val="20"/>
        </w:rPr>
        <w:br w:type="page"/>
      </w:r>
    </w:p>
    <w:p w14:paraId="33EB4732" w14:textId="77777777" w:rsidR="00FE302E" w:rsidRPr="00C13B3B" w:rsidRDefault="00FE302E" w:rsidP="00FE302E">
      <w:pPr>
        <w:pStyle w:val="Default"/>
        <w:jc w:val="center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lastRenderedPageBreak/>
        <w:t>§ 1</w:t>
      </w:r>
    </w:p>
    <w:p w14:paraId="641706C1" w14:textId="77777777" w:rsidR="00FE302E" w:rsidRPr="00C13B3B" w:rsidRDefault="00FE302E" w:rsidP="00FE302E">
      <w:pPr>
        <w:pStyle w:val="Default"/>
        <w:jc w:val="center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OGÓLNE ZASADY UDZIELANIA ZAMÓWIEŃ PUBLICZNYCH</w:t>
      </w:r>
    </w:p>
    <w:p w14:paraId="626AFFCA" w14:textId="77777777" w:rsidR="00FE302E" w:rsidRPr="00C13B3B" w:rsidRDefault="00FE302E" w:rsidP="00FE302E">
      <w:pPr>
        <w:pStyle w:val="Default"/>
        <w:spacing w:after="13"/>
        <w:rPr>
          <w:color w:val="auto"/>
          <w:sz w:val="20"/>
          <w:szCs w:val="20"/>
        </w:rPr>
      </w:pPr>
    </w:p>
    <w:p w14:paraId="3DE3D4E1" w14:textId="704752E4" w:rsidR="00B527B5" w:rsidRPr="00C13B3B" w:rsidRDefault="00FE302E" w:rsidP="003128F9">
      <w:pPr>
        <w:pStyle w:val="Default"/>
        <w:numPr>
          <w:ilvl w:val="0"/>
          <w:numId w:val="1"/>
        </w:numPr>
        <w:spacing w:after="13"/>
        <w:ind w:left="426" w:hanging="426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 xml:space="preserve">Wydatki w ramach projektu muszą być ponoszone w sposób </w:t>
      </w:r>
      <w:r w:rsidR="00B527B5" w:rsidRPr="00C13B3B">
        <w:rPr>
          <w:color w:val="auto"/>
          <w:sz w:val="20"/>
          <w:szCs w:val="20"/>
        </w:rPr>
        <w:t xml:space="preserve">przejrzysty, racjonalny i efektywny, </w:t>
      </w:r>
      <w:r w:rsidR="00871F10" w:rsidRPr="00C13B3B">
        <w:rPr>
          <w:color w:val="auto"/>
          <w:sz w:val="20"/>
          <w:szCs w:val="20"/>
        </w:rPr>
        <w:br/>
      </w:r>
      <w:r w:rsidR="00B527B5" w:rsidRPr="00C13B3B">
        <w:rPr>
          <w:color w:val="auto"/>
          <w:sz w:val="20"/>
          <w:szCs w:val="20"/>
        </w:rPr>
        <w:t>z zachowaniem zasad uzyskiwania najlepszych efektów z danych nakładów.</w:t>
      </w:r>
    </w:p>
    <w:p w14:paraId="686A962D" w14:textId="77777777" w:rsidR="00C1706A" w:rsidRPr="00C13B3B" w:rsidRDefault="00C1706A" w:rsidP="00CE4770">
      <w:pPr>
        <w:pStyle w:val="Default"/>
        <w:numPr>
          <w:ilvl w:val="0"/>
          <w:numId w:val="1"/>
        </w:numPr>
        <w:spacing w:after="13"/>
        <w:ind w:left="426" w:hanging="426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Podstawą obliczenia szacunkowej wartości zamówienia w ramach projektu jest całkowite szacunkowe wynagrodzenie wykonawcy, bez podatku od towarów i usług, ustalone z należytą starannością. Szacowanie jest dokumentowane w sposób zapewniający właściwą ścieżkę audytu (np. w zatwierdzonym wniosku o dofinansowanie projektu lub w notatce z szacowania).</w:t>
      </w:r>
    </w:p>
    <w:p w14:paraId="5C101F67" w14:textId="77777777" w:rsidR="00C1706A" w:rsidRPr="00C13B3B" w:rsidRDefault="00C1706A" w:rsidP="00CE4770">
      <w:pPr>
        <w:pStyle w:val="Default"/>
        <w:numPr>
          <w:ilvl w:val="0"/>
          <w:numId w:val="1"/>
        </w:numPr>
        <w:spacing w:after="13"/>
        <w:ind w:left="426" w:hanging="426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Obliczając szacunkową wartość zamówienia należy wziąć pod uwagę konieczność łącznego spełnienia trzech przesłanek (tożsamości):</w:t>
      </w:r>
    </w:p>
    <w:p w14:paraId="71919133" w14:textId="77777777" w:rsidR="00C1706A" w:rsidRPr="00C13B3B" w:rsidRDefault="00C1706A" w:rsidP="00CE4770">
      <w:pPr>
        <w:pStyle w:val="Default"/>
        <w:numPr>
          <w:ilvl w:val="0"/>
          <w:numId w:val="23"/>
        </w:numPr>
        <w:spacing w:after="13"/>
        <w:ind w:left="709" w:hanging="283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usługi, dostawy oraz roboty budowlane są tożsame rodzajowo lub funkcjonalnie (tożsamość przedmiotowa), przy czym tożsamość rodzajowa dostaw obejmuje dostawy podobne,</w:t>
      </w:r>
    </w:p>
    <w:p w14:paraId="787C491C" w14:textId="77777777" w:rsidR="00C1706A" w:rsidRPr="00C13B3B" w:rsidRDefault="00C1706A" w:rsidP="00CE4770">
      <w:pPr>
        <w:pStyle w:val="Default"/>
        <w:numPr>
          <w:ilvl w:val="0"/>
          <w:numId w:val="23"/>
        </w:numPr>
        <w:spacing w:after="13"/>
        <w:ind w:left="709" w:hanging="283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możliwe jest udzielenie zamówienia w tym samym czasie (tożsamość czasowa),</w:t>
      </w:r>
    </w:p>
    <w:p w14:paraId="530DB37A" w14:textId="77777777" w:rsidR="00C1706A" w:rsidRPr="00C13B3B" w:rsidRDefault="00C1706A" w:rsidP="00CE4770">
      <w:pPr>
        <w:pStyle w:val="Default"/>
        <w:numPr>
          <w:ilvl w:val="0"/>
          <w:numId w:val="23"/>
        </w:numPr>
        <w:spacing w:after="13"/>
        <w:ind w:left="709" w:hanging="283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możliwe jest wykonanie zamówienia przez jednego wykonawcę (tożsamość podmiotowa).</w:t>
      </w:r>
    </w:p>
    <w:p w14:paraId="4FAB3659" w14:textId="798E3BE8" w:rsidR="00C1706A" w:rsidRPr="00C13B3B" w:rsidRDefault="00C1706A" w:rsidP="00CE4770">
      <w:pPr>
        <w:pStyle w:val="Default"/>
        <w:spacing w:after="13"/>
        <w:ind w:left="720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Tożsamości należy rozumieć zgodnie z wykładnią przepisów Pzp dotyczących szacowania wartości zamówienia</w:t>
      </w:r>
      <w:r w:rsidR="00871F10" w:rsidRPr="00C13B3B">
        <w:rPr>
          <w:color w:val="auto"/>
          <w:sz w:val="20"/>
          <w:szCs w:val="20"/>
        </w:rPr>
        <w:t>.</w:t>
      </w:r>
    </w:p>
    <w:p w14:paraId="7650C4CD" w14:textId="015E2DFB" w:rsidR="00FE302E" w:rsidRPr="00C13B3B" w:rsidRDefault="00FE302E" w:rsidP="00CE4770">
      <w:pPr>
        <w:pStyle w:val="Default"/>
        <w:numPr>
          <w:ilvl w:val="0"/>
          <w:numId w:val="1"/>
        </w:numPr>
        <w:spacing w:after="13"/>
        <w:ind w:left="426" w:hanging="426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Udzielanie zamówień następuje zgodnie z zasadą łącznego szacowania wartości wszystkich zamówień z danej kat</w:t>
      </w:r>
      <w:r w:rsidR="00871F10" w:rsidRPr="00C13B3B">
        <w:rPr>
          <w:color w:val="auto"/>
          <w:sz w:val="20"/>
          <w:szCs w:val="20"/>
        </w:rPr>
        <w:t>egorii w ramach całego projektu z wyłączeniem projektów partnerskich</w:t>
      </w:r>
      <w:r w:rsidR="00871F10" w:rsidRPr="00C13B3B">
        <w:rPr>
          <w:rStyle w:val="Odwoanieprzypisudolnego"/>
          <w:color w:val="auto"/>
          <w:sz w:val="20"/>
          <w:szCs w:val="20"/>
        </w:rPr>
        <w:footnoteReference w:id="1"/>
      </w:r>
      <w:r w:rsidR="00871F10" w:rsidRPr="00C13B3B">
        <w:rPr>
          <w:color w:val="auto"/>
          <w:sz w:val="20"/>
          <w:szCs w:val="20"/>
        </w:rPr>
        <w:t>.</w:t>
      </w:r>
      <w:r w:rsidRPr="00C13B3B">
        <w:rPr>
          <w:color w:val="auto"/>
          <w:sz w:val="20"/>
          <w:szCs w:val="20"/>
        </w:rPr>
        <w:t xml:space="preserve"> </w:t>
      </w:r>
    </w:p>
    <w:p w14:paraId="139AEFD3" w14:textId="77777777" w:rsidR="00FE302E" w:rsidRPr="00C13B3B" w:rsidRDefault="00FE302E" w:rsidP="00CE4770">
      <w:pPr>
        <w:pStyle w:val="Default"/>
        <w:numPr>
          <w:ilvl w:val="0"/>
          <w:numId w:val="1"/>
        </w:numPr>
        <w:spacing w:after="13"/>
        <w:ind w:left="426" w:hanging="426"/>
        <w:jc w:val="both"/>
        <w:rPr>
          <w:color w:val="auto"/>
          <w:sz w:val="20"/>
          <w:szCs w:val="20"/>
          <w:u w:val="single"/>
        </w:rPr>
      </w:pPr>
      <w:r w:rsidRPr="00C13B3B">
        <w:rPr>
          <w:color w:val="auto"/>
          <w:sz w:val="20"/>
          <w:szCs w:val="20"/>
          <w:u w:val="single"/>
        </w:rPr>
        <w:t xml:space="preserve">Przed wszczęciem postępowania w oparciu o art. 30 ust. 4 ustawy Pzp, należy uzyskać pisemną akceptację od Centrum Koordynacji Projektów Środowiskowych odnośnie możliwości udzielenia przedmiotowego zamówienia. </w:t>
      </w:r>
    </w:p>
    <w:p w14:paraId="39EF352A" w14:textId="77777777" w:rsidR="00FE302E" w:rsidRPr="00C13B3B" w:rsidRDefault="00FE302E" w:rsidP="00CE4770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 xml:space="preserve">W sprawach nieuregulowanych w niniejszym regulaminie zastosowanie mają przepisy Kodeksu cywilnego. </w:t>
      </w:r>
    </w:p>
    <w:p w14:paraId="28D758FC" w14:textId="77777777" w:rsidR="00FE302E" w:rsidRPr="00C13B3B" w:rsidRDefault="00FE302E" w:rsidP="00FE302E">
      <w:pPr>
        <w:pStyle w:val="Default"/>
        <w:rPr>
          <w:color w:val="auto"/>
          <w:sz w:val="20"/>
          <w:szCs w:val="20"/>
        </w:rPr>
      </w:pPr>
    </w:p>
    <w:p w14:paraId="687D9562" w14:textId="77777777" w:rsidR="00FE302E" w:rsidRPr="00C13B3B" w:rsidRDefault="00FE302E" w:rsidP="00FE302E">
      <w:pPr>
        <w:pStyle w:val="Default"/>
        <w:jc w:val="center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§ 2</w:t>
      </w:r>
    </w:p>
    <w:p w14:paraId="34D8C8A3" w14:textId="77777777" w:rsidR="00FE302E" w:rsidRPr="00C13B3B" w:rsidRDefault="00FE302E" w:rsidP="00FE302E">
      <w:pPr>
        <w:pStyle w:val="Default"/>
        <w:jc w:val="center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WYŁĄCZENIA OD STOSOWANIA REGULAMINU</w:t>
      </w:r>
    </w:p>
    <w:p w14:paraId="7B95EE9A" w14:textId="77777777" w:rsidR="0011333C" w:rsidRPr="00C13B3B" w:rsidRDefault="0011333C" w:rsidP="003128F9">
      <w:pPr>
        <w:pStyle w:val="Default"/>
        <w:numPr>
          <w:ilvl w:val="0"/>
          <w:numId w:val="2"/>
        </w:numPr>
        <w:ind w:left="426" w:hanging="426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Zasady konkurencyjności nie stosuje się do:</w:t>
      </w:r>
    </w:p>
    <w:p w14:paraId="41EF7E89" w14:textId="1BB03441" w:rsidR="0011333C" w:rsidRPr="00C13B3B" w:rsidRDefault="0011333C" w:rsidP="003128F9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zamówień, których wart</w:t>
      </w:r>
      <w:r w:rsidR="0036004A" w:rsidRPr="00C13B3B">
        <w:rPr>
          <w:rFonts w:ascii="Arial" w:hAnsi="Arial" w:cs="Arial"/>
          <w:sz w:val="20"/>
          <w:szCs w:val="20"/>
        </w:rPr>
        <w:t>ość nie przekracza kwoty 8</w:t>
      </w:r>
      <w:r w:rsidRPr="00C13B3B">
        <w:rPr>
          <w:rFonts w:ascii="Arial" w:hAnsi="Arial" w:cs="Arial"/>
          <w:sz w:val="20"/>
          <w:szCs w:val="20"/>
        </w:rPr>
        <w:t>0.000 zł netto,</w:t>
      </w:r>
    </w:p>
    <w:p w14:paraId="1BD61986" w14:textId="77777777" w:rsidR="0011333C" w:rsidRPr="00C13B3B" w:rsidRDefault="0011333C" w:rsidP="00CE4770">
      <w:pPr>
        <w:pStyle w:val="Default"/>
        <w:numPr>
          <w:ilvl w:val="0"/>
          <w:numId w:val="5"/>
        </w:numPr>
        <w:ind w:left="714" w:hanging="357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zamówień udzielanych na podstawie ustawy Pzp,</w:t>
      </w:r>
    </w:p>
    <w:p w14:paraId="7F9DF5A7" w14:textId="77777777" w:rsidR="0011333C" w:rsidRPr="00C13B3B" w:rsidRDefault="0011333C" w:rsidP="00CE4770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zamówień udzielanych zgodnie z przepisami prawa innymi niż ustawa Pzp, na podstawie których wy</w:t>
      </w:r>
      <w:r w:rsidR="00A437A1" w:rsidRPr="00C13B3B">
        <w:rPr>
          <w:color w:val="auto"/>
          <w:sz w:val="20"/>
          <w:szCs w:val="20"/>
        </w:rPr>
        <w:t>łącza się stosowanie ustawy Pzp.</w:t>
      </w:r>
    </w:p>
    <w:p w14:paraId="69E60EE9" w14:textId="77777777" w:rsidR="00830732" w:rsidRPr="00C13B3B" w:rsidRDefault="00830732" w:rsidP="003128F9">
      <w:pPr>
        <w:pStyle w:val="Default"/>
        <w:numPr>
          <w:ilvl w:val="0"/>
          <w:numId w:val="2"/>
        </w:numPr>
        <w:ind w:left="426" w:hanging="426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Zasady konkurencyjności można nie stosować do:</w:t>
      </w:r>
    </w:p>
    <w:p w14:paraId="39D6FB9A" w14:textId="77777777" w:rsidR="00746584" w:rsidRPr="00C13B3B" w:rsidRDefault="00746584" w:rsidP="003128F9">
      <w:pPr>
        <w:pStyle w:val="Default"/>
        <w:numPr>
          <w:ilvl w:val="1"/>
          <w:numId w:val="3"/>
        </w:numPr>
        <w:ind w:left="709" w:hanging="425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 xml:space="preserve">sytuacji, w której ze względu na pilną potrzebę (konieczność) udzielenia zamówienia niewynikającą z przyczyn leżących po stronie zamawiającego, której wcześniej nie można było przewidzieć, nie można zachować terminów określonych w </w:t>
      </w:r>
      <w:r w:rsidR="0069657D" w:rsidRPr="00C13B3B">
        <w:rPr>
          <w:color w:val="auto"/>
          <w:sz w:val="20"/>
          <w:szCs w:val="20"/>
        </w:rPr>
        <w:t>§5</w:t>
      </w:r>
      <w:r w:rsidRPr="00C13B3B">
        <w:rPr>
          <w:color w:val="auto"/>
          <w:sz w:val="20"/>
          <w:szCs w:val="20"/>
        </w:rPr>
        <w:t xml:space="preserve"> ust. 3 pkt 18,</w:t>
      </w:r>
    </w:p>
    <w:p w14:paraId="077F1F8F" w14:textId="77777777" w:rsidR="00746584" w:rsidRPr="00C13B3B" w:rsidRDefault="00746584" w:rsidP="003128F9">
      <w:pPr>
        <w:pStyle w:val="Default"/>
        <w:numPr>
          <w:ilvl w:val="1"/>
          <w:numId w:val="3"/>
        </w:numPr>
        <w:ind w:left="709" w:hanging="425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 xml:space="preserve">sytuacji, w której ze względu na wyjątkową sytuację niewynikającą z przyczyn leżących po stronie zamawiającego, której wcześniej nie można było przewidzieć (np. klęski żywiołowe, katastrofy, awarie), wymagane jest natychmiastowe wykonanie zamówienia i nie można zachować terminów określonych w </w:t>
      </w:r>
      <w:r w:rsidR="0069657D" w:rsidRPr="00C13B3B">
        <w:rPr>
          <w:color w:val="auto"/>
          <w:sz w:val="20"/>
          <w:szCs w:val="20"/>
        </w:rPr>
        <w:t>§5</w:t>
      </w:r>
      <w:r w:rsidRPr="00C13B3B">
        <w:rPr>
          <w:color w:val="auto"/>
          <w:sz w:val="20"/>
          <w:szCs w:val="20"/>
        </w:rPr>
        <w:t xml:space="preserve"> ust. 3 pkt 18,</w:t>
      </w:r>
    </w:p>
    <w:p w14:paraId="32EA77E8" w14:textId="35A265DF" w:rsidR="00746584" w:rsidRPr="00C13B3B" w:rsidRDefault="00746584" w:rsidP="003128F9">
      <w:pPr>
        <w:pStyle w:val="Default"/>
        <w:numPr>
          <w:ilvl w:val="1"/>
          <w:numId w:val="3"/>
        </w:numPr>
        <w:ind w:left="709" w:hanging="425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 xml:space="preserve">zamówień, które mogą być zrealizowane tylko przez jednego wykonawcę z jednego </w:t>
      </w:r>
      <w:r w:rsidR="00671B06" w:rsidRPr="00C13B3B">
        <w:rPr>
          <w:color w:val="auto"/>
          <w:sz w:val="20"/>
          <w:szCs w:val="20"/>
        </w:rPr>
        <w:br/>
      </w:r>
      <w:r w:rsidRPr="00C13B3B">
        <w:rPr>
          <w:color w:val="auto"/>
          <w:sz w:val="20"/>
          <w:szCs w:val="20"/>
        </w:rPr>
        <w:t>z następujących powodów:</w:t>
      </w:r>
    </w:p>
    <w:p w14:paraId="6806D9A5" w14:textId="77777777" w:rsidR="00746584" w:rsidRPr="00C13B3B" w:rsidRDefault="00746584" w:rsidP="003128F9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brak konkurencji ze względów technicznych o obiektywnym charakterze, gdy istnieje tylko jeden wykonawca, który jako jedyny może zrealizować zamówienie, albo</w:t>
      </w:r>
    </w:p>
    <w:p w14:paraId="69D86B07" w14:textId="77777777" w:rsidR="00746584" w:rsidRPr="00C13B3B" w:rsidRDefault="00746584" w:rsidP="003128F9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przedmiot zamówienia jest objęty ochroną praw wyłącznych, w tym praw własności intelektualnej, gdy istnieje tylko jeden wykonawca, który ma wyłączne prawo do dysponowania przedmiotem zamówienia, a prawo to podlega ochronie ustawowej,</w:t>
      </w:r>
    </w:p>
    <w:p w14:paraId="2E8ECE73" w14:textId="77777777" w:rsidR="00746584" w:rsidRPr="00C13B3B" w:rsidRDefault="00746584" w:rsidP="00746584">
      <w:pPr>
        <w:pStyle w:val="Default"/>
        <w:ind w:left="709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- o ile nie istnieje rozsądne rozwiązanie alternatywne lub zastępcze, a brak konkurencji nie jest wynikiem sztucznego zawężania parametrów zamówienia,</w:t>
      </w:r>
    </w:p>
    <w:p w14:paraId="3792E2A0" w14:textId="77777777" w:rsidR="00746584" w:rsidRPr="00C13B3B" w:rsidRDefault="00746584" w:rsidP="003128F9">
      <w:pPr>
        <w:pStyle w:val="Default"/>
        <w:numPr>
          <w:ilvl w:val="1"/>
          <w:numId w:val="3"/>
        </w:numPr>
        <w:ind w:left="709" w:hanging="425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zamówień, których przedmiotem są dostawy na szczególnie korzystnych</w:t>
      </w:r>
      <w:r w:rsidR="0011333C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warunkach w związku z likwidacją działalności innego podmiotu, postępowaniem</w:t>
      </w:r>
      <w:r w:rsidR="0011333C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egzekucyjnym albo upadłościowym,</w:t>
      </w:r>
    </w:p>
    <w:p w14:paraId="190CED98" w14:textId="77777777" w:rsidR="00746584" w:rsidRPr="00C13B3B" w:rsidRDefault="00746584" w:rsidP="003128F9">
      <w:pPr>
        <w:pStyle w:val="Default"/>
        <w:numPr>
          <w:ilvl w:val="1"/>
          <w:numId w:val="3"/>
        </w:numPr>
        <w:ind w:left="709" w:hanging="425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przypadków określonych w art. 214 ust. 1 pkt 11-14 ustawy Pzp w stosunku do</w:t>
      </w:r>
      <w:r w:rsidR="0011333C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podmiotów wskazanych w tym przepisie,</w:t>
      </w:r>
    </w:p>
    <w:p w14:paraId="20038F0D" w14:textId="2EBD6C57" w:rsidR="00746584" w:rsidRPr="00C13B3B" w:rsidRDefault="00671B06" w:rsidP="003128F9">
      <w:pPr>
        <w:pStyle w:val="Default"/>
        <w:numPr>
          <w:ilvl w:val="1"/>
          <w:numId w:val="3"/>
        </w:numPr>
        <w:ind w:left="709" w:hanging="425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lastRenderedPageBreak/>
        <w:t>przypadku udzielenia wykonawcy wybranemu zgodnie z zasadą konkurencyjności zamówienia polegającego na powtórzeniu podobnych usług lub robót budowlanych, jeżeli takie zamówienie było przewidziane w zapytaniu ofertowym i jest zgodne z przedmiotem zamówienia początkowego oraz całkowita wartość tego zamówienia została uwzględniona przy obliczaniu wartości zamówienia początkowego</w:t>
      </w:r>
      <w:r w:rsidR="00746584" w:rsidRPr="00C13B3B">
        <w:rPr>
          <w:color w:val="auto"/>
          <w:sz w:val="20"/>
          <w:szCs w:val="20"/>
        </w:rPr>
        <w:t>,</w:t>
      </w:r>
    </w:p>
    <w:p w14:paraId="4393AD5B" w14:textId="77777777" w:rsidR="00746584" w:rsidRPr="00C13B3B" w:rsidRDefault="00746584" w:rsidP="003128F9">
      <w:pPr>
        <w:pStyle w:val="Default"/>
        <w:numPr>
          <w:ilvl w:val="1"/>
          <w:numId w:val="3"/>
        </w:numPr>
        <w:ind w:left="709" w:hanging="425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przypadku udzielenia wykonawcy wybranemu zgodnie z zasadą</w:t>
      </w:r>
      <w:r w:rsidR="0011333C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konkurencyjności zamówień na dostawy polegających na częściowej wymianie</w:t>
      </w:r>
      <w:r w:rsidR="0011333C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dostarczonych produktów lub instalacji albo zwiększeniu bieżących dostaw lub</w:t>
      </w:r>
      <w:r w:rsidR="0011333C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rozbudowie istniejących instalacji, gdy zmiana wykonawcy prowadziłaby do</w:t>
      </w:r>
      <w:r w:rsidR="0011333C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nabycia materiałów o innych właściwościach technicznych, co powodowałoby</w:t>
      </w:r>
      <w:r w:rsidR="0011333C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niekompatybilność techniczną lub nieproporcjonalnie duże trudności techniczne</w:t>
      </w:r>
      <w:r w:rsidR="0011333C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w użytkowaniu i utrzymaniu tych produktów lub instalacji.</w:t>
      </w:r>
    </w:p>
    <w:p w14:paraId="136E486A" w14:textId="77777777" w:rsidR="00FE302E" w:rsidRPr="00C13B3B" w:rsidRDefault="00D12E68" w:rsidP="003128F9">
      <w:pPr>
        <w:pStyle w:val="Default"/>
        <w:numPr>
          <w:ilvl w:val="0"/>
          <w:numId w:val="2"/>
        </w:numPr>
        <w:ind w:left="426" w:hanging="426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Spełnienie przesłanek z ust. 2</w:t>
      </w:r>
      <w:r w:rsidR="00FE302E" w:rsidRPr="00C13B3B">
        <w:rPr>
          <w:color w:val="auto"/>
          <w:sz w:val="20"/>
          <w:szCs w:val="20"/>
        </w:rPr>
        <w:t xml:space="preserve"> </w:t>
      </w:r>
      <w:r w:rsidRPr="00C13B3B">
        <w:rPr>
          <w:color w:val="auto"/>
          <w:sz w:val="20"/>
          <w:szCs w:val="20"/>
        </w:rPr>
        <w:t>należy pisemnie uzasadnić</w:t>
      </w:r>
      <w:r w:rsidR="00FE302E" w:rsidRPr="00C13B3B">
        <w:rPr>
          <w:color w:val="auto"/>
          <w:sz w:val="20"/>
          <w:szCs w:val="20"/>
        </w:rPr>
        <w:t xml:space="preserve">. </w:t>
      </w:r>
    </w:p>
    <w:p w14:paraId="08DCC182" w14:textId="19351AE7" w:rsidR="0011333C" w:rsidRPr="00C13B3B" w:rsidRDefault="0011333C" w:rsidP="003128F9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Jeżeli w wyniku prawidłowego zastosowania zasady konkurencyjności nie wpłynęła żadna oferta, lub wpłynęły jedynie oferty podlegające odrzuceniu, albo żaden wykonawca nie spełnił warunków udziału w postępowaniu, o ile zamawiający stawiał takie warunki wykonawcom, zawarcie umowy w sprawie realizacji zamówienia z pominięciem zasady konkurencyjności jest możliwe, gdy pierwotne warunki zamówienia nie zostały zmienione</w:t>
      </w:r>
      <w:r w:rsidR="00671B06" w:rsidRPr="00C13B3B">
        <w:rPr>
          <w:color w:val="auto"/>
          <w:sz w:val="20"/>
          <w:szCs w:val="20"/>
        </w:rPr>
        <w:t xml:space="preserve"> (§5 ust. 7 i 8 stosuje się odpowiednio)</w:t>
      </w:r>
      <w:r w:rsidRPr="00C13B3B">
        <w:rPr>
          <w:color w:val="auto"/>
          <w:sz w:val="20"/>
          <w:szCs w:val="20"/>
        </w:rPr>
        <w:t>.</w:t>
      </w:r>
    </w:p>
    <w:p w14:paraId="17F85825" w14:textId="77777777" w:rsidR="00FE302E" w:rsidRPr="00C13B3B" w:rsidRDefault="00FE302E" w:rsidP="00FE302E">
      <w:pPr>
        <w:pStyle w:val="Default"/>
        <w:rPr>
          <w:color w:val="auto"/>
          <w:sz w:val="20"/>
          <w:szCs w:val="20"/>
        </w:rPr>
      </w:pPr>
    </w:p>
    <w:p w14:paraId="2D5A3499" w14:textId="77777777" w:rsidR="00A54E41" w:rsidRPr="00C13B3B" w:rsidRDefault="00A54E41" w:rsidP="00FE302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8A08B0D" w14:textId="77777777" w:rsidR="00FE302E" w:rsidRPr="00C13B3B" w:rsidRDefault="00FE302E" w:rsidP="00FE302E">
      <w:pPr>
        <w:pStyle w:val="Default"/>
        <w:jc w:val="center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§ 3</w:t>
      </w:r>
    </w:p>
    <w:p w14:paraId="420357C6" w14:textId="77777777" w:rsidR="00FE302E" w:rsidRPr="00C13B3B" w:rsidRDefault="00FE302E" w:rsidP="00FE302E">
      <w:pPr>
        <w:pStyle w:val="Default"/>
        <w:jc w:val="center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PROGI KWOTOWE UDZIELANIA ZAMÓWIEŃ PUBLICZNYCH</w:t>
      </w:r>
    </w:p>
    <w:p w14:paraId="154B300F" w14:textId="77777777" w:rsidR="00FE302E" w:rsidRPr="00C13B3B" w:rsidRDefault="00FE302E" w:rsidP="00FE302E">
      <w:pPr>
        <w:pStyle w:val="Default"/>
        <w:rPr>
          <w:color w:val="auto"/>
          <w:sz w:val="20"/>
          <w:szCs w:val="20"/>
        </w:rPr>
      </w:pPr>
    </w:p>
    <w:p w14:paraId="007F5CDC" w14:textId="77777777" w:rsidR="00FE302E" w:rsidRPr="00C13B3B" w:rsidRDefault="00FE302E" w:rsidP="00FE302E">
      <w:pPr>
        <w:pStyle w:val="Default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 xml:space="preserve">Progi kwotowe udzielania zamówień publicznych: </w:t>
      </w:r>
    </w:p>
    <w:p w14:paraId="311A1A3F" w14:textId="77777777" w:rsidR="00FE302E" w:rsidRPr="00C13B3B" w:rsidRDefault="00FE302E" w:rsidP="00FE302E">
      <w:pPr>
        <w:pStyle w:val="Default"/>
        <w:rPr>
          <w:color w:val="auto"/>
          <w:sz w:val="20"/>
          <w:szCs w:val="20"/>
        </w:rPr>
      </w:pPr>
    </w:p>
    <w:p w14:paraId="516DB0D0" w14:textId="3C0C4660" w:rsidR="00FE302E" w:rsidRPr="00C13B3B" w:rsidRDefault="00AE3DD0" w:rsidP="003128F9">
      <w:pPr>
        <w:pStyle w:val="Default"/>
        <w:numPr>
          <w:ilvl w:val="0"/>
          <w:numId w:val="6"/>
        </w:numPr>
        <w:ind w:left="709" w:hanging="425"/>
        <w:jc w:val="both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do 80</w:t>
      </w:r>
      <w:r w:rsidR="00FE302E" w:rsidRPr="00C13B3B">
        <w:rPr>
          <w:b/>
          <w:bCs/>
          <w:color w:val="auto"/>
          <w:sz w:val="20"/>
          <w:szCs w:val="20"/>
        </w:rPr>
        <w:t xml:space="preserve"> tys. PLN netto włącznie</w:t>
      </w:r>
      <w:r w:rsidR="00FE302E" w:rsidRPr="00C13B3B">
        <w:rPr>
          <w:color w:val="auto"/>
          <w:sz w:val="20"/>
          <w:szCs w:val="20"/>
        </w:rPr>
        <w:t xml:space="preserve">, tj. bez podatku od towarów i usług (VAT); </w:t>
      </w:r>
    </w:p>
    <w:p w14:paraId="7824FD4E" w14:textId="41CD237B" w:rsidR="00FE302E" w:rsidRPr="00C13B3B" w:rsidRDefault="00AE3DD0" w:rsidP="003128F9">
      <w:pPr>
        <w:pStyle w:val="Default"/>
        <w:numPr>
          <w:ilvl w:val="0"/>
          <w:numId w:val="6"/>
        </w:numPr>
        <w:ind w:left="709" w:hanging="425"/>
        <w:jc w:val="both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powyżej 8</w:t>
      </w:r>
      <w:r w:rsidR="00FE302E" w:rsidRPr="00C13B3B">
        <w:rPr>
          <w:b/>
          <w:bCs/>
          <w:color w:val="auto"/>
          <w:sz w:val="20"/>
          <w:szCs w:val="20"/>
        </w:rPr>
        <w:t>0 tys. PLN netto</w:t>
      </w:r>
      <w:r w:rsidR="00FE302E" w:rsidRPr="00C13B3B">
        <w:rPr>
          <w:color w:val="auto"/>
          <w:sz w:val="20"/>
          <w:szCs w:val="20"/>
        </w:rPr>
        <w:t xml:space="preserve">, tj. bez podatku od towarów i usług (VAT) </w:t>
      </w:r>
      <w:r w:rsidR="00FE302E" w:rsidRPr="00C13B3B">
        <w:rPr>
          <w:b/>
          <w:bCs/>
          <w:color w:val="auto"/>
          <w:sz w:val="20"/>
          <w:szCs w:val="20"/>
        </w:rPr>
        <w:t>oraz poniżej kwoty określonej w art. 2 ust. 1 pkt 1 ustawy Pzp</w:t>
      </w:r>
      <w:r w:rsidR="00FE302E" w:rsidRPr="00C13B3B">
        <w:rPr>
          <w:color w:val="auto"/>
          <w:sz w:val="20"/>
          <w:szCs w:val="20"/>
        </w:rPr>
        <w:t xml:space="preserve">. </w:t>
      </w:r>
    </w:p>
    <w:p w14:paraId="3E16847C" w14:textId="77777777" w:rsidR="00FE302E" w:rsidRPr="00C13B3B" w:rsidRDefault="00FE302E" w:rsidP="00FE302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0E5594D" w14:textId="77777777" w:rsidR="00A54E41" w:rsidRPr="00C13B3B" w:rsidRDefault="00A54E41" w:rsidP="00FE302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99F80B0" w14:textId="77777777" w:rsidR="0069657D" w:rsidRPr="00C13B3B" w:rsidRDefault="0069657D" w:rsidP="00FE302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D953BD1" w14:textId="1055F9ED" w:rsidR="00CE68D6" w:rsidRPr="00C13B3B" w:rsidRDefault="0036004A" w:rsidP="00CE68D6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§ 4</w:t>
      </w:r>
    </w:p>
    <w:p w14:paraId="26539731" w14:textId="77777777" w:rsidR="0036004A" w:rsidRPr="00C13B3B" w:rsidRDefault="0036004A" w:rsidP="0036004A">
      <w:pPr>
        <w:pStyle w:val="Default"/>
        <w:jc w:val="center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ZAMÓWIENIA DO 80 TYS. PLN WŁĄCZNIE</w:t>
      </w:r>
    </w:p>
    <w:p w14:paraId="1124BE0F" w14:textId="77777777" w:rsidR="00FE302E" w:rsidRPr="00C13B3B" w:rsidRDefault="00FE302E" w:rsidP="00FE302E">
      <w:pPr>
        <w:pStyle w:val="Default"/>
        <w:jc w:val="both"/>
        <w:rPr>
          <w:color w:val="auto"/>
          <w:sz w:val="20"/>
          <w:szCs w:val="20"/>
        </w:rPr>
      </w:pPr>
    </w:p>
    <w:p w14:paraId="54A1E5F2" w14:textId="0E80F1C2" w:rsidR="00F36DD4" w:rsidRPr="00C13B3B" w:rsidRDefault="00FE302E" w:rsidP="00F36DD4">
      <w:pPr>
        <w:pStyle w:val="Default"/>
        <w:numPr>
          <w:ilvl w:val="2"/>
          <w:numId w:val="3"/>
        </w:numPr>
        <w:ind w:left="426" w:hanging="284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 xml:space="preserve">Zamówienia, których wartość szacunkowa jest </w:t>
      </w:r>
      <w:r w:rsidR="00AE3DD0" w:rsidRPr="00C13B3B">
        <w:rPr>
          <w:b/>
          <w:bCs/>
          <w:color w:val="auto"/>
          <w:sz w:val="20"/>
          <w:szCs w:val="20"/>
        </w:rPr>
        <w:t>mniejsza niż 8</w:t>
      </w:r>
      <w:r w:rsidRPr="00C13B3B">
        <w:rPr>
          <w:b/>
          <w:bCs/>
          <w:color w:val="auto"/>
          <w:sz w:val="20"/>
          <w:szCs w:val="20"/>
        </w:rPr>
        <w:t>0 tys. PLN netto włącznie</w:t>
      </w:r>
      <w:r w:rsidRPr="00C13B3B">
        <w:rPr>
          <w:color w:val="auto"/>
          <w:sz w:val="20"/>
          <w:szCs w:val="20"/>
        </w:rPr>
        <w:t xml:space="preserve">, tj. bez podatku od towarów i usług (VAT) udzielane są w sposób </w:t>
      </w:r>
      <w:r w:rsidR="00A54E41" w:rsidRPr="00C13B3B">
        <w:rPr>
          <w:color w:val="auto"/>
          <w:sz w:val="20"/>
          <w:szCs w:val="20"/>
        </w:rPr>
        <w:t xml:space="preserve">przejrzysty, racjonalny i efektywny, </w:t>
      </w:r>
      <w:r w:rsidR="00871F10" w:rsidRPr="00C13B3B">
        <w:rPr>
          <w:color w:val="auto"/>
          <w:sz w:val="20"/>
          <w:szCs w:val="20"/>
        </w:rPr>
        <w:br/>
      </w:r>
      <w:r w:rsidR="00A54E41" w:rsidRPr="00C13B3B">
        <w:rPr>
          <w:color w:val="auto"/>
          <w:sz w:val="20"/>
          <w:szCs w:val="20"/>
        </w:rPr>
        <w:t>z zachowaniem zasad uzyskiwania najlepszych efektów z danych nakładów</w:t>
      </w:r>
      <w:r w:rsidRPr="00C13B3B">
        <w:rPr>
          <w:color w:val="auto"/>
          <w:sz w:val="20"/>
          <w:szCs w:val="20"/>
        </w:rPr>
        <w:t>.</w:t>
      </w:r>
    </w:p>
    <w:p w14:paraId="34D79E5B" w14:textId="7581D3E0" w:rsidR="00F36DD4" w:rsidRPr="00C13B3B" w:rsidRDefault="00F36DD4" w:rsidP="00F36DD4">
      <w:pPr>
        <w:pStyle w:val="Default"/>
        <w:numPr>
          <w:ilvl w:val="2"/>
          <w:numId w:val="3"/>
        </w:numPr>
        <w:ind w:left="426" w:hanging="284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>Wydatki o których mowa w ust. 1, dokumentowane są w sposób zapewniający właściwą ścieżkę audytu</w:t>
      </w:r>
      <w:r w:rsidRPr="00C13B3B">
        <w:rPr>
          <w:rStyle w:val="Odwoanieprzypisudolnego"/>
          <w:color w:val="auto"/>
          <w:sz w:val="20"/>
          <w:szCs w:val="20"/>
        </w:rPr>
        <w:footnoteReference w:id="2"/>
      </w:r>
      <w:r w:rsidRPr="00C13B3B">
        <w:rPr>
          <w:color w:val="auto"/>
          <w:sz w:val="20"/>
          <w:szCs w:val="20"/>
        </w:rPr>
        <w:t xml:space="preserve">. </w:t>
      </w:r>
    </w:p>
    <w:p w14:paraId="499C061D" w14:textId="2FFB3EB8" w:rsidR="00FE302E" w:rsidRPr="00C13B3B" w:rsidRDefault="00FE302E" w:rsidP="00FE302E">
      <w:pPr>
        <w:pStyle w:val="Default"/>
        <w:jc w:val="both"/>
        <w:rPr>
          <w:color w:val="auto"/>
          <w:sz w:val="20"/>
          <w:szCs w:val="20"/>
        </w:rPr>
      </w:pPr>
      <w:r w:rsidRPr="00C13B3B">
        <w:rPr>
          <w:color w:val="auto"/>
          <w:sz w:val="20"/>
          <w:szCs w:val="20"/>
        </w:rPr>
        <w:t xml:space="preserve"> </w:t>
      </w:r>
    </w:p>
    <w:p w14:paraId="012093DE" w14:textId="38A1617A" w:rsidR="00112814" w:rsidRPr="00C13B3B" w:rsidRDefault="00112814" w:rsidP="0036004A">
      <w:pPr>
        <w:pStyle w:val="Default"/>
        <w:rPr>
          <w:b/>
          <w:bCs/>
          <w:color w:val="auto"/>
          <w:sz w:val="20"/>
          <w:szCs w:val="20"/>
        </w:rPr>
      </w:pPr>
    </w:p>
    <w:p w14:paraId="69DD1E3A" w14:textId="77777777" w:rsidR="00112814" w:rsidRPr="00C13B3B" w:rsidRDefault="00112814" w:rsidP="00FE302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B564078" w14:textId="3E6E9B4A" w:rsidR="0036004A" w:rsidRPr="00C13B3B" w:rsidRDefault="0036004A" w:rsidP="0036004A">
      <w:pPr>
        <w:pStyle w:val="Default"/>
        <w:jc w:val="center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>§ 5</w:t>
      </w:r>
    </w:p>
    <w:p w14:paraId="3A0FB5BD" w14:textId="5726077B" w:rsidR="00FE302E" w:rsidRPr="00C13B3B" w:rsidRDefault="00B53B11" w:rsidP="0036004A">
      <w:pPr>
        <w:pStyle w:val="Default"/>
        <w:jc w:val="center"/>
        <w:rPr>
          <w:color w:val="auto"/>
          <w:sz w:val="20"/>
          <w:szCs w:val="20"/>
        </w:rPr>
      </w:pPr>
      <w:r w:rsidRPr="00C13B3B">
        <w:rPr>
          <w:b/>
          <w:bCs/>
          <w:color w:val="auto"/>
          <w:sz w:val="20"/>
          <w:szCs w:val="20"/>
        </w:rPr>
        <w:t xml:space="preserve">ZAMÓWIENIA POWYŻEJ </w:t>
      </w:r>
      <w:r w:rsidR="00AE3DD0" w:rsidRPr="00C13B3B">
        <w:rPr>
          <w:b/>
          <w:bCs/>
          <w:color w:val="auto"/>
          <w:sz w:val="20"/>
          <w:szCs w:val="20"/>
        </w:rPr>
        <w:t>8</w:t>
      </w:r>
      <w:r w:rsidRPr="00C13B3B">
        <w:rPr>
          <w:b/>
          <w:bCs/>
          <w:color w:val="auto"/>
          <w:sz w:val="20"/>
          <w:szCs w:val="20"/>
        </w:rPr>
        <w:t>0 TYS. PLN ORAZ PONIŻEJ KWOTY OKREŚLONEJ W ART. 2 UST. 1 PKT 1 USTAWY PZP</w:t>
      </w:r>
      <w:r w:rsidR="0036004A" w:rsidRPr="00C13B3B">
        <w:rPr>
          <w:color w:val="auto"/>
          <w:sz w:val="20"/>
          <w:szCs w:val="20"/>
        </w:rPr>
        <w:t xml:space="preserve"> - </w:t>
      </w:r>
      <w:r w:rsidR="00A54E41" w:rsidRPr="00C13B3B">
        <w:rPr>
          <w:b/>
          <w:bCs/>
          <w:color w:val="auto"/>
          <w:sz w:val="20"/>
          <w:szCs w:val="20"/>
        </w:rPr>
        <w:t>ZASADA KONKURENCYJNOŚCI</w:t>
      </w:r>
    </w:p>
    <w:p w14:paraId="4D2ED4B8" w14:textId="77777777" w:rsidR="00A54E41" w:rsidRPr="00C13B3B" w:rsidRDefault="00A54E41" w:rsidP="00FE302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8A36BAA" w14:textId="77777777" w:rsidR="00A54E41" w:rsidRPr="00C13B3B" w:rsidRDefault="00A54E41" w:rsidP="00A54E41">
      <w:pPr>
        <w:pStyle w:val="Default"/>
        <w:jc w:val="center"/>
        <w:rPr>
          <w:color w:val="auto"/>
          <w:sz w:val="20"/>
          <w:szCs w:val="20"/>
        </w:rPr>
      </w:pPr>
    </w:p>
    <w:p w14:paraId="506623E9" w14:textId="190F544E" w:rsidR="00A54E41" w:rsidRPr="00C13B3B" w:rsidRDefault="0097643E" w:rsidP="0011281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Zamawiający</w:t>
      </w:r>
      <w:r w:rsidR="00A54E41" w:rsidRPr="00C13B3B">
        <w:rPr>
          <w:rFonts w:ascii="Arial" w:hAnsi="Arial" w:cs="Arial"/>
          <w:sz w:val="20"/>
          <w:szCs w:val="20"/>
        </w:rPr>
        <w:t xml:space="preserve"> zobowiązany jest na podstawie umowy o dofinansowanie, do przygotowania </w:t>
      </w:r>
      <w:r w:rsidR="00AE3DD0" w:rsidRPr="00C13B3B">
        <w:rPr>
          <w:rFonts w:ascii="Arial" w:hAnsi="Arial" w:cs="Arial"/>
          <w:sz w:val="20"/>
          <w:szCs w:val="20"/>
        </w:rPr>
        <w:br/>
      </w:r>
      <w:r w:rsidR="00A54E41" w:rsidRPr="00C13B3B">
        <w:rPr>
          <w:rFonts w:ascii="Arial" w:hAnsi="Arial" w:cs="Arial"/>
          <w:sz w:val="20"/>
          <w:szCs w:val="20"/>
        </w:rPr>
        <w:t xml:space="preserve">i przeprowadzenia postępowania o udzielenie zamówienia w sposób zapewniający zachowanie uczciwej konkurencji oraz równe traktowanie wykonawców, a także do działania w sposób przejrzysty i proporcjonalny </w:t>
      </w:r>
      <w:r w:rsidRPr="00C13B3B">
        <w:rPr>
          <w:rFonts w:ascii="Arial" w:hAnsi="Arial" w:cs="Arial"/>
          <w:sz w:val="20"/>
          <w:szCs w:val="20"/>
        </w:rPr>
        <w:t>– zgodnie z procedurą określoną w niniejszym dziale (zasada konkurencyjności).</w:t>
      </w:r>
    </w:p>
    <w:p w14:paraId="797C8299" w14:textId="77777777" w:rsidR="00A54E41" w:rsidRPr="00C13B3B" w:rsidRDefault="00A54E41" w:rsidP="0011281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Zgodnie z zasadami regulującymi wydatkowanie funduszy, środki unijne mają na celu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m.in. realizację strategii na rzecz inteligentnego, zrównoważonego wzrostu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sprzy</w:t>
      </w:r>
      <w:r w:rsidR="0097643E" w:rsidRPr="00C13B3B">
        <w:rPr>
          <w:rFonts w:ascii="Arial" w:hAnsi="Arial" w:cs="Arial"/>
          <w:sz w:val="20"/>
          <w:szCs w:val="20"/>
        </w:rPr>
        <w:t xml:space="preserve">jającego włączeniu </w:t>
      </w:r>
      <w:r w:rsidR="0097643E" w:rsidRPr="00C13B3B">
        <w:rPr>
          <w:rFonts w:ascii="Arial" w:hAnsi="Arial" w:cs="Arial"/>
          <w:sz w:val="20"/>
          <w:szCs w:val="20"/>
        </w:rPr>
        <w:lastRenderedPageBreak/>
        <w:t xml:space="preserve">społecznemu. </w:t>
      </w:r>
      <w:r w:rsidRPr="00C13B3B">
        <w:rPr>
          <w:rFonts w:ascii="Arial" w:hAnsi="Arial" w:cs="Arial"/>
          <w:sz w:val="20"/>
          <w:szCs w:val="20"/>
        </w:rPr>
        <w:t>Cele te są realizowane poprzez wydatkowanie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środków w sposób zapewniający tworzenie m.in. wysokiej jakości miejsc pracy, czy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ochronę środowiska</w:t>
      </w:r>
      <w:r w:rsidR="0097643E" w:rsidRPr="00C13B3B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C13B3B">
        <w:rPr>
          <w:rFonts w:ascii="Arial" w:hAnsi="Arial" w:cs="Arial"/>
          <w:sz w:val="20"/>
          <w:szCs w:val="20"/>
        </w:rPr>
        <w:t>.</w:t>
      </w:r>
    </w:p>
    <w:p w14:paraId="38AB296F" w14:textId="77777777" w:rsidR="00A54E41" w:rsidRPr="00C13B3B" w:rsidRDefault="00A54E41" w:rsidP="0011281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Postępowanie o udzielenie zamówienia:</w:t>
      </w:r>
    </w:p>
    <w:p w14:paraId="196158EC" w14:textId="7777777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Podstawą obliczenia szacunkowej wartości zamówienia w ramach projektu jest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całkowite szacunkowe wynagrodzenie wykonawcy, bez podatku od towarów i usług,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ustalone z należytą starannością. Szacowanie jest dokumentowane w sposób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zapewniający właściwą ścieżkę audytu (np. w zatwierdzonym wniosku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 dofinansowanie projektu lub w notatce z szacowania).</w:t>
      </w:r>
    </w:p>
    <w:p w14:paraId="469D2828" w14:textId="0D363DBC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Zamawiający w pierwszej kolejności dokonuje szacowania wartości zamówienia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zgodnie </w:t>
      </w:r>
      <w:r w:rsidR="00DE070D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z przepisami ustawy Pzp, natomiast po stwierdzeniu, że szacunkowa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wartość zamówienia ustalona na podstawie ustawy Pzp nie przekracza wartości, od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której istnieje obowiązek stosowania ustawy Pzp, ustala wartość zamówienia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ramach projektu.</w:t>
      </w:r>
    </w:p>
    <w:p w14:paraId="161A58E1" w14:textId="77777777" w:rsidR="00A54E41" w:rsidRPr="00C13B3B" w:rsidRDefault="00A54E41" w:rsidP="00CE47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Wyboru metody wykorzystywanej do obliczania szacunkowej wartości zamówienia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nie można dokonywać z zamiarem wyłączenia zamówienia z zakresu stosowania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zasady konkurencyjności. Zabronione jest zaniżanie wartości szacunkowej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 lub jego podział skutkujący zaniżeniem jego wartości szacunkowej.</w:t>
      </w:r>
    </w:p>
    <w:p w14:paraId="0BD07B1F" w14:textId="77777777" w:rsidR="00A54E41" w:rsidRPr="00C13B3B" w:rsidRDefault="00A54E41" w:rsidP="00CE47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Obliczając szacunkową wartość zamówienia należy wziąć pod uwagę konieczność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łącznego spełnienia trzech przesłanek (tożsamości):</w:t>
      </w:r>
    </w:p>
    <w:p w14:paraId="580FFD65" w14:textId="77777777" w:rsidR="00A54E41" w:rsidRPr="00C13B3B" w:rsidRDefault="00A54E41" w:rsidP="00CE47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usługi, dostawy oraz roboty budowlane są tożsame rodzajowo lub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funkcjonalnie (tożsamość przedmiotowa), przy czym tożsamość rodzajowa</w:t>
      </w:r>
      <w:r w:rsidR="0097643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dostaw obejmuje dostawy podobne,</w:t>
      </w:r>
    </w:p>
    <w:p w14:paraId="7879012D" w14:textId="77777777" w:rsidR="00A54E41" w:rsidRPr="00C13B3B" w:rsidRDefault="0097643E" w:rsidP="00CE47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 xml:space="preserve"> </w:t>
      </w:r>
      <w:r w:rsidR="00A54E41" w:rsidRPr="00C13B3B">
        <w:rPr>
          <w:rFonts w:ascii="Arial" w:hAnsi="Arial" w:cs="Arial"/>
          <w:sz w:val="20"/>
          <w:szCs w:val="20"/>
        </w:rPr>
        <w:t>możliwe jest udzielenie zamówienia w tym samym czasie (tożsamość</w:t>
      </w:r>
      <w:r w:rsidRPr="00C13B3B">
        <w:rPr>
          <w:rFonts w:ascii="Arial" w:hAnsi="Arial" w:cs="Arial"/>
          <w:sz w:val="20"/>
          <w:szCs w:val="20"/>
        </w:rPr>
        <w:t xml:space="preserve"> </w:t>
      </w:r>
      <w:r w:rsidR="00A54E41" w:rsidRPr="00C13B3B">
        <w:rPr>
          <w:rFonts w:ascii="Arial" w:hAnsi="Arial" w:cs="Arial"/>
          <w:sz w:val="20"/>
          <w:szCs w:val="20"/>
        </w:rPr>
        <w:t>czasowa),</w:t>
      </w:r>
    </w:p>
    <w:p w14:paraId="552F145B" w14:textId="77777777" w:rsidR="00A54E41" w:rsidRPr="00C13B3B" w:rsidRDefault="0097643E" w:rsidP="00CE47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 xml:space="preserve"> </w:t>
      </w:r>
      <w:r w:rsidR="00A54E41" w:rsidRPr="00C13B3B">
        <w:rPr>
          <w:rFonts w:ascii="Arial" w:hAnsi="Arial" w:cs="Arial"/>
          <w:sz w:val="20"/>
          <w:szCs w:val="20"/>
        </w:rPr>
        <w:t>możliwe jest wykonanie zamówienia przez jednego wykonawcę (tożsamość</w:t>
      </w:r>
      <w:r w:rsidRPr="00C13B3B">
        <w:rPr>
          <w:rFonts w:ascii="Arial" w:hAnsi="Arial" w:cs="Arial"/>
          <w:sz w:val="20"/>
          <w:szCs w:val="20"/>
        </w:rPr>
        <w:t xml:space="preserve"> </w:t>
      </w:r>
      <w:r w:rsidR="00A54E41" w:rsidRPr="00C13B3B">
        <w:rPr>
          <w:rFonts w:ascii="Arial" w:hAnsi="Arial" w:cs="Arial"/>
          <w:sz w:val="20"/>
          <w:szCs w:val="20"/>
        </w:rPr>
        <w:t>podmiotowa).</w:t>
      </w:r>
    </w:p>
    <w:p w14:paraId="0A2CCE63" w14:textId="77777777" w:rsidR="00A54E41" w:rsidRPr="00C13B3B" w:rsidRDefault="00A54E41" w:rsidP="00CE4770">
      <w:p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Tożsamości należy rozumieć zgodnie z wykładnią przepisów ustawy Pzp dotyczących</w:t>
      </w:r>
      <w:r w:rsidR="00CE477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szacowania wartości zamówienia.</w:t>
      </w:r>
    </w:p>
    <w:p w14:paraId="73F671F2" w14:textId="16C48BDC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 przypadku udzielania zamówienia w częściach z określonych względów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ekonomicznych, organizacyjnych, celowościowych – wartość zamówienia ustala się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jako łączną wartość poszczególnych jego części. W przypadku, gdy łączna wartość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="00DE070D" w:rsidRPr="00C13B3B">
        <w:rPr>
          <w:rFonts w:ascii="Arial" w:hAnsi="Arial" w:cs="Arial"/>
          <w:sz w:val="20"/>
          <w:szCs w:val="20"/>
        </w:rPr>
        <w:t>części przekracza 8</w:t>
      </w:r>
      <w:r w:rsidRPr="00C13B3B">
        <w:rPr>
          <w:rFonts w:ascii="Arial" w:hAnsi="Arial" w:cs="Arial"/>
          <w:sz w:val="20"/>
          <w:szCs w:val="20"/>
        </w:rPr>
        <w:t>0.000 zł netto, zasadę konkurencyjności stosuje się do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udzielenia każdej części zamówienia.</w:t>
      </w:r>
    </w:p>
    <w:p w14:paraId="507E43C7" w14:textId="3534DD39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Należy podjąć odpowiednie środki, aby skutecznie zapobiegać konfliktom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interesów, a także rozpoznawać i likwidować je, gdy powstają w związku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z prowadzeniem postępowania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o udzielenie zamówienia lub na etapie wykonywania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 – by nie dopuścić do zakłócenia konkurencji oraz zapewnić równe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traktowanie wykonawców. Konflikt interesów oznacza każdą sytuację, w której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osoby biorące udział w przygotowaniu lub prowadzeniu postępowania o udzielenie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 lub mogące wpłynąć na wynik tego postępowania mają, bezpośrednio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lub pośrednio, interes finansowy, ekonomiczny lub inny interes osobisty, który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postrzegać można jako zagrażający ich bezstronności i niezależności w związku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z postępowaniem o udzielenie zamówienia.</w:t>
      </w:r>
    </w:p>
    <w:p w14:paraId="16FB14AB" w14:textId="7777777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Czynności związane z przygotowaniem oraz przeprowadzeniem postępowania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 udzielenie zamówienia wykonują osoby zapewniające bezstronność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i obiektywizm. Osoby te składają oświadczenie w formie pisemnej lub w formie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elektronicznej (w rozumieniu odpowiednio art. 78 i art. 78¹ Kodeksu cywilnego)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 braku istnienia albo braku wpływu powiązań osobowych lub kapitałowych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 wykonawcami na bezstronność postępowania, polegających na:</w:t>
      </w:r>
    </w:p>
    <w:p w14:paraId="3954A2C3" w14:textId="77777777" w:rsidR="00A54E41" w:rsidRPr="00C13B3B" w:rsidRDefault="00A54E41" w:rsidP="003128F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posiadaniu co najmniej 10% udziałów lub akcji (o ile niższy próg nie wynika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 przepisów prawa), pełnieniu funkcji członka organu nadzorczego lub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zarządzającego, prokurenta, pełnomocnika,</w:t>
      </w:r>
    </w:p>
    <w:p w14:paraId="7EF4E6FB" w14:textId="77777777" w:rsidR="00A54E41" w:rsidRPr="00C13B3B" w:rsidRDefault="00A54E41" w:rsidP="003128F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pozostawaniu w związku małżeńskim, w stosunku pokrewieństwa lub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powinowactwa w linii prostej, pokrewieństwa lub powinowactwa w linii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bocznej do drugiego stopnia, lub związaniu z tytułu przysposobienia, opieki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lub kurateli albo pozostawaniu we wspólnym pożyciu z wykonawcą, jego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zastępcą prawnym lub członkami organów zarządzających lub organów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nadzorczych wykonawców ubiegających się o udzielenie zamówienia,</w:t>
      </w:r>
    </w:p>
    <w:p w14:paraId="144E2AB7" w14:textId="4817987E" w:rsidR="00A54E41" w:rsidRPr="00C13B3B" w:rsidRDefault="00A54E41" w:rsidP="003128F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pozostawaniu z wykonawcą w takim stosunku prawnym lub faktycznym, że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istnieje uzasadniona wątpliwość co do ich bezstronności lub niezależności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w związku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z postępowaniem o udzielenie zamówienia.</w:t>
      </w:r>
    </w:p>
    <w:p w14:paraId="15C967F4" w14:textId="17B5F086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lastRenderedPageBreak/>
        <w:t>Przedmiot zamówienia opisuje się w sposób jednoznaczny i wyczerpujący, za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pomocą dokładnych i zrozumiałych określeń, uwzględniając wszystkie wymagania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i okoliczności mogące mieć wpływ na sporządzenie oferty. Przedmiotu zamówienia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nie można opisać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w sposób, który mógłby utrudniać uczciwą konkurencję.</w:t>
      </w:r>
    </w:p>
    <w:p w14:paraId="6AA5BB54" w14:textId="39D8F65C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Jeżeli nie uzasadnia tego przedmiot zamówienia, opis przedmiotu zamówienia nie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może zawierać odniesień do znaków towarowych, patentów lub pochodzenia,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źródła lub szczególnego procesu, który charakteryzuje produkty lub usługi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dostarczane przez konkretnego wykonawcę, jeżeli mogłoby to doprowadzić do uprzywilejowania lub wyeliminowania niektórych wykonawców lub produktów.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wyjątkowych przypadkach dopuszcza się stosowanie takich odniesień, jeżeli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niemożliwe jest opisanie przedmiotu zamówienia w wystarczająco precyzyjny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i zrozumiały sposób zgodnie ze zdaniem pierwszym. W przypadku, gdy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zamawiający korzysta z możliwości zastosowania odniesień do specyfikacji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technicznych lub norm właściwych dla Europejskiego Obszaru Gospodarczego, nie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może on odrzucić oferty jako niezgodnej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z zapytaniem ofertowym, jeżeli wykonawca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udowodni w swojej ofercie, że proponowane rozwiązania w równoważnym stopniu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spełniają wymagania określone w zapytaniu ofertowym. Takim odniesieniom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opisie przedmiotu zamówienia muszą towarzyszyć słowa „lub równoważne”.</w:t>
      </w:r>
    </w:p>
    <w:p w14:paraId="73106E7D" w14:textId="1319CF85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 uwagi na konieczność ochrony tajemnicy przedsiębiorstwa w rozumieniu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przepisów ustawy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z dnia 16 kwietnia 1993 r. o zwalczaniu nieuczciwej konkurencji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="00671B06" w:rsidRPr="00C13B3B">
        <w:rPr>
          <w:rFonts w:ascii="Arial" w:hAnsi="Arial" w:cs="Arial"/>
          <w:sz w:val="20"/>
          <w:szCs w:val="20"/>
        </w:rPr>
        <w:t xml:space="preserve">(Dz. U. z 2022 r. poz. 1233) </w:t>
      </w:r>
      <w:r w:rsidRPr="00C13B3B">
        <w:rPr>
          <w:rFonts w:ascii="Arial" w:hAnsi="Arial" w:cs="Arial"/>
          <w:sz w:val="20"/>
          <w:szCs w:val="20"/>
        </w:rPr>
        <w:t>dopuszcza się możliwość ograniczenia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zakresu opisu przedmiotu zamówienia, przy czym wymagane jest udostępnienie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uzupełnienia wyłączonego opisu przedmiotu zamówienia wykonawcy, który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zobowiązał się do zachowania poufności w odniesieniu do przedstawionych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informacji, w terminie umożliwiającym przygotowanie i złożenie oferty.</w:t>
      </w:r>
    </w:p>
    <w:p w14:paraId="586B9D9B" w14:textId="07A2FEE8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Do opisu przedmiotu zamówienia stosuje się nazwy i kody określone we Wspólnym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Słowniku Zamówień, o którym mowa w rozporządzeniu (WE) nr 2195/2002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Parlamentu Europejskiego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i Rady z dnia 5 listopada 2002 r. w sprawie Wspólnego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Słownika Zamówień (CPV) (Dz. Urz. WE L 340 z 16.12.2002, str. 1, z późn. zm.;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Dz. Urz. UE Polskie wydanie specjalne rozdz. 6,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t. 5, str. 3).</w:t>
      </w:r>
    </w:p>
    <w:p w14:paraId="338A283D" w14:textId="4B10CC48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Zamawiający może wymagać od wykonawców spełnienia warunków udziału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w postępowaniu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o udzielenie zamówienia. Warunki te zamawiający określa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sposób zapewniający zachowanie uczciwej konkurencji i równego traktowania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wykonawców. Warunki udziału oraz opis sposobu dokonywania oceny ich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spełniania muszą być związane z przedmiotem zamówienia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i proporcjonalne do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niego oraz umożliwiać ocenę zdolności wykonawcy do należytego wykonania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zamówienia. Zamawiający nie może formułować warunków przewyższających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wymagania wystarczające do należytego wykonania zamówienia.</w:t>
      </w:r>
    </w:p>
    <w:p w14:paraId="56367956" w14:textId="5E79C071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 odniesieniu do sytuacji ekonomicznej lub finansowej wykonawców zamawiający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może wymagać w szczególności, aby wykonawcy posiadali określony minimalny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roczny przychód,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w tym minimalny roczny przychód w zakresie przedmiotu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zamówienia. Wymagany przez zamawiającego minimalny roczny przychód nie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powinien przekraczać dwukrotności szacunkowej wartości zamówienia, z wyjątkiem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należycie uzasadnionych przypadków.</w:t>
      </w:r>
    </w:p>
    <w:p w14:paraId="02D9B588" w14:textId="7FD8AA8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 odniesieniu do zdolności technicznej lub zawodowej zamawiający może określić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warunki dotyczące niezbędnego wykształcenia, kwalifikacji zawodowych,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doświadczenia, potencjału technicznego wykonawcy lub osób skierowanych przez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wykonawcę do realizacji zamówienia, umożliwiające realizację zamówienia na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odpowiednim poziomie jakości. W szczególności zamawiający może wymagać, aby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wykonawcy spełniali wymagania odpowiednich norm zarządzania jakością, w tym w zakresie dostępności dla osób z niepełnosprawnościami, oraz systemów lub norm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zarządzania środowiskowego, wskazanych przez zamawiającego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w zapytaniu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ofertowym.</w:t>
      </w:r>
    </w:p>
    <w:p w14:paraId="7515DB59" w14:textId="7777777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Kryteria oceny ofert są formułowane w sposób zapewniający zachowanie uczciwej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konkurencji oraz równego traktowania wykonawców, przy czym:</w:t>
      </w:r>
    </w:p>
    <w:p w14:paraId="628CE755" w14:textId="77777777" w:rsidR="00A54E41" w:rsidRPr="00C13B3B" w:rsidRDefault="00A54E41" w:rsidP="003128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każde kryterium oceny ofert musi być związane z przedmiotem zamówienia,</w:t>
      </w:r>
    </w:p>
    <w:p w14:paraId="52939E57" w14:textId="36130A6F" w:rsidR="00A54E41" w:rsidRPr="00C13B3B" w:rsidRDefault="00A54E41" w:rsidP="003128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każde kryterium i opis jego stosowania musi być sformułowane w sposób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jednoznaczny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i zrozumiały,</w:t>
      </w:r>
    </w:p>
    <w:p w14:paraId="042E501E" w14:textId="77777777" w:rsidR="00A54E41" w:rsidRPr="00C13B3B" w:rsidRDefault="00A54E41" w:rsidP="003128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wagi poszczególnych kryteriów powinny być określone w sposób umożliwiający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wybór najkorzystniejszej oferty.</w:t>
      </w:r>
    </w:p>
    <w:p w14:paraId="7FC44093" w14:textId="7777777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Kryteria oceny ofert, oprócz ceny lub kosztu, mogą obejmować:</w:t>
      </w:r>
    </w:p>
    <w:p w14:paraId="26EE31A7" w14:textId="138414E0" w:rsidR="00A54E41" w:rsidRPr="00C13B3B" w:rsidRDefault="00A54E41" w:rsidP="003128F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lastRenderedPageBreak/>
        <w:t>jakość, w tym parametry techniczne, właściwości estetyczne i funkcjonalne,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dostępność, projektowanie dla wszystkich użytkowników, aspekty społeczne,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środowiskowe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i innowacyjne,</w:t>
      </w:r>
    </w:p>
    <w:p w14:paraId="1AF39D06" w14:textId="77777777" w:rsidR="00A54E41" w:rsidRPr="00C13B3B" w:rsidRDefault="00A54E41" w:rsidP="003128F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organizację, kwalifikacje zawodowe i doświadczenie osób wyznaczonych do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realizacji zamówienia, jeżeli mogą mieć znaczący wpływ na jakość wykonania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zamówienia,</w:t>
      </w:r>
    </w:p>
    <w:p w14:paraId="0EDBC25A" w14:textId="77777777" w:rsidR="00A54E41" w:rsidRPr="00C13B3B" w:rsidRDefault="00A54E41" w:rsidP="003128F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serwis posprzedażny oraz pomoc techniczną, warunki dostawy, takie jak termin</w:t>
      </w:r>
      <w:r w:rsidR="00C3490E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dostawy, sposób dostawy oraz czas dostawy lub okres realizacji.</w:t>
      </w:r>
    </w:p>
    <w:p w14:paraId="1FBBC200" w14:textId="7777777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Kryteria oceny ofert nie mogą dotyczyć właściwości wykonawcy,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a w szczególności jego wiarygodności ekonomicznej, technicznej lub finansowej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oraz doświadczenia.</w:t>
      </w:r>
    </w:p>
    <w:p w14:paraId="010E4289" w14:textId="7777777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Minimalny termin składania ofert wynosi:</w:t>
      </w:r>
    </w:p>
    <w:p w14:paraId="1B1B2EA7" w14:textId="77777777" w:rsidR="00A54E41" w:rsidRPr="00C13B3B" w:rsidRDefault="00A54E41" w:rsidP="003128F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7 dni – w przypadku dostaw i usług,</w:t>
      </w:r>
    </w:p>
    <w:p w14:paraId="7CD98EF0" w14:textId="77777777" w:rsidR="00A54E41" w:rsidRPr="00C13B3B" w:rsidRDefault="00A54E41" w:rsidP="003128F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14 dni – w przypadku robót budowlanych,</w:t>
      </w:r>
    </w:p>
    <w:p w14:paraId="414D8376" w14:textId="77777777" w:rsidR="00A54E41" w:rsidRPr="00C13B3B" w:rsidRDefault="00A54E41" w:rsidP="00B27B7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 tym, że wyznaczony termin składania ofert</w:t>
      </w:r>
      <w:r w:rsidR="00B27B77" w:rsidRPr="00C13B3B">
        <w:rPr>
          <w:rFonts w:ascii="Arial" w:hAnsi="Arial" w:cs="Arial"/>
          <w:sz w:val="20"/>
          <w:szCs w:val="20"/>
        </w:rPr>
        <w:t xml:space="preserve"> powinien uwzględniać złożoność </w:t>
      </w:r>
      <w:r w:rsidRPr="00C13B3B">
        <w:rPr>
          <w:rFonts w:ascii="Arial" w:hAnsi="Arial" w:cs="Arial"/>
          <w:sz w:val="20"/>
          <w:szCs w:val="20"/>
        </w:rPr>
        <w:t>zamówienia oraz czas potrzebny na sporządzenie ofert. Bieg terminu skła</w:t>
      </w:r>
      <w:r w:rsidR="00B27B77" w:rsidRPr="00C13B3B">
        <w:rPr>
          <w:rFonts w:ascii="Arial" w:hAnsi="Arial" w:cs="Arial"/>
          <w:sz w:val="20"/>
          <w:szCs w:val="20"/>
        </w:rPr>
        <w:t xml:space="preserve">dania </w:t>
      </w:r>
      <w:r w:rsidRPr="00C13B3B">
        <w:rPr>
          <w:rFonts w:ascii="Arial" w:hAnsi="Arial" w:cs="Arial"/>
          <w:sz w:val="20"/>
          <w:szCs w:val="20"/>
        </w:rPr>
        <w:t>ofert rozpoczyna się dnia następującego p</w:t>
      </w:r>
      <w:r w:rsidR="00B27B77" w:rsidRPr="00C13B3B">
        <w:rPr>
          <w:rFonts w:ascii="Arial" w:hAnsi="Arial" w:cs="Arial"/>
          <w:sz w:val="20"/>
          <w:szCs w:val="20"/>
        </w:rPr>
        <w:t xml:space="preserve">o dniu upublicznienia zapytania </w:t>
      </w:r>
      <w:r w:rsidRPr="00C13B3B">
        <w:rPr>
          <w:rFonts w:ascii="Arial" w:hAnsi="Arial" w:cs="Arial"/>
          <w:sz w:val="20"/>
          <w:szCs w:val="20"/>
        </w:rPr>
        <w:t>ofertowego, a kończy się z upływem ostatniego</w:t>
      </w:r>
      <w:r w:rsidR="00B27B77" w:rsidRPr="00C13B3B">
        <w:rPr>
          <w:rFonts w:ascii="Arial" w:hAnsi="Arial" w:cs="Arial"/>
          <w:sz w:val="20"/>
          <w:szCs w:val="20"/>
        </w:rPr>
        <w:t xml:space="preserve"> dnia (zastosowanie ma art. 115 </w:t>
      </w:r>
      <w:r w:rsidRPr="00C13B3B">
        <w:rPr>
          <w:rFonts w:ascii="Arial" w:hAnsi="Arial" w:cs="Arial"/>
          <w:sz w:val="20"/>
          <w:szCs w:val="20"/>
        </w:rPr>
        <w:t>Kodeksu cywilnego). O terminowym złożeniu ofert</w:t>
      </w:r>
      <w:r w:rsidR="00B27B77" w:rsidRPr="00C13B3B">
        <w:rPr>
          <w:rFonts w:ascii="Arial" w:hAnsi="Arial" w:cs="Arial"/>
          <w:sz w:val="20"/>
          <w:szCs w:val="20"/>
        </w:rPr>
        <w:t xml:space="preserve">y decyduje data złożenia oferty </w:t>
      </w:r>
      <w:r w:rsidRPr="00C13B3B">
        <w:rPr>
          <w:rFonts w:ascii="Arial" w:hAnsi="Arial" w:cs="Arial"/>
          <w:sz w:val="20"/>
          <w:szCs w:val="20"/>
        </w:rPr>
        <w:t>za pośrednictwem BK2021.</w:t>
      </w:r>
    </w:p>
    <w:p w14:paraId="55B9283F" w14:textId="7777777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Zamawiający wybiera najkorzystniejszą ofertę zgodną z opisem przedmiotu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zamówienia, złożoną przez wykonawcę spełniającego warunki udziału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postępowaniu (o ile zamawiający postawił takie warunki), w oparciu o ustalone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zapytaniu ofertowym kryteria oceny, spośród ofert złożonych w sposób, o którym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mowa w ust. 4. Zamawiający analizuje treść ofert po upływie terminu wyznaczonego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na ich składanie.</w:t>
      </w:r>
    </w:p>
    <w:p w14:paraId="3B49E5AF" w14:textId="7777777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Jeżeli zaoferowana cena lub koszt wydają się rażąco niskie w stosunku do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przedmiotu zamówienia, tj. różnią się o więcej niż 30% od średniej arytmetycznej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cen wszystkich ważnych ofert niepodlegających odrzuceniu, lub budzą wątpliwości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zamawiającego co do możliwości wykonania przedmiotu zamówienia zgodnie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z wymaganiami określonymi w </w:t>
      </w:r>
      <w:bookmarkStart w:id="0" w:name="_GoBack"/>
      <w:bookmarkEnd w:id="0"/>
      <w:r w:rsidRPr="00C13B3B">
        <w:rPr>
          <w:rFonts w:ascii="Arial" w:hAnsi="Arial" w:cs="Arial"/>
          <w:sz w:val="20"/>
          <w:szCs w:val="20"/>
        </w:rPr>
        <w:t>zapytaniu ofertowym lub wynikającymi z odrębnych przepisów, zamawiający żąda od wykonawcy złożenia w wyznaczonym terminie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wyjaśnień, w tym złożenia dowodów w zakresie wyliczenia ceny lub kosztu.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Zamawiający ocenia te wyjaśnienia w konsultacji z wykonawcą i może odrzucić tę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ofertę wyłącznie w przypadku, gdy złożone wyjaśnienia wraz z dowodami nie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uzasadniają podanej ceny lub kosztu w tej ofercie.</w:t>
      </w:r>
    </w:p>
    <w:p w14:paraId="1CFD3A86" w14:textId="77777777" w:rsidR="00A54E41" w:rsidRPr="00C13B3B" w:rsidRDefault="00A54E41" w:rsidP="003128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Wybór najkorzystniejszej oferty jest dokumentowany pisemnie za pomocą</w:t>
      </w:r>
      <w:r w:rsidR="00B27B77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protokołu postępowania o udzielenie zamówienia, zawierającego co najmniej:</w:t>
      </w:r>
    </w:p>
    <w:p w14:paraId="39BAF940" w14:textId="4D2192F7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wykaz wszystkich ofert, które wpłynęły w odpowiedzi na zapytanie ofertowe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(w szczególności imię i nazwisko albo nazwa wykonawcy, jego siedziba oraz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cena),</w:t>
      </w:r>
    </w:p>
    <w:p w14:paraId="54F8EC88" w14:textId="1C0FF369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wykryte przypadki konfliktu interesów i podjęte w związku z tym środki albo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informację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o braku występowania konfliktu interesów,</w:t>
      </w:r>
    </w:p>
    <w:p w14:paraId="6C9706E7" w14:textId="77777777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informację o spełnieniu warunków udziału w postępowaniu przez wykonawców,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 ile takie warunki były stawiane,</w:t>
      </w:r>
    </w:p>
    <w:p w14:paraId="78F0C287" w14:textId="77777777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informację o wagach punktowych lub procentowych przypisanych do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poszczególnych kryteriów oceny i przyznanej punktacji poszczególnym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wykonawcom za spełnienie danego kryterium,</w:t>
      </w:r>
    </w:p>
    <w:p w14:paraId="4763A390" w14:textId="77777777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uzasadnienie rezygnacji z dopuszczenia możliwości składania ofert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częściowych (jeśli dotyczy),</w:t>
      </w:r>
    </w:p>
    <w:p w14:paraId="5486A227" w14:textId="77777777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powody odrzucenia ofert, w tym ofert uznanych za rażąco niskie (o ile dotyczy),</w:t>
      </w:r>
    </w:p>
    <w:p w14:paraId="4C07A003" w14:textId="2AF9C947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wskazanie wybranej oferty (imię i nazwisko albo nazwa wykonawcy) wraz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z uzasadnieniem wyboru albo powodów, dla których zamawiający postanowił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zrezygnować z udzielenia zamówienia,</w:t>
      </w:r>
    </w:p>
    <w:p w14:paraId="5B9277DE" w14:textId="77777777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imiona i nazwiska osób, które wykonywały czynności w prowadzonym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postępowaniu,</w:t>
      </w:r>
    </w:p>
    <w:p w14:paraId="1D0D6541" w14:textId="77777777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datę sporządzenia protokołu,</w:t>
      </w:r>
    </w:p>
    <w:p w14:paraId="25F22DC8" w14:textId="77777777" w:rsidR="00A54E41" w:rsidRPr="00C13B3B" w:rsidRDefault="00A54E41" w:rsidP="003128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następujące załączniki:</w:t>
      </w:r>
    </w:p>
    <w:p w14:paraId="56D309DA" w14:textId="77777777" w:rsidR="00A54E41" w:rsidRPr="00C13B3B" w:rsidRDefault="00A54E41" w:rsidP="003128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dokument, o którym mowa w pkt 1</w:t>
      </w:r>
      <w:r w:rsidR="0069657D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>, chyba, że szacowanie wartości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 wynika z zatwierdzonego wniosku o dofinansowanie projektu,</w:t>
      </w:r>
    </w:p>
    <w:p w14:paraId="792DD2DF" w14:textId="77777777" w:rsidR="00A54E41" w:rsidRPr="00C13B3B" w:rsidRDefault="00A54E41" w:rsidP="003128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oświadczenia, o których mowa w pkt 7</w:t>
      </w:r>
      <w:r w:rsidR="00D12E68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>,</w:t>
      </w:r>
    </w:p>
    <w:p w14:paraId="6DFFBDAE" w14:textId="4BAB833B" w:rsidR="00A54E41" w:rsidRPr="00C13B3B" w:rsidRDefault="00A54E41" w:rsidP="003128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dowód ogłoszenia zapytania ofertowego zgodnie z ust. 4 pkt 2</w:t>
      </w:r>
      <w:r w:rsidR="00D12E68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 xml:space="preserve"> i 3</w:t>
      </w:r>
      <w:r w:rsidR="00D12E68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 xml:space="preserve"> (oraz jego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zmian,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o ile zostały dokonane) wraz ze złożonymi ofertami, oraz wymiany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informacji pomiędzy zamawiającym a wykonawcą.</w:t>
      </w:r>
    </w:p>
    <w:p w14:paraId="071CA20B" w14:textId="77777777" w:rsidR="00A54E41" w:rsidRPr="00C13B3B" w:rsidRDefault="00A54E41" w:rsidP="0069657D">
      <w:pPr>
        <w:spacing w:after="0"/>
        <w:ind w:firstLine="992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lastRenderedPageBreak/>
        <w:t>Protokół jest udostępniany na wniosek wykonawcy.</w:t>
      </w:r>
    </w:p>
    <w:p w14:paraId="70812DC6" w14:textId="77777777" w:rsidR="00A54E41" w:rsidRPr="00C13B3B" w:rsidRDefault="00A54E41" w:rsidP="0011281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Ogłoszenie:</w:t>
      </w:r>
    </w:p>
    <w:p w14:paraId="26C60476" w14:textId="0DD6517E" w:rsidR="00A54E41" w:rsidRPr="00C13B3B" w:rsidRDefault="00A54E41" w:rsidP="003128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Komunikacja w postępowaniu o udzielenie zamówienia, w tym ogłoszenie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zapytania ofertowego, składanie ofert, wymiana informacji między zamawiającym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a wykonawcą oraz przekazywanie dokumentów i oświadczeń odbywa się pisemnie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za pomocą BK2021,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z zastrzeżeniem pkt 2</w:t>
      </w:r>
      <w:r w:rsidR="00D12E68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 xml:space="preserve"> i 3</w:t>
      </w:r>
      <w:r w:rsidR="00D12E68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>.</w:t>
      </w:r>
    </w:p>
    <w:p w14:paraId="15A5DC57" w14:textId="77777777" w:rsidR="00A54E41" w:rsidRPr="00C13B3B" w:rsidRDefault="00A54E41" w:rsidP="003128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Wyjątkowo, możliwe jest odstąpienie od komunikacji określonej w pkt 1</w:t>
      </w:r>
      <w:r w:rsidR="00D12E68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>, o czym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zamawiający informuje wykonawców w zapytaniu ofertowym upublicznianym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BK2021, jeżeli:</w:t>
      </w:r>
    </w:p>
    <w:p w14:paraId="1702B54C" w14:textId="77777777" w:rsidR="00A54E41" w:rsidRPr="00C13B3B" w:rsidRDefault="00A54E41" w:rsidP="003128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charakter zamówienia wymaga użycia narzędzi, urządzeń lub formatów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plików, które nie są obsługiwane za pomocą BK2021, lub</w:t>
      </w:r>
    </w:p>
    <w:p w14:paraId="5DF1E738" w14:textId="77777777" w:rsidR="00A54E41" w:rsidRPr="00C13B3B" w:rsidRDefault="00A54E41" w:rsidP="003128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aplikacje do obsługi formatów plików, które nadają się do przygotowania ofert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lub prac konkursowych, korzystają z formatów plików, których nie można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obsługiwać za pomocą żadnych innych aplikacji otwarto-źródłowych lub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ogólnie dostępnych, lub są one objęte licencją i nie mogą zostać udostępnione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 pobierania lub zdalnego wykorzystania przez zamawiającego, lub</w:t>
      </w:r>
    </w:p>
    <w:p w14:paraId="24403B8B" w14:textId="77777777" w:rsidR="00A54E41" w:rsidRPr="00C13B3B" w:rsidRDefault="00A54E41" w:rsidP="003128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zamawiający wymaga przedstawienia modelu fizycznego, modelu w skali lub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próbki, których nie można przekazać za pośrednictwem BK2021, lub</w:t>
      </w:r>
    </w:p>
    <w:p w14:paraId="4F390210" w14:textId="77777777" w:rsidR="00A54E41" w:rsidRPr="00C13B3B" w:rsidRDefault="00A54E41" w:rsidP="003128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jest to niezbędne z uwagi na potrzebę ochrony informacji szczególnie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wrażliwych, której nie można zagwarantować w sposób dostateczny przy</w:t>
      </w:r>
      <w:r w:rsidR="006B2EA0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użyciu BK2021.</w:t>
      </w:r>
    </w:p>
    <w:p w14:paraId="5910ECFD" w14:textId="77777777" w:rsidR="00A54E41" w:rsidRPr="00C13B3B" w:rsidRDefault="00A54E41" w:rsidP="00CC3EF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Odstąpienie od komunikacji określonej w pkt 1</w:t>
      </w:r>
      <w:r w:rsidR="00D12E68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 xml:space="preserve"> jest dopusz</w:t>
      </w:r>
      <w:r w:rsidR="006B2EA0" w:rsidRPr="00C13B3B">
        <w:rPr>
          <w:rFonts w:ascii="Arial" w:hAnsi="Arial" w:cs="Arial"/>
          <w:sz w:val="20"/>
          <w:szCs w:val="20"/>
        </w:rPr>
        <w:t xml:space="preserve">czalne w zakresie, w jakim </w:t>
      </w:r>
      <w:r w:rsidRPr="00C13B3B">
        <w:rPr>
          <w:rFonts w:ascii="Arial" w:hAnsi="Arial" w:cs="Arial"/>
          <w:sz w:val="20"/>
          <w:szCs w:val="20"/>
        </w:rPr>
        <w:t>nie jest możliwe dotrzymanie sposobu komunikacj</w:t>
      </w:r>
      <w:r w:rsidR="006B2EA0" w:rsidRPr="00C13B3B">
        <w:rPr>
          <w:rFonts w:ascii="Arial" w:hAnsi="Arial" w:cs="Arial"/>
          <w:sz w:val="20"/>
          <w:szCs w:val="20"/>
        </w:rPr>
        <w:t xml:space="preserve">i w BK2021. Zamawiający określa </w:t>
      </w:r>
      <w:r w:rsidRPr="00C13B3B">
        <w:rPr>
          <w:rFonts w:ascii="Arial" w:hAnsi="Arial" w:cs="Arial"/>
          <w:sz w:val="20"/>
          <w:szCs w:val="20"/>
        </w:rPr>
        <w:t>w zapytaniu ofertowym sposób komunikacji w pos</w:t>
      </w:r>
      <w:r w:rsidR="006B2EA0" w:rsidRPr="00C13B3B">
        <w:rPr>
          <w:rFonts w:ascii="Arial" w:hAnsi="Arial" w:cs="Arial"/>
          <w:sz w:val="20"/>
          <w:szCs w:val="20"/>
        </w:rPr>
        <w:t xml:space="preserve">tępowaniu udzielenie zamówienia </w:t>
      </w:r>
      <w:r w:rsidRPr="00C13B3B">
        <w:rPr>
          <w:rFonts w:ascii="Arial" w:hAnsi="Arial" w:cs="Arial"/>
          <w:sz w:val="20"/>
          <w:szCs w:val="20"/>
        </w:rPr>
        <w:t>wynikający z zakresu odstąpienia od komunikacji w BK2021.</w:t>
      </w:r>
    </w:p>
    <w:p w14:paraId="79608331" w14:textId="72010731" w:rsidR="00A54E41" w:rsidRPr="00C13B3B" w:rsidRDefault="00A54E41" w:rsidP="003128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 przypadku zawieszenia działalności BK2021 potwierdzonego odpowiednim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komunikatem w BK2021, zamawiający kieruje zapytanie ofertowe do co najmniej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trzech potencjalnych wykonawców, o ile na rynku istnieje trzech potencjalnych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wykonawców danego zamówienia, oraz ogłasza zapytanie ofertowe co najmniej na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swojej stronie internetowej, o ile posiada taką stronę. W takim przypadku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zamawiający określa w zapytaniu ofertowym sposób komunikacji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w postępowaniu</w:t>
      </w:r>
      <w:r w:rsidR="00572114" w:rsidRPr="00C13B3B">
        <w:rPr>
          <w:rFonts w:ascii="Arial" w:hAnsi="Arial" w:cs="Arial"/>
          <w:sz w:val="20"/>
          <w:szCs w:val="20"/>
        </w:rPr>
        <w:t xml:space="preserve"> o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udzielenie zamówienia.</w:t>
      </w:r>
    </w:p>
    <w:p w14:paraId="0695F47A" w14:textId="77777777" w:rsidR="00A54E41" w:rsidRPr="00C13B3B" w:rsidRDefault="00A54E41" w:rsidP="003128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 przypadku gdy wnioskodawca rozpoczyna realizację projektu na własne ryzyko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przed podpisaniem umowy o dofinansowanie projektu, upublicznia zapytanie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ofertowe w sposób określony w pkt 1</w:t>
      </w:r>
      <w:r w:rsidR="00D12E68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>, do czego instytucja ogłaszająca nabór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wniosków o dofinansowanie projektu zobowiązuje wnioskodawców w regulaminie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wyboru projektów.</w:t>
      </w:r>
    </w:p>
    <w:p w14:paraId="41D0A198" w14:textId="77777777" w:rsidR="00A54E41" w:rsidRPr="00C13B3B" w:rsidRDefault="00A54E41" w:rsidP="003128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 przypadku wszczęcia postępowania o udzielenie zamówienia przed ogłoszeniem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regulaminu wyboru projektów ocena, czy stopień upublicznienia zapytania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ofertowego był wystarczający do uznania wydatku za kwalifikowalny, należy do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właściwej instytucji.</w:t>
      </w:r>
    </w:p>
    <w:p w14:paraId="7BD423AD" w14:textId="77777777" w:rsidR="00A54E41" w:rsidRPr="00C13B3B" w:rsidRDefault="00A54E41" w:rsidP="003128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Zapytanie ofertowe zawiera w szczególności:.</w:t>
      </w:r>
    </w:p>
    <w:p w14:paraId="14698D6D" w14:textId="77777777" w:rsidR="00A54E41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opis przedmiotu zamówienia,</w:t>
      </w:r>
    </w:p>
    <w:p w14:paraId="30633F87" w14:textId="2C7DDA63" w:rsidR="00A54E41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warunki udziału w postępowaniu oraz opis sposobu dokonywania oceny ich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spełniania,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o ile warunki te są wymagane przez zamawiającego,</w:t>
      </w:r>
    </w:p>
    <w:p w14:paraId="6A88E8F8" w14:textId="77777777" w:rsidR="00A54E41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kryteria oceny ofert, informację o wagach punktowych lub procentowych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przypisanych do poszczególnych kryteriów oceny ofert oraz opis sposobu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przyznawania punktacji za spełnienie danego kryterium oceny ofert,</w:t>
      </w:r>
    </w:p>
    <w:p w14:paraId="215E6483" w14:textId="77777777" w:rsidR="00A54E41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termin i sposób składania ofert,</w:t>
      </w:r>
    </w:p>
    <w:p w14:paraId="3D42B714" w14:textId="77777777" w:rsidR="00A54E41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termin wykonania zamówienia,</w:t>
      </w:r>
    </w:p>
    <w:p w14:paraId="43764AAA" w14:textId="77777777" w:rsidR="00A54E41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informację na temat zakazu konfliktu interesów,</w:t>
      </w:r>
    </w:p>
    <w:p w14:paraId="2C1B31C7" w14:textId="77777777" w:rsidR="00A54E41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określenie warunków istotnych zmian umowy zawartej w wyniku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przeprowadzonego postępowania o udzielenie zamówienia, o ile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zamawiający przewiduje możliwość zmiany umowy,</w:t>
      </w:r>
    </w:p>
    <w:p w14:paraId="2A5166DA" w14:textId="77777777" w:rsidR="00A54E41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opis części zamówienia, jeżeli zamawiający dopuszcza składanie ofert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częściowych oraz liczbę części zamówienia, na którą wykonawca może złożyć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ofertę, lub maksymalną liczbę części, na które zamówienie może zostać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udzielone temu samemu wykonawcy, oraz kryteria lub zasady, mające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zastosowanie do ustalenia, które części zamówienia zostaną udzielone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jednemu wykonawcy, w przypadku wyboru jego oferty w większej niż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maksymalna liczbie części, w sytuacji, gdy zamawiający udziela zamówienia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częściach,</w:t>
      </w:r>
    </w:p>
    <w:p w14:paraId="0FE37E95" w14:textId="732FDDE8" w:rsidR="00CD342C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lastRenderedPageBreak/>
        <w:t>informację, że dane postępowanie obejmuje jedynie część zamówienia, wraz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z określeniem zakresu lub wartości całego zamówienia oraz informacjami co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 pozostałych części zamówienia,</w:t>
      </w:r>
    </w:p>
    <w:p w14:paraId="257BD540" w14:textId="77777777" w:rsidR="00A54E41" w:rsidRPr="00C13B3B" w:rsidRDefault="00A54E41" w:rsidP="003128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 xml:space="preserve"> informacje dotyczące ofert wariantowych, jeżeli zamawiający wymaga lub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dopuszcza ich składanie, w tym opis sposobu przedstawiania ofert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wariantowych oraz minimalne warunki, jakim muszą odpowiadać oferty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wariantowe wraz z wybranymi kryteriami oceny oraz informacja, czy oferta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wariantowa powinna być złożona wraz z ofertą albo zamiast oferty.</w:t>
      </w:r>
    </w:p>
    <w:p w14:paraId="1AB0B7CB" w14:textId="77777777" w:rsidR="00A54E41" w:rsidRPr="00C13B3B" w:rsidRDefault="00A54E41" w:rsidP="003128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Zapytanie ofertowe może zostać zmienione przed upływem terminu składania ofert.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Zamawiający informuje w zapytaniu ofertowym o zakresie zmian. Zamawiający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przedłuża termin składania ofert o czas niezbędny do wprowadzenia zmian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ofertach, jeżeli jest to konieczne z uwagi na zakres wprowadzonych zmian.</w:t>
      </w:r>
    </w:p>
    <w:p w14:paraId="08879B6D" w14:textId="77777777" w:rsidR="00A54E41" w:rsidRPr="00C13B3B" w:rsidRDefault="00A54E41" w:rsidP="003128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Informację o wyniku postępowania ogłasza się w taki sposób, w jaki zostało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upublicznione zapytanie ofertowe. Informacja ta zawiera imię i nazwisko albo nazwę</w:t>
      </w:r>
      <w:r w:rsidR="00CD342C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wybranego wykonawcy, jego siedzibę (miejscowość) oraz cenę najkorzystniejszej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oferty.</w:t>
      </w:r>
    </w:p>
    <w:p w14:paraId="55624C4F" w14:textId="77777777" w:rsidR="00A54E41" w:rsidRPr="00C13B3B" w:rsidRDefault="00A54E41" w:rsidP="0011281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Umowa w sprawie zamówienia:</w:t>
      </w:r>
    </w:p>
    <w:p w14:paraId="371656E1" w14:textId="77777777" w:rsidR="00A54E41" w:rsidRPr="00C13B3B" w:rsidRDefault="00A54E41" w:rsidP="00312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Zawarcie umowy w sprawie zamówienia następuje w formie pisemnej lub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formie elektronicznej, o których mowa w art. 78 i art. 78¹ Kodeksu cywilnego.</w:t>
      </w:r>
    </w:p>
    <w:p w14:paraId="6F0FC9F5" w14:textId="77777777" w:rsidR="00A54E41" w:rsidRPr="00C13B3B" w:rsidRDefault="00A54E41" w:rsidP="00312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 xml:space="preserve"> W przypadku gdy zamawiający dopuszcza składanie ofert częściowych,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postępowanie może zakończyć się zawarciem umowy na część zamówienia.</w:t>
      </w:r>
    </w:p>
    <w:p w14:paraId="4BC39C23" w14:textId="77777777" w:rsidR="00A54E41" w:rsidRPr="00C13B3B" w:rsidRDefault="00A54E41" w:rsidP="00312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 przypadku gdy wybrany wykonawca odstąpi od zawarcia umowy w sprawie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zamówienia, zamawiający może zawrzeć umowę z wykonawcą, który w prawidłowo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przeprowadzonym postępowaniu o udzielenie zamówienia uzyskał kolejną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najwyższą liczbę punktów.</w:t>
      </w:r>
    </w:p>
    <w:p w14:paraId="2A49C65B" w14:textId="77777777" w:rsidR="00A54E41" w:rsidRPr="00C13B3B" w:rsidRDefault="00A54E41" w:rsidP="00312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Nie jest możliwe dokonywanie istotnych zmian postanowień zawartej umowy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stosunku do treści oferty, na podstawie której dokonano wyboru wykonawcy, chyba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że:</w:t>
      </w:r>
    </w:p>
    <w:p w14:paraId="6B4B4A27" w14:textId="77777777" w:rsidR="00A54E41" w:rsidRPr="00C13B3B" w:rsidRDefault="00A54E41" w:rsidP="00312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zmiany zostały przewidziane w zapytaniu ofertowym w postaci jednoznacznych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postanowień umownych, które określają ich zakres i charakter oraz warunki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wprowadzenia zmian,</w:t>
      </w:r>
    </w:p>
    <w:p w14:paraId="4268A3BE" w14:textId="77777777" w:rsidR="00A54E41" w:rsidRPr="00C13B3B" w:rsidRDefault="00A54E41" w:rsidP="00312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zmiany dotyczą realizacji dodatkowych dostaw, usług lub robót budowlanych od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dotychczasowego wykonawcy, nieobjętych zamówieniem podstawowym, o ile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stały się niezbędne i zostały spełnione łącznie następujące warunki:</w:t>
      </w:r>
    </w:p>
    <w:p w14:paraId="435E8751" w14:textId="77777777" w:rsidR="00A54E41" w:rsidRPr="00C13B3B" w:rsidRDefault="00A54E41" w:rsidP="00312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zmiana wykonawcy nie może zostać dokonana z powodów ekonomicznych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lub technicznych, w szczególności dotyczących zamienności lub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interoperacyjności sprzętu, usług lub instalacji, zamówionych w ramach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zamówienia podstawowego,</w:t>
      </w:r>
    </w:p>
    <w:p w14:paraId="1C79F95B" w14:textId="77777777" w:rsidR="00A54E41" w:rsidRPr="00C13B3B" w:rsidRDefault="00A54E41" w:rsidP="00312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zmiana wykonawcy spowodowałaby istotną niedogodność lub znaczne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zwiększenie kosztów dla zamawiającego,</w:t>
      </w:r>
    </w:p>
    <w:p w14:paraId="0E5FE41D" w14:textId="0E60F43C" w:rsidR="00A54E41" w:rsidRPr="00C13B3B" w:rsidRDefault="00A54E41" w:rsidP="00312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wartość zmian nie przekracza 50% wartości zamówienia określonej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pierwotnie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w umowie,</w:t>
      </w:r>
    </w:p>
    <w:p w14:paraId="0FBEEE07" w14:textId="77777777" w:rsidR="00A54E41" w:rsidRPr="00C13B3B" w:rsidRDefault="00A54E41" w:rsidP="00312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zmiana nie prowadzi do zmiany ogólnego charakteru umowy i zostały spełnione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łącznie następujące warunki:</w:t>
      </w:r>
    </w:p>
    <w:p w14:paraId="2ABE2C94" w14:textId="77777777" w:rsidR="00A54E41" w:rsidRPr="00C13B3B" w:rsidRDefault="00A54E41" w:rsidP="003128F9">
      <w:pPr>
        <w:pStyle w:val="Akapitzlist"/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konieczność zmiany umowy spowodowana jest okolicznościami, których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zamawiający, działając z należytą starannością, nie mógł przewidzieć,</w:t>
      </w:r>
    </w:p>
    <w:p w14:paraId="5CC0FFC8" w14:textId="38866B74" w:rsidR="00A54E41" w:rsidRPr="00C13B3B" w:rsidRDefault="00A54E41" w:rsidP="003128F9">
      <w:pPr>
        <w:pStyle w:val="Akapitzlist"/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wartość zmian nie przekracza 50% wartości zamówienia określonej pierwotnie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w umowie,</w:t>
      </w:r>
    </w:p>
    <w:p w14:paraId="73218993" w14:textId="77777777" w:rsidR="00A54E41" w:rsidRPr="00C13B3B" w:rsidRDefault="00A54E41" w:rsidP="00312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wykonawcę, któremu zamawiający udzielił zamówienia, ma zastąpić nowy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wykonawca:</w:t>
      </w:r>
    </w:p>
    <w:p w14:paraId="68A7B826" w14:textId="77777777" w:rsidR="00A54E41" w:rsidRPr="00C13B3B" w:rsidRDefault="00A54E41" w:rsidP="003128F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 wyniku sukcesji, wstępując w prawa i obowiązki wykonawcy,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 następstwie przejęcia, połączenia, podziału, przekształcenia, upadłości,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restrukturyzacji, dziedziczenia lub nabycia dotychczasowego wykonawcy lub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jego przedsiębiorstwa, o ile nowy wykonawca spełnia warunki udziału w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postępowaniu oraz nie pociąga to za sobą innych istotnych zmian umowy, a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także nie ma na celu uniknięcia stosowania zasady konkurencyjności, lub</w:t>
      </w:r>
    </w:p>
    <w:p w14:paraId="05506B71" w14:textId="17D509D3" w:rsidR="00A54E41" w:rsidRPr="00C13B3B" w:rsidRDefault="00A54E41" w:rsidP="003128F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w wyniku przejęcia przez zamawiającego zobowiązań wykonawcy względem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jego podwykonawców – w przypadku zmiany podwykonawcy, zamawiający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może zawrzeć umowę z nowym podwykonawcą bez zmiany warunków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realizacji zamówienia </w:t>
      </w:r>
      <w:r w:rsidR="00671B06" w:rsidRPr="00C13B3B">
        <w:rPr>
          <w:rFonts w:ascii="Arial" w:hAnsi="Arial" w:cs="Arial"/>
          <w:sz w:val="20"/>
          <w:szCs w:val="20"/>
        </w:rPr>
        <w:br/>
      </w:r>
      <w:r w:rsidRPr="00C13B3B">
        <w:rPr>
          <w:rFonts w:ascii="Arial" w:hAnsi="Arial" w:cs="Arial"/>
          <w:sz w:val="20"/>
          <w:szCs w:val="20"/>
        </w:rPr>
        <w:t>z uwzględnieniem dokonanych płatności z tytułu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dotychczas zrealizowanych prac,</w:t>
      </w:r>
    </w:p>
    <w:p w14:paraId="79367529" w14:textId="6C4650F9" w:rsidR="00CC3EF6" w:rsidRPr="00C13B3B" w:rsidRDefault="00A54E41" w:rsidP="00312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lastRenderedPageBreak/>
        <w:t>zmiana nie prowadzi do zmiany ogólnego charakteru umowy, a łączna wartość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="00671B06" w:rsidRPr="00C13B3B">
        <w:rPr>
          <w:rFonts w:ascii="Arial" w:hAnsi="Arial" w:cs="Arial"/>
          <w:sz w:val="20"/>
          <w:szCs w:val="20"/>
        </w:rPr>
        <w:t xml:space="preserve">zmian jest mniejsza niż </w:t>
      </w:r>
      <w:r w:rsidR="001B4ECF">
        <w:rPr>
          <w:rFonts w:ascii="Arial" w:hAnsi="Arial" w:cs="Arial"/>
          <w:sz w:val="20"/>
          <w:szCs w:val="20"/>
        </w:rPr>
        <w:t>progi unijne</w:t>
      </w:r>
      <w:r w:rsidR="00D12E68" w:rsidRPr="00C13B3B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C13B3B">
        <w:rPr>
          <w:rFonts w:ascii="Arial" w:hAnsi="Arial" w:cs="Arial"/>
          <w:sz w:val="20"/>
          <w:szCs w:val="20"/>
        </w:rPr>
        <w:t xml:space="preserve"> </w:t>
      </w:r>
      <w:r w:rsidR="001B4ECF">
        <w:rPr>
          <w:rFonts w:ascii="Arial" w:hAnsi="Arial" w:cs="Arial"/>
          <w:sz w:val="20"/>
          <w:szCs w:val="20"/>
        </w:rPr>
        <w:t>określone dla dostaw i usług oraz robót budowlanych, i</w:t>
      </w:r>
      <w:r w:rsidR="001B4ECF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jednocześnie jest mniejsza od 10%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wartości zamówienia określonej pierwotnie w umowie w przypadku zamówień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na usługi lub dostawy albo, w przypadku zamówień na roboty budowlane, jest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mniejsza od 15% wartości zamówienia określonej pierwotnie w umowie.</w:t>
      </w:r>
    </w:p>
    <w:p w14:paraId="39399F0E" w14:textId="3D9A8D01" w:rsidR="00A54E41" w:rsidRPr="00C13B3B" w:rsidRDefault="00A54E41" w:rsidP="00CC3EF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13B3B">
        <w:rPr>
          <w:rFonts w:ascii="Arial" w:hAnsi="Arial" w:cs="Arial"/>
          <w:sz w:val="20"/>
          <w:szCs w:val="20"/>
        </w:rPr>
        <w:t>Zmiana umowy w sprawie zamówienia jest istotna, jeżeli powoduje, że charakter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 xml:space="preserve">umowy zmienia się w sposób istotny </w:t>
      </w:r>
      <w:r w:rsidR="00CC3EF6" w:rsidRPr="00C13B3B">
        <w:rPr>
          <w:rFonts w:ascii="Arial" w:hAnsi="Arial" w:cs="Arial"/>
          <w:sz w:val="20"/>
          <w:szCs w:val="20"/>
        </w:rPr>
        <w:t xml:space="preserve">w stosunku do pierwotnej umowy, </w:t>
      </w:r>
      <w:r w:rsidRPr="00C13B3B">
        <w:rPr>
          <w:rFonts w:ascii="Arial" w:hAnsi="Arial" w:cs="Arial"/>
          <w:sz w:val="20"/>
          <w:szCs w:val="20"/>
        </w:rPr>
        <w:t xml:space="preserve">w szczególności jeżeli zmiana: wprowadza warunki, </w:t>
      </w:r>
      <w:r w:rsidR="00CC3EF6" w:rsidRPr="00C13B3B">
        <w:rPr>
          <w:rFonts w:ascii="Arial" w:hAnsi="Arial" w:cs="Arial"/>
          <w:sz w:val="20"/>
          <w:szCs w:val="20"/>
        </w:rPr>
        <w:t xml:space="preserve">które gdyby zostały zastosowane </w:t>
      </w:r>
      <w:r w:rsidRPr="00C13B3B">
        <w:rPr>
          <w:rFonts w:ascii="Arial" w:hAnsi="Arial" w:cs="Arial"/>
          <w:sz w:val="20"/>
          <w:szCs w:val="20"/>
        </w:rPr>
        <w:t>w postępowaniu o udzielenie zamówienia, to wzięliby</w:t>
      </w:r>
      <w:r w:rsidR="00CC3EF6" w:rsidRPr="00C13B3B">
        <w:rPr>
          <w:rFonts w:ascii="Arial" w:hAnsi="Arial" w:cs="Arial"/>
          <w:sz w:val="20"/>
          <w:szCs w:val="20"/>
        </w:rPr>
        <w:t xml:space="preserve"> w nim udział lub mogliby wziąć </w:t>
      </w:r>
      <w:r w:rsidRPr="00C13B3B">
        <w:rPr>
          <w:rFonts w:ascii="Arial" w:hAnsi="Arial" w:cs="Arial"/>
          <w:sz w:val="20"/>
          <w:szCs w:val="20"/>
        </w:rPr>
        <w:t xml:space="preserve">udział inni wykonawcy lub przyjęte zostałyby oferty </w:t>
      </w:r>
      <w:r w:rsidR="00CC3EF6" w:rsidRPr="00C13B3B">
        <w:rPr>
          <w:rFonts w:ascii="Arial" w:hAnsi="Arial" w:cs="Arial"/>
          <w:sz w:val="20"/>
          <w:szCs w:val="20"/>
        </w:rPr>
        <w:t xml:space="preserve">innej treści; narusza równowagę </w:t>
      </w:r>
      <w:r w:rsidRPr="00C13B3B">
        <w:rPr>
          <w:rFonts w:ascii="Arial" w:hAnsi="Arial" w:cs="Arial"/>
          <w:sz w:val="20"/>
          <w:szCs w:val="20"/>
        </w:rPr>
        <w:t>ekonomiczną stron umowy na korzyść wyko</w:t>
      </w:r>
      <w:r w:rsidR="00CC3EF6" w:rsidRPr="00C13B3B">
        <w:rPr>
          <w:rFonts w:ascii="Arial" w:hAnsi="Arial" w:cs="Arial"/>
          <w:sz w:val="20"/>
          <w:szCs w:val="20"/>
        </w:rPr>
        <w:t xml:space="preserve">nawcy, w sposób nieprzewidziany </w:t>
      </w:r>
      <w:r w:rsidRPr="00C13B3B">
        <w:rPr>
          <w:rFonts w:ascii="Arial" w:hAnsi="Arial" w:cs="Arial"/>
          <w:sz w:val="20"/>
          <w:szCs w:val="20"/>
        </w:rPr>
        <w:t>w pierwotnej umowie; w sposób znaczny rozszerza albo zmniejsza zakres świadczeń</w:t>
      </w:r>
      <w:r w:rsidR="00CC3EF6" w:rsidRPr="00C13B3B">
        <w:rPr>
          <w:rFonts w:ascii="Arial" w:hAnsi="Arial" w:cs="Arial"/>
          <w:sz w:val="20"/>
          <w:szCs w:val="20"/>
        </w:rPr>
        <w:t xml:space="preserve"> </w:t>
      </w:r>
      <w:r w:rsidRPr="00C13B3B">
        <w:rPr>
          <w:rFonts w:ascii="Arial" w:hAnsi="Arial" w:cs="Arial"/>
          <w:sz w:val="20"/>
          <w:szCs w:val="20"/>
        </w:rPr>
        <w:t>i zobowiązań wynikający z umowy; polega na</w:t>
      </w:r>
      <w:r w:rsidR="00CC3EF6" w:rsidRPr="00C13B3B">
        <w:rPr>
          <w:rFonts w:ascii="Arial" w:hAnsi="Arial" w:cs="Arial"/>
          <w:sz w:val="20"/>
          <w:szCs w:val="20"/>
        </w:rPr>
        <w:t xml:space="preserve"> zastąpieniu wykonawcy, któremu </w:t>
      </w:r>
      <w:r w:rsidRPr="00C13B3B">
        <w:rPr>
          <w:rFonts w:ascii="Arial" w:hAnsi="Arial" w:cs="Arial"/>
          <w:sz w:val="20"/>
          <w:szCs w:val="20"/>
        </w:rPr>
        <w:t>zamawiający udzielił zamówienia, nowym wykonaw</w:t>
      </w:r>
      <w:r w:rsidR="00CC3EF6" w:rsidRPr="00C13B3B">
        <w:rPr>
          <w:rFonts w:ascii="Arial" w:hAnsi="Arial" w:cs="Arial"/>
          <w:sz w:val="20"/>
          <w:szCs w:val="20"/>
        </w:rPr>
        <w:t xml:space="preserve">cą w przypadkach innych, niż </w:t>
      </w:r>
      <w:r w:rsidRPr="00C13B3B">
        <w:rPr>
          <w:rFonts w:ascii="Arial" w:hAnsi="Arial" w:cs="Arial"/>
          <w:sz w:val="20"/>
          <w:szCs w:val="20"/>
        </w:rPr>
        <w:t>wskazane w lit. d</w:t>
      </w:r>
      <w:r w:rsidR="00CE68D6" w:rsidRPr="00C13B3B">
        <w:rPr>
          <w:rFonts w:ascii="Arial" w:hAnsi="Arial" w:cs="Arial"/>
          <w:sz w:val="20"/>
          <w:szCs w:val="20"/>
        </w:rPr>
        <w:t>)</w:t>
      </w:r>
      <w:r w:rsidRPr="00C13B3B">
        <w:rPr>
          <w:rFonts w:ascii="Arial" w:hAnsi="Arial" w:cs="Arial"/>
          <w:sz w:val="20"/>
          <w:szCs w:val="20"/>
        </w:rPr>
        <w:t>.</w:t>
      </w:r>
    </w:p>
    <w:p w14:paraId="6D203946" w14:textId="08423170" w:rsidR="00F36DD4" w:rsidRPr="00C13B3B" w:rsidRDefault="00F36DD4" w:rsidP="00CC3EF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E6F44AA" w14:textId="3DAA29B1" w:rsidR="00F36DD4" w:rsidRPr="00C13B3B" w:rsidRDefault="00F36DD4" w:rsidP="00CC3EF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40E2F8F" w14:textId="77777777" w:rsidR="00F36DD4" w:rsidRPr="00C13B3B" w:rsidRDefault="00F36DD4" w:rsidP="00F36DD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sz w:val="20"/>
          <w:szCs w:val="20"/>
        </w:rPr>
      </w:pPr>
    </w:p>
    <w:sectPr w:rsidR="00F36DD4" w:rsidRPr="00C13B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81A1B" w14:textId="77777777" w:rsidR="0015214A" w:rsidRDefault="0015214A" w:rsidP="00FE302E">
      <w:pPr>
        <w:spacing w:after="0" w:line="240" w:lineRule="auto"/>
      </w:pPr>
      <w:r>
        <w:separator/>
      </w:r>
    </w:p>
  </w:endnote>
  <w:endnote w:type="continuationSeparator" w:id="0">
    <w:p w14:paraId="465931E8" w14:textId="77777777" w:rsidR="0015214A" w:rsidRDefault="0015214A" w:rsidP="00FE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9745D" w14:textId="4C819420" w:rsidR="009033B9" w:rsidRDefault="009033B9" w:rsidP="009033B9">
    <w:pPr>
      <w:pStyle w:val="Stopka"/>
      <w:tabs>
        <w:tab w:val="clear" w:pos="4536"/>
        <w:tab w:val="clear" w:pos="9072"/>
        <w:tab w:val="left" w:pos="3825"/>
      </w:tabs>
    </w:pPr>
    <w:r>
      <w:tab/>
    </w:r>
    <w:r>
      <w:rPr>
        <w:noProof/>
        <w:lang w:eastAsia="pl-PL"/>
      </w:rPr>
      <w:drawing>
        <wp:inline distT="0" distB="0" distL="0" distR="0" wp14:anchorId="6BD14CAB" wp14:editId="02A9F0A5">
          <wp:extent cx="5476875" cy="7810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BE760" w14:textId="77777777" w:rsidR="0015214A" w:rsidRDefault="0015214A" w:rsidP="00FE302E">
      <w:pPr>
        <w:spacing w:after="0" w:line="240" w:lineRule="auto"/>
      </w:pPr>
      <w:r>
        <w:separator/>
      </w:r>
    </w:p>
  </w:footnote>
  <w:footnote w:type="continuationSeparator" w:id="0">
    <w:p w14:paraId="71E5535E" w14:textId="77777777" w:rsidR="0015214A" w:rsidRDefault="0015214A" w:rsidP="00FE302E">
      <w:pPr>
        <w:spacing w:after="0" w:line="240" w:lineRule="auto"/>
      </w:pPr>
      <w:r>
        <w:continuationSeparator/>
      </w:r>
    </w:p>
  </w:footnote>
  <w:footnote w:id="1">
    <w:p w14:paraId="53C224D4" w14:textId="6DA7709D" w:rsidR="00871F10" w:rsidRDefault="00871F10" w:rsidP="00871F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E070D">
        <w:rPr>
          <w:rFonts w:ascii="Arial" w:hAnsi="Arial" w:cs="Arial"/>
          <w:sz w:val="16"/>
          <w:szCs w:val="16"/>
        </w:rPr>
        <w:t xml:space="preserve">Partner w projekcie, samodzielnie prowadzący postępowanie, finansujący zamówienie z budżetu, którym dysponuje oraz </w:t>
      </w:r>
      <w:r w:rsidR="00DE070D">
        <w:rPr>
          <w:rFonts w:ascii="Arial" w:hAnsi="Arial" w:cs="Arial"/>
          <w:sz w:val="16"/>
          <w:szCs w:val="16"/>
        </w:rPr>
        <w:br/>
      </w:r>
      <w:r w:rsidRPr="00DE070D">
        <w:rPr>
          <w:rFonts w:ascii="Arial" w:hAnsi="Arial" w:cs="Arial"/>
          <w:sz w:val="16"/>
          <w:szCs w:val="16"/>
        </w:rPr>
        <w:t>w swoim imieniu</w:t>
      </w:r>
      <w:r w:rsidR="00DE070D">
        <w:rPr>
          <w:rFonts w:ascii="Arial" w:hAnsi="Arial" w:cs="Arial"/>
          <w:sz w:val="16"/>
          <w:szCs w:val="16"/>
        </w:rPr>
        <w:t xml:space="preserve"> podpisuje umowę z wykonawcą,</w:t>
      </w:r>
      <w:r w:rsidRPr="00DE070D">
        <w:rPr>
          <w:rFonts w:ascii="Arial" w:hAnsi="Arial" w:cs="Arial"/>
          <w:sz w:val="16"/>
          <w:szCs w:val="16"/>
        </w:rPr>
        <w:t xml:space="preserve"> nie musi sumować wartości tego zamówienia z udzielanymi w tym samym projekcie przez innych partnerów.</w:t>
      </w:r>
    </w:p>
  </w:footnote>
  <w:footnote w:id="2">
    <w:p w14:paraId="3DAAAB8F" w14:textId="1AC5DC48" w:rsidR="00F36DD4" w:rsidRDefault="00F36DD4" w:rsidP="00F36D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E3DD0">
        <w:rPr>
          <w:rFonts w:ascii="Arial" w:hAnsi="Arial" w:cs="Arial"/>
          <w:sz w:val="16"/>
          <w:szCs w:val="16"/>
        </w:rPr>
        <w:t xml:space="preserve">W praktyce oznacza to, że w przypadku kontroli należy posiadać dokumenty między innymi potwierdzające, że dokonano analizy rynku, która potwierdza, że wydatek jest poniesiony w </w:t>
      </w:r>
      <w:r w:rsidR="00AE3DD0" w:rsidRPr="00AE3DD0">
        <w:rPr>
          <w:rFonts w:ascii="Arial" w:hAnsi="Arial" w:cs="Arial"/>
          <w:sz w:val="16"/>
          <w:szCs w:val="16"/>
        </w:rPr>
        <w:t xml:space="preserve">sposób przejrzysty, racjonalny </w:t>
      </w:r>
      <w:r w:rsidRPr="00AE3DD0">
        <w:rPr>
          <w:rFonts w:ascii="Arial" w:hAnsi="Arial" w:cs="Arial"/>
          <w:sz w:val="16"/>
          <w:szCs w:val="16"/>
        </w:rPr>
        <w:t>i efektywny, z zachowaniem zasad uzyskiwania najlepszych efektów z danych nakładów.</w:t>
      </w:r>
    </w:p>
  </w:footnote>
  <w:footnote w:id="3">
    <w:p w14:paraId="4ACB43FD" w14:textId="4C41E9DF" w:rsidR="00B53B11" w:rsidRPr="0069657D" w:rsidRDefault="00B53B11" w:rsidP="009764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65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657D">
        <w:rPr>
          <w:rFonts w:ascii="Arial" w:hAnsi="Arial" w:cs="Arial"/>
          <w:sz w:val="16"/>
          <w:szCs w:val="16"/>
        </w:rPr>
        <w:t xml:space="preserve"> Właściwa instytucja będąca stroną umowy o dofinansowanie projektu może w tej umowie określić rodzaj zamówień, w ramach których zobowiąże beneficjenta do udzielenia zamówienia w sposób zapewniający uzyskanie najlepszych efektów zamówienia, w tym efektów społecznych, środowiskowych oraz gospodarczych, o ile którykolwiek z tych efektów jest możliwy do uzyskania </w:t>
      </w:r>
      <w:r w:rsidR="00671B06">
        <w:rPr>
          <w:rFonts w:ascii="Arial" w:hAnsi="Arial" w:cs="Arial"/>
          <w:sz w:val="16"/>
          <w:szCs w:val="16"/>
        </w:rPr>
        <w:br/>
      </w:r>
      <w:r w:rsidRPr="0069657D">
        <w:rPr>
          <w:rFonts w:ascii="Arial" w:hAnsi="Arial" w:cs="Arial"/>
          <w:sz w:val="16"/>
          <w:szCs w:val="16"/>
        </w:rPr>
        <w:t>w danym zamówieniu, w stosunku do poniesionych nakładów.</w:t>
      </w:r>
    </w:p>
  </w:footnote>
  <w:footnote w:id="4">
    <w:p w14:paraId="72FC1D25" w14:textId="77777777" w:rsidR="00B53B11" w:rsidRPr="00D12E68" w:rsidRDefault="00B53B11" w:rsidP="00D12E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12E68">
        <w:rPr>
          <w:rFonts w:ascii="Arial" w:hAnsi="Arial" w:cs="Arial"/>
          <w:sz w:val="16"/>
          <w:szCs w:val="16"/>
        </w:rPr>
        <w:t>Średni kurs PLN w stosunku do EUR stanowiący podstawę przeliczania wartości zamówień ogłaszany jest w drodze</w:t>
      </w:r>
      <w:r>
        <w:rPr>
          <w:rFonts w:ascii="Arial" w:hAnsi="Arial" w:cs="Arial"/>
          <w:sz w:val="16"/>
          <w:szCs w:val="16"/>
        </w:rPr>
        <w:t xml:space="preserve"> </w:t>
      </w:r>
      <w:r w:rsidRPr="00D12E68">
        <w:rPr>
          <w:rFonts w:ascii="Arial" w:hAnsi="Arial" w:cs="Arial"/>
          <w:sz w:val="16"/>
          <w:szCs w:val="16"/>
        </w:rPr>
        <w:t>obwieszczenia Prezesa Urzędu Zamówień Publicznych, w Dzienniku Urzędowym Rze</w:t>
      </w:r>
      <w:r>
        <w:rPr>
          <w:rFonts w:ascii="Arial" w:hAnsi="Arial" w:cs="Arial"/>
          <w:sz w:val="16"/>
          <w:szCs w:val="16"/>
        </w:rPr>
        <w:t xml:space="preserve">czypospolitej Polskiej "Monitor </w:t>
      </w:r>
      <w:r w:rsidRPr="00D12E68">
        <w:rPr>
          <w:rFonts w:ascii="Arial" w:hAnsi="Arial" w:cs="Arial"/>
          <w:sz w:val="16"/>
          <w:szCs w:val="16"/>
        </w:rPr>
        <w:t>Polski", oraz zamieszczany na stronie internetowej Urzędu Zamówień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4523"/>
    <w:multiLevelType w:val="hybridMultilevel"/>
    <w:tmpl w:val="B4A6D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EF2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18E"/>
    <w:multiLevelType w:val="hybridMultilevel"/>
    <w:tmpl w:val="96F6E278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A34CD2"/>
    <w:multiLevelType w:val="hybridMultilevel"/>
    <w:tmpl w:val="AAB0CC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2956"/>
    <w:multiLevelType w:val="hybridMultilevel"/>
    <w:tmpl w:val="A448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63B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C40"/>
    <w:multiLevelType w:val="hybridMultilevel"/>
    <w:tmpl w:val="0CBAA3C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5B9A7918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1255AE"/>
    <w:multiLevelType w:val="hybridMultilevel"/>
    <w:tmpl w:val="8564CA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6E34731"/>
    <w:multiLevelType w:val="hybridMultilevel"/>
    <w:tmpl w:val="1AC41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25113"/>
    <w:multiLevelType w:val="hybridMultilevel"/>
    <w:tmpl w:val="27F2D4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660B8"/>
    <w:multiLevelType w:val="hybridMultilevel"/>
    <w:tmpl w:val="6B2CD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22F46"/>
    <w:multiLevelType w:val="hybridMultilevel"/>
    <w:tmpl w:val="9A66A2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562D"/>
    <w:multiLevelType w:val="hybridMultilevel"/>
    <w:tmpl w:val="ABC0653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0274"/>
    <w:multiLevelType w:val="hybridMultilevel"/>
    <w:tmpl w:val="88D24FA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3395"/>
    <w:multiLevelType w:val="hybridMultilevel"/>
    <w:tmpl w:val="AC20E0A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056B8"/>
    <w:multiLevelType w:val="hybridMultilevel"/>
    <w:tmpl w:val="3E6C3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2293E"/>
    <w:multiLevelType w:val="hybridMultilevel"/>
    <w:tmpl w:val="B43E3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0F04"/>
    <w:multiLevelType w:val="hybridMultilevel"/>
    <w:tmpl w:val="80641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C20E5"/>
    <w:multiLevelType w:val="hybridMultilevel"/>
    <w:tmpl w:val="2E8C1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54410"/>
    <w:multiLevelType w:val="hybridMultilevel"/>
    <w:tmpl w:val="85C8C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911CD"/>
    <w:multiLevelType w:val="hybridMultilevel"/>
    <w:tmpl w:val="476C46C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83E38BC"/>
    <w:multiLevelType w:val="hybridMultilevel"/>
    <w:tmpl w:val="968C0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9048E"/>
    <w:multiLevelType w:val="hybridMultilevel"/>
    <w:tmpl w:val="FA82F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15A78"/>
    <w:multiLevelType w:val="hybridMultilevel"/>
    <w:tmpl w:val="FB4C1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8077E"/>
    <w:multiLevelType w:val="hybridMultilevel"/>
    <w:tmpl w:val="392A73FC"/>
    <w:lvl w:ilvl="0" w:tplc="5B9A7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82" w:hanging="360"/>
      </w:pPr>
    </w:lvl>
    <w:lvl w:ilvl="2" w:tplc="0415001B" w:tentative="1">
      <w:start w:val="1"/>
      <w:numFmt w:val="lowerRoman"/>
      <w:lvlText w:val="%3."/>
      <w:lvlJc w:val="right"/>
      <w:pPr>
        <w:ind w:left="38" w:hanging="180"/>
      </w:pPr>
    </w:lvl>
    <w:lvl w:ilvl="3" w:tplc="0415000F" w:tentative="1">
      <w:start w:val="1"/>
      <w:numFmt w:val="decimal"/>
      <w:lvlText w:val="%4."/>
      <w:lvlJc w:val="left"/>
      <w:pPr>
        <w:ind w:left="758" w:hanging="360"/>
      </w:pPr>
    </w:lvl>
    <w:lvl w:ilvl="4" w:tplc="04150019" w:tentative="1">
      <w:start w:val="1"/>
      <w:numFmt w:val="lowerLetter"/>
      <w:lvlText w:val="%5."/>
      <w:lvlJc w:val="left"/>
      <w:pPr>
        <w:ind w:left="1478" w:hanging="360"/>
      </w:pPr>
    </w:lvl>
    <w:lvl w:ilvl="5" w:tplc="0415001B" w:tentative="1">
      <w:start w:val="1"/>
      <w:numFmt w:val="lowerRoman"/>
      <w:lvlText w:val="%6."/>
      <w:lvlJc w:val="right"/>
      <w:pPr>
        <w:ind w:left="2198" w:hanging="180"/>
      </w:pPr>
    </w:lvl>
    <w:lvl w:ilvl="6" w:tplc="0415000F" w:tentative="1">
      <w:start w:val="1"/>
      <w:numFmt w:val="decimal"/>
      <w:lvlText w:val="%7."/>
      <w:lvlJc w:val="left"/>
      <w:pPr>
        <w:ind w:left="2918" w:hanging="360"/>
      </w:pPr>
    </w:lvl>
    <w:lvl w:ilvl="7" w:tplc="04150019" w:tentative="1">
      <w:start w:val="1"/>
      <w:numFmt w:val="lowerLetter"/>
      <w:lvlText w:val="%8."/>
      <w:lvlJc w:val="left"/>
      <w:pPr>
        <w:ind w:left="3638" w:hanging="360"/>
      </w:pPr>
    </w:lvl>
    <w:lvl w:ilvl="8" w:tplc="0415001B" w:tentative="1">
      <w:start w:val="1"/>
      <w:numFmt w:val="lowerRoman"/>
      <w:lvlText w:val="%9."/>
      <w:lvlJc w:val="right"/>
      <w:pPr>
        <w:ind w:left="4358" w:hanging="180"/>
      </w:pPr>
    </w:lvl>
  </w:abstractNum>
  <w:abstractNum w:abstractNumId="23" w15:restartNumberingAfterBreak="0">
    <w:nsid w:val="7EEC078F"/>
    <w:multiLevelType w:val="hybridMultilevel"/>
    <w:tmpl w:val="9DB81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17"/>
  </w:num>
  <w:num w:numId="8">
    <w:abstractNumId w:val="8"/>
  </w:num>
  <w:num w:numId="9">
    <w:abstractNumId w:val="13"/>
  </w:num>
  <w:num w:numId="10">
    <w:abstractNumId w:val="21"/>
  </w:num>
  <w:num w:numId="11">
    <w:abstractNumId w:val="19"/>
  </w:num>
  <w:num w:numId="12">
    <w:abstractNumId w:val="6"/>
  </w:num>
  <w:num w:numId="13">
    <w:abstractNumId w:val="15"/>
  </w:num>
  <w:num w:numId="14">
    <w:abstractNumId w:val="12"/>
  </w:num>
  <w:num w:numId="15">
    <w:abstractNumId w:val="23"/>
  </w:num>
  <w:num w:numId="16">
    <w:abstractNumId w:val="16"/>
  </w:num>
  <w:num w:numId="17">
    <w:abstractNumId w:val="5"/>
  </w:num>
  <w:num w:numId="18">
    <w:abstractNumId w:val="14"/>
  </w:num>
  <w:num w:numId="19">
    <w:abstractNumId w:val="20"/>
  </w:num>
  <w:num w:numId="20">
    <w:abstractNumId w:val="11"/>
  </w:num>
  <w:num w:numId="21">
    <w:abstractNumId w:val="10"/>
  </w:num>
  <w:num w:numId="22">
    <w:abstractNumId w:val="2"/>
  </w:num>
  <w:num w:numId="23">
    <w:abstractNumId w:val="18"/>
  </w:num>
  <w:num w:numId="2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2E"/>
    <w:rsid w:val="00030BCA"/>
    <w:rsid w:val="00087017"/>
    <w:rsid w:val="000C51BD"/>
    <w:rsid w:val="00112814"/>
    <w:rsid w:val="0011333C"/>
    <w:rsid w:val="001445B8"/>
    <w:rsid w:val="0015214A"/>
    <w:rsid w:val="001B4ECF"/>
    <w:rsid w:val="002A7CDA"/>
    <w:rsid w:val="003128F9"/>
    <w:rsid w:val="0036004A"/>
    <w:rsid w:val="0036127B"/>
    <w:rsid w:val="00376FB7"/>
    <w:rsid w:val="003E4284"/>
    <w:rsid w:val="00572114"/>
    <w:rsid w:val="00575BDC"/>
    <w:rsid w:val="00633A0F"/>
    <w:rsid w:val="00671B06"/>
    <w:rsid w:val="006762F0"/>
    <w:rsid w:val="0069657D"/>
    <w:rsid w:val="006B2EA0"/>
    <w:rsid w:val="006F249C"/>
    <w:rsid w:val="00746584"/>
    <w:rsid w:val="00830732"/>
    <w:rsid w:val="00850DDA"/>
    <w:rsid w:val="00871F10"/>
    <w:rsid w:val="009033B9"/>
    <w:rsid w:val="0097643E"/>
    <w:rsid w:val="00A079A6"/>
    <w:rsid w:val="00A437A1"/>
    <w:rsid w:val="00A46713"/>
    <w:rsid w:val="00A54E41"/>
    <w:rsid w:val="00A65357"/>
    <w:rsid w:val="00AA55CD"/>
    <w:rsid w:val="00AE3DD0"/>
    <w:rsid w:val="00B10DC0"/>
    <w:rsid w:val="00B27B77"/>
    <w:rsid w:val="00B527B5"/>
    <w:rsid w:val="00B53B11"/>
    <w:rsid w:val="00C13B3B"/>
    <w:rsid w:val="00C1706A"/>
    <w:rsid w:val="00C3490E"/>
    <w:rsid w:val="00CC3EF6"/>
    <w:rsid w:val="00CD342C"/>
    <w:rsid w:val="00CE4770"/>
    <w:rsid w:val="00CE68D6"/>
    <w:rsid w:val="00D12E68"/>
    <w:rsid w:val="00D205D3"/>
    <w:rsid w:val="00D25FAC"/>
    <w:rsid w:val="00D715C6"/>
    <w:rsid w:val="00DE070D"/>
    <w:rsid w:val="00EB760E"/>
    <w:rsid w:val="00EE283E"/>
    <w:rsid w:val="00EF4ABD"/>
    <w:rsid w:val="00F36DD4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8794"/>
  <w15:chartTrackingRefBased/>
  <w15:docId w15:val="{C78AE68A-ACD6-42F4-B8CB-77E90693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3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0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0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33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3B9"/>
  </w:style>
  <w:style w:type="paragraph" w:styleId="Stopka">
    <w:name w:val="footer"/>
    <w:basedOn w:val="Normalny"/>
    <w:link w:val="StopkaZnak"/>
    <w:uiPriority w:val="99"/>
    <w:unhideWhenUsed/>
    <w:rsid w:val="00903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A5B2-DCF6-4FA5-93E1-60AE0F3E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3917</Words>
  <Characters>23504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Filipczak</dc:creator>
  <cp:keywords/>
  <dc:description/>
  <cp:lastModifiedBy>Aneta Wójcik - Nadleśnictwo Baligród</cp:lastModifiedBy>
  <cp:revision>2</cp:revision>
  <dcterms:created xsi:type="dcterms:W3CDTF">2025-05-14T05:48:00Z</dcterms:created>
  <dcterms:modified xsi:type="dcterms:W3CDTF">2025-05-14T05:48:00Z</dcterms:modified>
</cp:coreProperties>
</file>