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991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E141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7</w:t>
      </w:r>
      <w:r w:rsidR="009E5CC2"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E141F" w:rsidRDefault="009E141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E141F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DOOŚ-WDŚ/ZOO.420.41.2020.AB.40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E141F" w:rsidRPr="009E141F" w:rsidRDefault="009E141F" w:rsidP="009E14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141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w prowadzonym postępowaniu odwoławczym od decyzji Regionalnego Dyrektora Ochrony Środowiska we Wrocławiu z dnia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21 stycznia 2020 r., znak: WOOŚ</w:t>
      </w:r>
      <w:r w:rsidRPr="009E141F">
        <w:rPr>
          <w:rFonts w:asciiTheme="minorHAnsi" w:hAnsiTheme="minorHAnsi" w:cstheme="minorHAnsi"/>
          <w:bCs/>
          <w:color w:val="000000"/>
          <w:sz w:val="24"/>
          <w:szCs w:val="24"/>
        </w:rPr>
        <w:t>.4235.1.2015.53, określającej środowiskowe uwarunkowania realizacji przedsięwzię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cia: Kontynuacja eksploatacji złoż</w:t>
      </w:r>
      <w:r w:rsidRPr="009E141F">
        <w:rPr>
          <w:rFonts w:asciiTheme="minorHAnsi" w:hAnsiTheme="minorHAnsi" w:cstheme="minorHAnsi"/>
          <w:bCs/>
          <w:color w:val="000000"/>
          <w:sz w:val="24"/>
          <w:szCs w:val="24"/>
        </w:rPr>
        <w:t>a węgla brunatnego "Turów", realizowanego w gminie Bogatynia, zgromadzony został cały materiał dowodowy.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nic wcześniej niż po upływie 7 dni od dnia doręczenia niniejszego zawiadomienia.</w:t>
      </w:r>
    </w:p>
    <w:p w:rsidR="009E141F" w:rsidRDefault="009E141F" w:rsidP="009E141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141F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również, na podstawie art. 36 Kpa, o wyznaczeniu nowego terminu załatwienia sprawy na dzień 29 września 2022 r. Przyczyną zwłoki jest konieczność zapewnienia stronom postępowania ponownej możliwości zapoznania się z aktami sprawy oraz wypowiedzenia się co do zebranych dowodów i materiałów oraz zgłoszonych żądań.</w:t>
      </w:r>
    </w:p>
    <w:p w:rsidR="009E141F" w:rsidRDefault="009E141F" w:rsidP="009E141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E141F" w:rsidRPr="009E141F" w:rsidRDefault="009E141F" w:rsidP="009E14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41F">
        <w:rPr>
          <w:rFonts w:asciiTheme="minorHAnsi" w:hAnsiTheme="minorHAnsi" w:cstheme="minorHAnsi"/>
          <w:bCs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9E141F" w:rsidRPr="009E141F" w:rsidRDefault="009E141F" w:rsidP="009E14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41F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9E141F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termin zał</w:t>
      </w:r>
      <w:r>
        <w:rPr>
          <w:rFonts w:asciiTheme="minorHAnsi" w:hAnsiTheme="minorHAnsi" w:cstheme="minorHAnsi"/>
          <w:bCs/>
        </w:rPr>
        <w:t>atwienia sprawy (§ 1). T</w:t>
      </w:r>
      <w:r w:rsidRPr="009E141F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9E141F" w:rsidRPr="009E141F" w:rsidRDefault="009E141F" w:rsidP="009E14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41F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9E141F" w:rsidRPr="009E141F" w:rsidRDefault="009E141F" w:rsidP="009E14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41F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9E141F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1.Art. 74 ust. 3 ustawy ooś Jeżeli liczba stron postępowania o wydanie decyzji o środowiskowych uwarunkowaniach przekracza 20, stosuje się przepis art. 49 Kodeksu postępowania administracyjnego.</w:t>
      </w:r>
    </w:p>
    <w:p w:rsidR="009E141F" w:rsidRPr="009E141F" w:rsidRDefault="009E141F" w:rsidP="009E14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41F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</w:t>
      </w:r>
      <w:r>
        <w:rPr>
          <w:rFonts w:asciiTheme="minorHAnsi" w:hAnsiTheme="minorHAnsi" w:cstheme="minorHAnsi"/>
          <w:bCs/>
        </w:rPr>
        <w:t>m wejścia w życie</w:t>
      </w:r>
      <w:r w:rsidRPr="009E141F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9E141F" w:rsidP="009E141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141F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9E141F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9E141F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CB" w:rsidRDefault="00E139CB">
      <w:pPr>
        <w:spacing w:after="0" w:line="240" w:lineRule="auto"/>
      </w:pPr>
      <w:r>
        <w:separator/>
      </w:r>
    </w:p>
  </w:endnote>
  <w:endnote w:type="continuationSeparator" w:id="0">
    <w:p w:rsidR="00E139CB" w:rsidRDefault="00E1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E141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139C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CB" w:rsidRDefault="00E139CB">
      <w:pPr>
        <w:spacing w:after="0" w:line="240" w:lineRule="auto"/>
      </w:pPr>
      <w:r>
        <w:separator/>
      </w:r>
    </w:p>
  </w:footnote>
  <w:footnote w:type="continuationSeparator" w:id="0">
    <w:p w:rsidR="00E139CB" w:rsidRDefault="00E1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139C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139C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139C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141F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139CB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C388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2CA0F-3692-4BF6-8366-C53F0610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2023-07-07T10:59:00Z</dcterms:created>
  <dcterms:modified xsi:type="dcterms:W3CDTF">2023-07-07T10:59:00Z</dcterms:modified>
</cp:coreProperties>
</file>