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473" w:rsidRDefault="00F0475D" w:rsidP="00CF610A">
      <w:pPr>
        <w:pStyle w:val="Nagwek2"/>
        <w:tabs>
          <w:tab w:val="left" w:pos="-180"/>
        </w:tabs>
        <w:ind w:right="-569"/>
        <w:rPr>
          <w:b/>
          <w:sz w:val="22"/>
          <w:szCs w:val="22"/>
          <w:u w:val="none"/>
        </w:rPr>
      </w:pPr>
    </w:p>
    <w:p w:rsidR="00385473" w:rsidRDefault="00F0475D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B30F26" w:rsidRPr="000B7936" w:rsidRDefault="00F0475D" w:rsidP="00B30F26">
      <w:pPr>
        <w:spacing w:line="360" w:lineRule="auto"/>
        <w:ind w:left="1416" w:right="-569" w:firstLine="708"/>
        <w:jc w:val="right"/>
      </w:pPr>
      <w:r w:rsidRPr="000B7936">
        <w:t>Warszawa,</w:t>
      </w:r>
      <w:r w:rsidRPr="000B7936">
        <w:t xml:space="preserve"> </w:t>
      </w:r>
      <w:bookmarkStart w:id="0" w:name="ezdDataPodpisu"/>
      <w:r w:rsidRPr="000B7936">
        <w:t>16 czerwca 2021 r.</w:t>
      </w:r>
      <w:bookmarkEnd w:id="0"/>
      <w:r w:rsidRPr="000B7936">
        <w:t xml:space="preserve">              </w:t>
      </w:r>
    </w:p>
    <w:p w:rsidR="00385473" w:rsidRDefault="00F0475D" w:rsidP="00B30F26">
      <w:pPr>
        <w:pStyle w:val="Nagwek2"/>
        <w:tabs>
          <w:tab w:val="left" w:pos="-180"/>
          <w:tab w:val="left" w:pos="9000"/>
        </w:tabs>
        <w:ind w:right="72"/>
        <w:jc w:val="right"/>
        <w:rPr>
          <w:b/>
          <w:sz w:val="22"/>
          <w:szCs w:val="22"/>
          <w:u w:val="none"/>
        </w:rPr>
      </w:pPr>
    </w:p>
    <w:p w:rsidR="00385473" w:rsidRDefault="00F0475D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385473" w:rsidRDefault="00F0475D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  <w:r>
        <w:rPr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647065</wp:posOffset>
                </wp:positionV>
                <wp:extent cx="2857500" cy="725170"/>
                <wp:effectExtent l="0" t="0" r="0" b="1778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473" w:rsidRPr="005C626A" w:rsidRDefault="00F0475D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3875" cy="542925"/>
                                  <wp:effectExtent l="0" t="0" r="9525" b="9525"/>
                                  <wp:docPr id="1851498882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5473" w:rsidRPr="00A72E6F" w:rsidRDefault="00F0475D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385473" w:rsidRDefault="00F0475D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:rsidR="00385473" w:rsidRDefault="00F0475D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F0475D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F0475D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8978E9" w:rsidRDefault="00F0475D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F0475D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F0475D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5" style="height:57.1pt;margin-left:0;margin-top:50.95pt;mso-height-percent:0;mso-height-relative:page;mso-position-horizontal:left;mso-position-horizontal-relative:margin;mso-position-vertical-relative:margin;mso-width-percent:0;mso-width-relative:page;mso-wrap-distance-bottom:0;mso-wrap-distance-left:9pt;mso-wrap-distance-right:9pt;mso-wrap-distance-top:0;mso-wrap-style:square;position:absolute;v-text-anchor:top;visibility:visible;width:225pt;z-index:251659264" filled="f" fillcolor="#bbe0e3" stroked="f">
                <v:textbox inset="0,0,0,0">
                  <w:txbxContent>
                    <w:p w:rsidR="00385473" w:rsidRPr="005C626A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3875" cy="54292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9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5473" w:rsidRPr="00A72E6F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</w:p>
                    <w:p w:rsidR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8978E9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F610A" w:rsidRPr="00527B88" w:rsidRDefault="00F0475D" w:rsidP="00CF610A">
      <w:pPr>
        <w:spacing w:line="360" w:lineRule="auto"/>
        <w:ind w:left="1416" w:firstLine="708"/>
        <w:jc w:val="right"/>
        <w:rPr>
          <w:rFonts w:ascii="Calibri" w:hAnsi="Calibri"/>
        </w:rPr>
      </w:pP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</w:p>
    <w:p w:rsidR="00B30F26" w:rsidRDefault="00F0475D" w:rsidP="00CF610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</w:p>
    <w:p w:rsidR="00CF610A" w:rsidRPr="000B7936" w:rsidRDefault="00F0475D" w:rsidP="00CF610A">
      <w:pPr>
        <w:spacing w:line="360" w:lineRule="auto"/>
        <w:jc w:val="both"/>
        <w:rPr>
          <w:sz w:val="20"/>
          <w:szCs w:val="20"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           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</w:t>
      </w:r>
      <w:bookmarkStart w:id="1" w:name="_GoBack"/>
      <w:r w:rsidRPr="000B7936">
        <w:rPr>
          <w:sz w:val="20"/>
          <w:szCs w:val="20"/>
        </w:rPr>
        <w:t>WNP-I.4131.</w:t>
      </w:r>
      <w:r>
        <w:rPr>
          <w:sz w:val="20"/>
          <w:szCs w:val="20"/>
        </w:rPr>
        <w:t>112</w:t>
      </w:r>
      <w:r w:rsidRPr="000B7936">
        <w:rPr>
          <w:sz w:val="20"/>
          <w:szCs w:val="20"/>
        </w:rPr>
        <w:t>.20</w:t>
      </w:r>
      <w:r w:rsidRPr="000B7936">
        <w:rPr>
          <w:sz w:val="20"/>
          <w:szCs w:val="20"/>
        </w:rPr>
        <w:t>2</w:t>
      </w:r>
      <w:r>
        <w:rPr>
          <w:sz w:val="20"/>
          <w:szCs w:val="20"/>
        </w:rPr>
        <w:t>1</w:t>
      </w:r>
      <w:r w:rsidRPr="000B7936">
        <w:rPr>
          <w:sz w:val="20"/>
          <w:szCs w:val="20"/>
        </w:rPr>
        <w:t>.MS</w:t>
      </w:r>
      <w:bookmarkEnd w:id="1"/>
    </w:p>
    <w:p w:rsidR="00FB729E" w:rsidRDefault="00F0475D" w:rsidP="0041414E">
      <w:pPr>
        <w:autoSpaceDE w:val="0"/>
        <w:autoSpaceDN w:val="0"/>
        <w:adjustRightInd w:val="0"/>
        <w:ind w:left="4248" w:firstLine="708"/>
        <w:rPr>
          <w:b/>
          <w:sz w:val="28"/>
          <w:szCs w:val="28"/>
        </w:rPr>
      </w:pPr>
    </w:p>
    <w:p w:rsidR="00FB729E" w:rsidRDefault="00F0475D" w:rsidP="0041414E">
      <w:pPr>
        <w:autoSpaceDE w:val="0"/>
        <w:autoSpaceDN w:val="0"/>
        <w:adjustRightInd w:val="0"/>
        <w:ind w:left="4248" w:firstLine="708"/>
        <w:rPr>
          <w:b/>
          <w:sz w:val="28"/>
          <w:szCs w:val="28"/>
        </w:rPr>
      </w:pPr>
    </w:p>
    <w:p w:rsidR="00CF610A" w:rsidRPr="000B7936" w:rsidRDefault="00F0475D" w:rsidP="0041414E">
      <w:pPr>
        <w:autoSpaceDE w:val="0"/>
        <w:autoSpaceDN w:val="0"/>
        <w:adjustRightInd w:val="0"/>
        <w:ind w:left="4248" w:firstLine="708"/>
        <w:rPr>
          <w:b/>
          <w:sz w:val="28"/>
          <w:szCs w:val="28"/>
        </w:rPr>
      </w:pPr>
      <w:r w:rsidRPr="000B7936">
        <w:rPr>
          <w:b/>
          <w:sz w:val="28"/>
          <w:szCs w:val="28"/>
        </w:rPr>
        <w:t xml:space="preserve">Rada </w:t>
      </w:r>
      <w:r>
        <w:rPr>
          <w:b/>
          <w:sz w:val="28"/>
          <w:szCs w:val="28"/>
        </w:rPr>
        <w:t>Miejska w Błoniu</w:t>
      </w:r>
    </w:p>
    <w:p w:rsidR="00CF610A" w:rsidRPr="000B7936" w:rsidRDefault="00F0475D" w:rsidP="00CF610A">
      <w:pPr>
        <w:autoSpaceDE w:val="0"/>
        <w:autoSpaceDN w:val="0"/>
        <w:adjustRightInd w:val="0"/>
        <w:ind w:left="4248" w:firstLine="708"/>
        <w:rPr>
          <w:b/>
          <w:sz w:val="28"/>
          <w:szCs w:val="28"/>
        </w:rPr>
      </w:pPr>
      <w:r w:rsidRPr="000B7936">
        <w:rPr>
          <w:b/>
          <w:sz w:val="28"/>
          <w:szCs w:val="28"/>
        </w:rPr>
        <w:t xml:space="preserve">ul. </w:t>
      </w:r>
      <w:r>
        <w:rPr>
          <w:b/>
          <w:sz w:val="28"/>
          <w:szCs w:val="28"/>
        </w:rPr>
        <w:t>Rynek 6</w:t>
      </w:r>
    </w:p>
    <w:p w:rsidR="00CF610A" w:rsidRPr="000B7936" w:rsidRDefault="00F0475D" w:rsidP="00CF610A">
      <w:pPr>
        <w:autoSpaceDE w:val="0"/>
        <w:autoSpaceDN w:val="0"/>
        <w:adjustRightInd w:val="0"/>
        <w:ind w:left="4248" w:firstLine="708"/>
        <w:rPr>
          <w:b/>
          <w:sz w:val="28"/>
          <w:szCs w:val="28"/>
        </w:rPr>
      </w:pPr>
      <w:r w:rsidRPr="000B7936">
        <w:rPr>
          <w:b/>
          <w:sz w:val="28"/>
          <w:szCs w:val="28"/>
        </w:rPr>
        <w:t>0</w:t>
      </w:r>
      <w:r w:rsidRPr="000B7936">
        <w:rPr>
          <w:b/>
          <w:sz w:val="28"/>
          <w:szCs w:val="28"/>
        </w:rPr>
        <w:t>5</w:t>
      </w:r>
      <w:r w:rsidRPr="000B7936">
        <w:rPr>
          <w:b/>
          <w:sz w:val="28"/>
          <w:szCs w:val="28"/>
        </w:rPr>
        <w:t>-8</w:t>
      </w:r>
      <w:r>
        <w:rPr>
          <w:b/>
          <w:sz w:val="28"/>
          <w:szCs w:val="28"/>
        </w:rPr>
        <w:t>70 Błonie</w:t>
      </w:r>
    </w:p>
    <w:p w:rsidR="00CF610A" w:rsidRDefault="00F0475D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FB729E" w:rsidRDefault="00F0475D" w:rsidP="006376DD">
      <w:pPr>
        <w:pStyle w:val="Nagwek1"/>
        <w:spacing w:line="360" w:lineRule="auto"/>
        <w:ind w:right="-468"/>
        <w:jc w:val="center"/>
        <w:rPr>
          <w:rFonts w:ascii="Times New Roman" w:hAnsi="Times New Roman" w:cs="Times New Roman"/>
          <w:b/>
          <w:color w:val="auto"/>
          <w:sz w:val="24"/>
        </w:rPr>
      </w:pPr>
    </w:p>
    <w:p w:rsidR="00CF610A" w:rsidRPr="000B7936" w:rsidRDefault="00F0475D" w:rsidP="006376DD">
      <w:pPr>
        <w:pStyle w:val="Nagwek1"/>
        <w:spacing w:line="360" w:lineRule="auto"/>
        <w:ind w:right="-468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0B7936">
        <w:rPr>
          <w:rFonts w:ascii="Times New Roman" w:hAnsi="Times New Roman" w:cs="Times New Roman"/>
          <w:b/>
          <w:color w:val="auto"/>
          <w:sz w:val="24"/>
        </w:rPr>
        <w:t>Rozstrzygnięcie nadzorcze</w:t>
      </w:r>
    </w:p>
    <w:p w:rsidR="00CF610A" w:rsidRPr="000B7936" w:rsidRDefault="00F0475D" w:rsidP="006376DD">
      <w:pPr>
        <w:pStyle w:val="Tekstpodstawowy"/>
        <w:ind w:left="-426" w:right="-471" w:firstLine="710"/>
        <w:rPr>
          <w:sz w:val="24"/>
        </w:rPr>
      </w:pPr>
      <w:r w:rsidRPr="000B7936">
        <w:rPr>
          <w:sz w:val="24"/>
        </w:rPr>
        <w:t>Działając na podstawie art. 91</w:t>
      </w:r>
      <w:r w:rsidRPr="000B7936">
        <w:rPr>
          <w:sz w:val="24"/>
        </w:rPr>
        <w:t xml:space="preserve"> ust. 1</w:t>
      </w:r>
      <w:r>
        <w:rPr>
          <w:sz w:val="24"/>
        </w:rPr>
        <w:t>,</w:t>
      </w:r>
      <w:r w:rsidRPr="000B7936">
        <w:rPr>
          <w:sz w:val="24"/>
        </w:rPr>
        <w:t xml:space="preserve"> w związku z art. 86 ustawy z dnia 8 marca 1990 r.                         </w:t>
      </w:r>
      <w:r w:rsidRPr="000B7936">
        <w:rPr>
          <w:sz w:val="24"/>
        </w:rPr>
        <w:t xml:space="preserve">   </w:t>
      </w:r>
      <w:r w:rsidRPr="000B7936">
        <w:rPr>
          <w:sz w:val="24"/>
        </w:rPr>
        <w:t>o</w:t>
      </w:r>
      <w:r w:rsidRPr="000B7936">
        <w:rPr>
          <w:sz w:val="24"/>
        </w:rPr>
        <w:t xml:space="preserve"> </w:t>
      </w:r>
      <w:r w:rsidRPr="000B7936">
        <w:rPr>
          <w:sz w:val="24"/>
        </w:rPr>
        <w:t>samorządzie gminnym (Dz. U. z 20</w:t>
      </w:r>
      <w:r w:rsidRPr="000B7936">
        <w:rPr>
          <w:sz w:val="24"/>
        </w:rPr>
        <w:t>20</w:t>
      </w:r>
      <w:r w:rsidRPr="000B7936">
        <w:rPr>
          <w:sz w:val="24"/>
        </w:rPr>
        <w:t xml:space="preserve"> r. poz. </w:t>
      </w:r>
      <w:r w:rsidRPr="000B7936">
        <w:rPr>
          <w:sz w:val="24"/>
        </w:rPr>
        <w:t>713</w:t>
      </w:r>
      <w:r w:rsidRPr="000B7936">
        <w:rPr>
          <w:sz w:val="24"/>
        </w:rPr>
        <w:t>, z późn, zm.</w:t>
      </w:r>
      <w:r w:rsidRPr="000B7936">
        <w:rPr>
          <w:sz w:val="24"/>
        </w:rPr>
        <w:t>)</w:t>
      </w:r>
    </w:p>
    <w:p w:rsidR="00FB729E" w:rsidRDefault="00F0475D" w:rsidP="00CF610A">
      <w:pPr>
        <w:spacing w:line="360" w:lineRule="auto"/>
        <w:ind w:right="-468"/>
        <w:jc w:val="center"/>
        <w:rPr>
          <w:b/>
          <w:bCs/>
        </w:rPr>
      </w:pPr>
    </w:p>
    <w:p w:rsidR="00CF610A" w:rsidRPr="000B7936" w:rsidRDefault="00F0475D" w:rsidP="00CF610A">
      <w:pPr>
        <w:spacing w:line="360" w:lineRule="auto"/>
        <w:ind w:right="-468"/>
        <w:jc w:val="center"/>
        <w:rPr>
          <w:b/>
          <w:bCs/>
        </w:rPr>
      </w:pPr>
      <w:r w:rsidRPr="000B7936">
        <w:rPr>
          <w:b/>
          <w:bCs/>
        </w:rPr>
        <w:t>stwierdzam nieważność</w:t>
      </w:r>
    </w:p>
    <w:p w:rsidR="00253ADA" w:rsidRPr="000B7936" w:rsidRDefault="00F0475D" w:rsidP="00924310">
      <w:pPr>
        <w:pStyle w:val="Tekstpodstawowy"/>
        <w:ind w:left="-357" w:right="-471"/>
        <w:rPr>
          <w:b/>
          <w:i/>
          <w:sz w:val="24"/>
        </w:rPr>
      </w:pPr>
      <w:r w:rsidRPr="000B7936">
        <w:rPr>
          <w:bCs/>
          <w:sz w:val="24"/>
        </w:rPr>
        <w:t xml:space="preserve">uchwały </w:t>
      </w:r>
      <w:r w:rsidRPr="000B7936">
        <w:rPr>
          <w:bCs/>
          <w:sz w:val="24"/>
        </w:rPr>
        <w:t xml:space="preserve">Nr </w:t>
      </w:r>
      <w:r>
        <w:rPr>
          <w:bCs/>
          <w:sz w:val="24"/>
        </w:rPr>
        <w:t xml:space="preserve">XXXI/271/21 Rady Miejskiej w Błoniu z dnia 17 maja 2021 r. w sprawie </w:t>
      </w:r>
      <w:r>
        <w:rPr>
          <w:bCs/>
          <w:i/>
          <w:sz w:val="24"/>
        </w:rPr>
        <w:t>zaję</w:t>
      </w:r>
      <w:r>
        <w:rPr>
          <w:bCs/>
          <w:i/>
          <w:sz w:val="24"/>
        </w:rPr>
        <w:t>cia stanowiska i przekazania Skargi z dnia 27 kwietnia 2021 r.</w:t>
      </w:r>
    </w:p>
    <w:p w:rsidR="006376DD" w:rsidRDefault="00F0475D" w:rsidP="00D143D8">
      <w:pPr>
        <w:pStyle w:val="Tekstpodstawowy"/>
        <w:ind w:right="-468"/>
        <w:jc w:val="center"/>
        <w:rPr>
          <w:rFonts w:ascii="Calibri" w:hAnsi="Calibri" w:cs="Calibri"/>
          <w:b/>
          <w:sz w:val="24"/>
        </w:rPr>
      </w:pPr>
    </w:p>
    <w:p w:rsidR="00032C85" w:rsidRPr="000B7936" w:rsidRDefault="00F0475D" w:rsidP="00D143D8">
      <w:pPr>
        <w:pStyle w:val="Tekstpodstawowy"/>
        <w:ind w:right="-468"/>
        <w:jc w:val="center"/>
        <w:rPr>
          <w:b/>
          <w:sz w:val="24"/>
          <w:u w:val="single"/>
        </w:rPr>
      </w:pPr>
      <w:r w:rsidRPr="000B7936">
        <w:rPr>
          <w:b/>
          <w:sz w:val="24"/>
        </w:rPr>
        <w:t>Uzasadnienie</w:t>
      </w:r>
    </w:p>
    <w:p w:rsidR="000B7936" w:rsidRDefault="00F0475D" w:rsidP="005E15ED">
      <w:pPr>
        <w:spacing w:line="360" w:lineRule="auto"/>
        <w:ind w:left="-426" w:right="-569" w:firstLine="852"/>
        <w:jc w:val="both"/>
        <w:rPr>
          <w:i/>
        </w:rPr>
      </w:pPr>
      <w:r>
        <w:t>Na sesji</w:t>
      </w:r>
      <w:r>
        <w:t xml:space="preserve">, która odbyła się 17 maja 2021 r. Rada Miejska w Błoniu podjęła uchwałę                             Nr XXXI/271/21 w sprawie </w:t>
      </w:r>
      <w:r>
        <w:rPr>
          <w:i/>
        </w:rPr>
        <w:t xml:space="preserve">zajęcia stanowiska i przekazania Skargi z dnia 27 kwietnia 2021 r. </w:t>
      </w:r>
    </w:p>
    <w:p w:rsidR="00FB729E" w:rsidRDefault="00F0475D" w:rsidP="005E15ED">
      <w:pPr>
        <w:spacing w:line="360" w:lineRule="auto"/>
        <w:ind w:left="-426" w:right="-569" w:firstLine="852"/>
        <w:jc w:val="both"/>
      </w:pPr>
    </w:p>
    <w:p w:rsidR="005E15ED" w:rsidRDefault="00F0475D" w:rsidP="005E15ED">
      <w:pPr>
        <w:spacing w:line="360" w:lineRule="auto"/>
        <w:ind w:left="-426" w:right="-569" w:firstLine="852"/>
        <w:jc w:val="both"/>
      </w:pPr>
      <w:r>
        <w:t>Podstawę prawną niniejszej uchwały stanowią przepisy ustawy z dnia 14 czerwca 1960 r. Kodeks postepowania administracyjnego (Dz. U. z 2021 r. poz. 735, z późn. zm</w:t>
      </w:r>
      <w:r>
        <w:t>.</w:t>
      </w:r>
      <w:r>
        <w:t>)</w:t>
      </w:r>
      <w:r>
        <w:t xml:space="preserve">, zwanej dalej </w:t>
      </w:r>
      <w:r w:rsidRPr="00435ECE">
        <w:rPr>
          <w:i/>
        </w:rPr>
        <w:t>kpa</w:t>
      </w:r>
      <w:r>
        <w:t>, tj.</w:t>
      </w:r>
      <w:r>
        <w:t>:</w:t>
      </w:r>
    </w:p>
    <w:p w:rsidR="005E15ED" w:rsidRPr="005E15ED" w:rsidRDefault="00F0475D" w:rsidP="005E15ED">
      <w:pPr>
        <w:spacing w:line="360" w:lineRule="auto"/>
        <w:ind w:left="-426" w:right="-569"/>
        <w:jc w:val="both"/>
        <w:rPr>
          <w:i/>
        </w:rPr>
      </w:pPr>
      <w:r>
        <w:t xml:space="preserve">- art. 229 pkt 1, zgodnie z którym </w:t>
      </w:r>
      <w:r w:rsidRPr="005E15ED">
        <w:rPr>
          <w:i/>
        </w:rPr>
        <w:t>Jeżeli przepisy szczególne nie określają innych organów właściwych do rozpatrywania skarg, jest organem właściwym do rozpatrzenia skargi dotyczącej zadań lub działalności:</w:t>
      </w:r>
    </w:p>
    <w:p w:rsidR="005E15ED" w:rsidRDefault="00F0475D" w:rsidP="005E15ED">
      <w:pPr>
        <w:spacing w:line="360" w:lineRule="auto"/>
        <w:ind w:left="-426" w:right="-569"/>
        <w:jc w:val="both"/>
        <w:rPr>
          <w:rFonts w:eastAsia="Times New Roman"/>
          <w:i/>
        </w:rPr>
      </w:pPr>
      <w:r w:rsidRPr="005E15ED">
        <w:rPr>
          <w:rFonts w:eastAsia="Times New Roman"/>
          <w:i/>
        </w:rPr>
        <w:t xml:space="preserve">rady gminy, rady powiatu i sejmiku województwa </w:t>
      </w:r>
      <w:r w:rsidRPr="005E15ED">
        <w:rPr>
          <w:rFonts w:eastAsia="Times New Roman"/>
          <w:i/>
        </w:rPr>
        <w:t>- wojewoda, a w zakresie spraw finansowych - regionalna izba obrachunkowa;</w:t>
      </w:r>
    </w:p>
    <w:p w:rsidR="005E15ED" w:rsidRPr="005E15ED" w:rsidRDefault="00F0475D" w:rsidP="005E15ED">
      <w:pPr>
        <w:spacing w:line="360" w:lineRule="auto"/>
        <w:ind w:left="-426" w:right="-569"/>
        <w:jc w:val="both"/>
        <w:rPr>
          <w:rFonts w:eastAsia="Times New Roman"/>
          <w:i/>
        </w:rPr>
      </w:pPr>
      <w:r>
        <w:rPr>
          <w:rFonts w:eastAsia="Times New Roman"/>
        </w:rPr>
        <w:t xml:space="preserve">- art. 231 § 1, zgodnie z którym </w:t>
      </w:r>
      <w:r w:rsidRPr="005E15ED">
        <w:rPr>
          <w:i/>
        </w:rPr>
        <w:t xml:space="preserve">Jeżeli organ, który otrzymał skargę, nie jest właściwy do jej rozpatrzenia, obowiązany jest niezwłocznie, nie później jednak niż w terminie siedmiu </w:t>
      </w:r>
      <w:r w:rsidRPr="005E15ED">
        <w:rPr>
          <w:i/>
        </w:rPr>
        <w:t>dni, przekazać ją właściwemu organowi, zawiadamiając równocześnie o tym skarżącego, albo wskazać mu właściwy organ.</w:t>
      </w:r>
    </w:p>
    <w:p w:rsidR="005E15ED" w:rsidRPr="005E15ED" w:rsidRDefault="00F0475D" w:rsidP="005E15ED">
      <w:pPr>
        <w:spacing w:line="360" w:lineRule="auto"/>
        <w:ind w:left="-426" w:right="-428" w:firstLine="852"/>
        <w:jc w:val="both"/>
      </w:pPr>
      <w:r>
        <w:lastRenderedPageBreak/>
        <w:t>Przedmiotem niniejszej uchwały</w:t>
      </w:r>
      <w:r>
        <w:t xml:space="preserve"> jest zajęcie stanowiska organu stanowiącego w przedmiocie </w:t>
      </w:r>
      <w:r>
        <w:t>pisma</w:t>
      </w:r>
      <w:r>
        <w:t xml:space="preserve"> Skarżącego</w:t>
      </w:r>
      <w:r>
        <w:t xml:space="preserve"> z 27 kwietnia 2021 r. adresowanego</w:t>
      </w:r>
      <w:r>
        <w:t xml:space="preserve"> na Radę Miejską w B</w:t>
      </w:r>
      <w:r>
        <w:t>ł</w:t>
      </w:r>
      <w:r>
        <w:t>oniu</w:t>
      </w:r>
      <w:r>
        <w:t>, odnoszącego się</w:t>
      </w:r>
      <w:r>
        <w:t xml:space="preserve"> do wymiaru podatku od nieruchomości i podatku rolnego oraz przekazanie tego pisma, w trybie art. 231      § 1 </w:t>
      </w:r>
      <w:r w:rsidRPr="00435ECE">
        <w:rPr>
          <w:i/>
        </w:rPr>
        <w:t>kpa</w:t>
      </w:r>
      <w:r>
        <w:t xml:space="preserve"> Wojewodzie Mazowieckiemu, jako organowi właściwemu w sprawie.</w:t>
      </w:r>
    </w:p>
    <w:p w:rsidR="005E15ED" w:rsidRPr="005E15ED" w:rsidRDefault="00F0475D" w:rsidP="005E15ED">
      <w:pPr>
        <w:spacing w:line="360" w:lineRule="auto"/>
        <w:ind w:left="-426" w:right="-569" w:firstLine="852"/>
        <w:jc w:val="both"/>
        <w:rPr>
          <w:i/>
        </w:rPr>
      </w:pPr>
    </w:p>
    <w:p w:rsidR="007346DE" w:rsidRPr="006E1EB7" w:rsidRDefault="00F0475D" w:rsidP="008F2DE7">
      <w:pPr>
        <w:spacing w:line="360" w:lineRule="auto"/>
        <w:ind w:left="-426" w:right="-569" w:firstLine="852"/>
        <w:jc w:val="both"/>
        <w:rPr>
          <w:i/>
        </w:rPr>
      </w:pPr>
      <w:r>
        <w:t>Jak wynika ze stanowiska Rady Miejsk</w:t>
      </w:r>
      <w:r>
        <w:t>iej w Błoniu, stanowiącego załącznik</w:t>
      </w:r>
      <w:r>
        <w:t xml:space="preserve"> do przedmiotowej uchwały, pismo skarżącego z 27 kwietnia 2021 r. zawiera zarzuty pod adresem Rady Miejskiej w Błoniu, co do posiadanych przez nią uprawnień i prawa do </w:t>
      </w:r>
      <w:r>
        <w:rPr>
          <w:i/>
        </w:rPr>
        <w:t>ustalania podatków, które dotyczą wolnych żywych Lud</w:t>
      </w:r>
      <w:r>
        <w:rPr>
          <w:i/>
        </w:rPr>
        <w:t>zi.</w:t>
      </w:r>
    </w:p>
    <w:p w:rsidR="000F0AEC" w:rsidRDefault="00F0475D" w:rsidP="00223679">
      <w:pPr>
        <w:spacing w:line="360" w:lineRule="auto"/>
        <w:ind w:left="-426" w:right="-569" w:firstLine="852"/>
        <w:jc w:val="both"/>
      </w:pPr>
      <w:r w:rsidRPr="000F0AEC">
        <w:t>Na wstępie</w:t>
      </w:r>
      <w:r w:rsidRPr="000F0AEC">
        <w:t xml:space="preserve"> należy </w:t>
      </w:r>
      <w:r>
        <w:t>podkreślić</w:t>
      </w:r>
      <w:r w:rsidRPr="000F0AEC">
        <w:t>, iż organ nadzoru badając</w:t>
      </w:r>
      <w:r w:rsidRPr="000F0AEC">
        <w:t xml:space="preserve"> legalność</w:t>
      </w:r>
      <w:r w:rsidRPr="000F0AEC">
        <w:t xml:space="preserve"> przedmiotow</w:t>
      </w:r>
      <w:r w:rsidRPr="000F0AEC">
        <w:t xml:space="preserve">ej </w:t>
      </w:r>
      <w:r w:rsidRPr="000F0AEC">
        <w:t>uchwa</w:t>
      </w:r>
      <w:r w:rsidRPr="000F0AEC">
        <w:t xml:space="preserve">ły stwierdził, </w:t>
      </w:r>
      <w:r>
        <w:t xml:space="preserve">iż </w:t>
      </w:r>
      <w:r>
        <w:t xml:space="preserve">przekazanie pisma Skarżącego z 27 kwietnia 2021 r. do wojewody, na podstawie art. 231     § 1 </w:t>
      </w:r>
      <w:r w:rsidRPr="0022696B">
        <w:rPr>
          <w:i/>
        </w:rPr>
        <w:t>kpa</w:t>
      </w:r>
      <w:r>
        <w:t xml:space="preserve"> stanowi istotne naruszenie prawa.</w:t>
      </w:r>
    </w:p>
    <w:p w:rsidR="00FB729E" w:rsidRDefault="00F0475D" w:rsidP="00223679">
      <w:pPr>
        <w:spacing w:line="360" w:lineRule="auto"/>
        <w:ind w:left="-426" w:right="-569" w:firstLine="852"/>
        <w:jc w:val="both"/>
      </w:pPr>
    </w:p>
    <w:p w:rsidR="0022696B" w:rsidRDefault="00F0475D" w:rsidP="00223679">
      <w:pPr>
        <w:spacing w:line="360" w:lineRule="auto"/>
        <w:ind w:left="-426" w:right="-569" w:firstLine="852"/>
        <w:jc w:val="both"/>
      </w:pPr>
      <w:r>
        <w:t xml:space="preserve">W pierwszej </w:t>
      </w:r>
      <w:r>
        <w:t>kolejności organ nadzoru wskazuje, iż Rada Miejska w Błoniu zajmując stanowisko uchwałą Nr XXXI/271/21 w przedmiocie skargi z 27 kwietnia 2021 r. nie dokonała rzetelnej analizy jej treści pod względem merytorycznym</w:t>
      </w:r>
      <w:r>
        <w:t>.</w:t>
      </w:r>
      <w:r>
        <w:t xml:space="preserve"> Treść</w:t>
      </w:r>
      <w:r>
        <w:t xml:space="preserve"> merytoryczna</w:t>
      </w:r>
      <w:r>
        <w:t xml:space="preserve"> skargi</w:t>
      </w:r>
      <w:r>
        <w:t xml:space="preserve"> wskazuje</w:t>
      </w:r>
      <w:r>
        <w:t xml:space="preserve"> bowie</w:t>
      </w:r>
      <w:r>
        <w:t>m na niezadowolenie Skarżącego</w:t>
      </w:r>
      <w:r>
        <w:t xml:space="preserve"> z wymiaru łącznego zobowiązania pieniężnego w formie decyzji Nr FIN.31.27.1030078.1.2021 z 20 stycznia 2021 r. nałożonej na Skarżącego w zakresie podatku od nieruchomości oraz podatku rolnego.</w:t>
      </w:r>
      <w:r>
        <w:t xml:space="preserve"> </w:t>
      </w:r>
      <w:r>
        <w:t xml:space="preserve"> </w:t>
      </w:r>
    </w:p>
    <w:p w:rsidR="00FB729E" w:rsidRDefault="00F0475D" w:rsidP="00223679">
      <w:pPr>
        <w:spacing w:line="360" w:lineRule="auto"/>
        <w:ind w:left="-426" w:right="-569" w:firstLine="852"/>
        <w:jc w:val="both"/>
      </w:pPr>
    </w:p>
    <w:p w:rsidR="003827C0" w:rsidRDefault="00F0475D" w:rsidP="00223679">
      <w:pPr>
        <w:spacing w:line="360" w:lineRule="auto"/>
        <w:ind w:left="-426" w:right="-569" w:firstLine="852"/>
        <w:jc w:val="both"/>
      </w:pPr>
      <w:r>
        <w:t>Zgodnie z przepisami ustawy o</w:t>
      </w:r>
      <w:r>
        <w:t xml:space="preserve"> samorządzie gminnym p</w:t>
      </w:r>
      <w:r w:rsidRPr="003827C0">
        <w:t>rzepisów rozdziału</w:t>
      </w:r>
      <w:r>
        <w:t xml:space="preserve"> 10</w:t>
      </w:r>
      <w:r w:rsidRPr="003827C0">
        <w:t xml:space="preserve"> nie stosuje się do decyzji indywidualnych w sprawach z zakresu administracji publicznej, wydawanych przez organy gmin, ich związków lub samorządowe kolegia odwoławcze. Kontrolę instancyjną w tym zakresie oraz nad</w:t>
      </w:r>
      <w:r w:rsidRPr="003827C0">
        <w:t xml:space="preserve">zór pozainstancyjny i kontrolę sprawowaną przez sąd określają </w:t>
      </w:r>
      <w:hyperlink r:id="rId10" w:anchor="/search-hypertext/16793509_art(102)_1?pit=2021-06-15" w:tgtFrame="_blank" w:history="1">
        <w:r w:rsidRPr="003827C0">
          <w:t>przepisy</w:t>
        </w:r>
      </w:hyperlink>
      <w:r w:rsidRPr="003827C0">
        <w:t xml:space="preserve"> odrębne</w:t>
      </w:r>
      <w:r>
        <w:t xml:space="preserve"> (art. 102). Ustawodawca, jak należy domniemywać, miał na względzie wsze</w:t>
      </w:r>
      <w:r>
        <w:t xml:space="preserve">lkie akty administracyjne, które można kwalifikować jako decyzje administracyjne, bez względu na to, w jakim trybie (Kodeksu postępowania administracyjnego czy innym) są podejmowane. </w:t>
      </w:r>
    </w:p>
    <w:p w:rsidR="00FB729E" w:rsidRDefault="00F0475D" w:rsidP="00223679">
      <w:pPr>
        <w:spacing w:line="360" w:lineRule="auto"/>
        <w:ind w:left="-426" w:right="-569" w:firstLine="852"/>
        <w:jc w:val="both"/>
      </w:pPr>
    </w:p>
    <w:p w:rsidR="003827C0" w:rsidRDefault="00F0475D" w:rsidP="00223679">
      <w:pPr>
        <w:spacing w:line="360" w:lineRule="auto"/>
        <w:ind w:left="-426" w:right="-569" w:firstLine="852"/>
        <w:jc w:val="both"/>
      </w:pPr>
      <w:r w:rsidRPr="003827C0">
        <w:t xml:space="preserve">Stosowanie postanowień </w:t>
      </w:r>
      <w:r>
        <w:t>rozdziału 10 ustawy o samorządzie gminnym</w:t>
      </w:r>
      <w:r w:rsidRPr="003827C0">
        <w:t xml:space="preserve"> jest w</w:t>
      </w:r>
      <w:r w:rsidRPr="003827C0">
        <w:t>yłączone wobec decyzji administracyjnych wydawanych przez organy gmin, organy związków gmin i samorządowe kolegia odwoławcze.</w:t>
      </w:r>
    </w:p>
    <w:p w:rsidR="00BB56F5" w:rsidRDefault="00F0475D" w:rsidP="00223679">
      <w:pPr>
        <w:spacing w:line="360" w:lineRule="auto"/>
        <w:ind w:left="-426" w:right="-569" w:firstLine="852"/>
        <w:jc w:val="both"/>
      </w:pPr>
      <w:r>
        <w:t xml:space="preserve">Decyzja Nr FIN.31.27.1030078.1.2021 z 20 stycznia 2021 r. </w:t>
      </w:r>
      <w:r>
        <w:t xml:space="preserve">została wydana przez Burmistrza Błonia na podstawie ustawy z dnia 29 sierpnia 1997 r. Ordynacja podatkowa (Dz. U. z 2020 r. poz. 1325, z późn. zm.) oraz ustawy z dnia 12 stycznia 1991 r. o podatkach i opłatach lokalnych (Dz. U. z 2019 r. </w:t>
      </w:r>
      <w:r>
        <w:lastRenderedPageBreak/>
        <w:t>poz. 1170, z późn.</w:t>
      </w:r>
      <w:r>
        <w:t xml:space="preserve"> zm.). Zgodnie z Ordynacj</w:t>
      </w:r>
      <w:r>
        <w:t>ą</w:t>
      </w:r>
      <w:r>
        <w:t xml:space="preserve"> podatkową, organem podatkowym, stosownie do swojej właściwości jest samorządowe kolegium odwoławcze – jako organ odwoławczy od decyzji wójta, burmistrza (prezydenta miasta), starosty albo marszałka województwa</w:t>
      </w:r>
      <w:r>
        <w:t xml:space="preserve"> (art. 13 § 1 pkt 3)</w:t>
      </w:r>
      <w:r>
        <w:t xml:space="preserve">. </w:t>
      </w:r>
    </w:p>
    <w:p w:rsidR="00FB729E" w:rsidRDefault="00F0475D" w:rsidP="00223679">
      <w:pPr>
        <w:spacing w:line="360" w:lineRule="auto"/>
        <w:ind w:left="-426" w:right="-569" w:firstLine="852"/>
        <w:jc w:val="both"/>
      </w:pPr>
    </w:p>
    <w:p w:rsidR="003C01E8" w:rsidRDefault="00F0475D" w:rsidP="00223679">
      <w:pPr>
        <w:spacing w:line="360" w:lineRule="auto"/>
        <w:ind w:left="-426" w:right="-569" w:firstLine="852"/>
        <w:jc w:val="both"/>
      </w:pPr>
      <w:r>
        <w:t>Ponadto, z podstawy prawnej wskazanej decyzji wynika, iż została ona wydana na podstawie uchwał Rady Miejskiej w Błoniu z dnia 9 listopada 2020 r., tj.:</w:t>
      </w:r>
    </w:p>
    <w:p w:rsidR="003C01E8" w:rsidRDefault="00F0475D" w:rsidP="003C01E8">
      <w:pPr>
        <w:spacing w:line="360" w:lineRule="auto"/>
        <w:ind w:left="-426" w:right="-569"/>
        <w:jc w:val="both"/>
      </w:pPr>
      <w:r>
        <w:t xml:space="preserve">- Nr XXV/218/20 w sprawie </w:t>
      </w:r>
      <w:r w:rsidRPr="003C01E8">
        <w:rPr>
          <w:i/>
        </w:rPr>
        <w:t>określenia wysokości stawek podatku od nieruchomości</w:t>
      </w:r>
      <w:r>
        <w:t>,</w:t>
      </w:r>
    </w:p>
    <w:p w:rsidR="003C01E8" w:rsidRDefault="00F0475D" w:rsidP="003C01E8">
      <w:pPr>
        <w:spacing w:line="360" w:lineRule="auto"/>
        <w:ind w:left="-426" w:right="-569"/>
        <w:jc w:val="both"/>
        <w:rPr>
          <w:i/>
        </w:rPr>
      </w:pPr>
      <w:r>
        <w:t>- Nr XXV/220/20 w s</w:t>
      </w:r>
      <w:r>
        <w:t xml:space="preserve">prawie </w:t>
      </w:r>
      <w:r w:rsidRPr="003C01E8">
        <w:rPr>
          <w:i/>
        </w:rPr>
        <w:t>obniżenia średniej ceny skupu żyta, przejmowanej jako podstawa obliczenia podatku rolnego na 2021 rok.</w:t>
      </w:r>
    </w:p>
    <w:p w:rsidR="00FB729E" w:rsidRDefault="00F0475D" w:rsidP="00FB729E">
      <w:pPr>
        <w:spacing w:line="360" w:lineRule="auto"/>
        <w:ind w:left="-426" w:right="-569" w:firstLine="852"/>
        <w:jc w:val="both"/>
      </w:pPr>
    </w:p>
    <w:p w:rsidR="00D310AE" w:rsidRDefault="00F0475D" w:rsidP="00FB729E">
      <w:pPr>
        <w:spacing w:line="360" w:lineRule="auto"/>
        <w:ind w:left="-426" w:right="-569" w:firstLine="852"/>
        <w:jc w:val="both"/>
      </w:pPr>
      <w:r>
        <w:t>Zgodnie z ustawą o samorządzie gminnym, organem właściwym w sprawach finansowych jest regionalna izba obrachunkowa (art. 86).</w:t>
      </w:r>
    </w:p>
    <w:p w:rsidR="00FB729E" w:rsidRDefault="00F0475D" w:rsidP="00FB729E">
      <w:pPr>
        <w:spacing w:line="360" w:lineRule="auto"/>
        <w:ind w:left="-426" w:right="-569" w:firstLine="852"/>
        <w:jc w:val="both"/>
      </w:pPr>
    </w:p>
    <w:p w:rsidR="00E23350" w:rsidRPr="00D310AE" w:rsidRDefault="00F0475D" w:rsidP="00FB729E">
      <w:pPr>
        <w:spacing w:line="360" w:lineRule="auto"/>
        <w:ind w:left="-426" w:right="-569" w:firstLine="852"/>
        <w:jc w:val="both"/>
      </w:pPr>
      <w:r w:rsidRPr="00D310AE">
        <w:t>Należy pamiętać, i</w:t>
      </w:r>
      <w:r w:rsidRPr="00D310AE">
        <w:t>ż organ</w:t>
      </w:r>
      <w:r w:rsidRPr="00D310AE">
        <w:t>y</w:t>
      </w:r>
      <w:r w:rsidRPr="00D310AE">
        <w:t xml:space="preserve"> władzy publicznej działają na podstawie i w granicach prawa </w:t>
      </w:r>
      <w:r>
        <w:t xml:space="preserve"> </w:t>
      </w:r>
      <w:r w:rsidRPr="00D310AE">
        <w:t xml:space="preserve">(art. 7 Konstytucji RP). Prawo stanowi bowiem nie tylko kompetencję do działania, ale także powinno być źródłem nakazów i zakazów wyznaczających ramy prawne owego działania. Kompetencji </w:t>
      </w:r>
      <w:r w:rsidRPr="00D310AE">
        <w:t>do działania nie można domniemywać, konstruują ją przepisy o różnym charakterze (przepisy materialne, proceduralne, ustrojowe).</w:t>
      </w:r>
    </w:p>
    <w:p w:rsidR="00FB729E" w:rsidRDefault="00F0475D" w:rsidP="00223679">
      <w:pPr>
        <w:spacing w:line="360" w:lineRule="auto"/>
        <w:ind w:left="-426" w:right="-569" w:firstLine="852"/>
        <w:jc w:val="both"/>
      </w:pPr>
    </w:p>
    <w:p w:rsidR="00397C5F" w:rsidRDefault="00F0475D" w:rsidP="00397C5F">
      <w:pPr>
        <w:spacing w:line="360" w:lineRule="auto"/>
        <w:ind w:left="-426" w:right="-569" w:firstLine="709"/>
        <w:jc w:val="both"/>
      </w:pPr>
      <w:r w:rsidRPr="00D310AE">
        <w:t>Realizacja spraw oddanych pod kompetencje gminy jest wyrazem jej samodzielności. Nie ma ona jednak charakteru arbitralnego i ni</w:t>
      </w:r>
      <w:r w:rsidRPr="00D310AE">
        <w:t>eograniczonego – co konsekwentnie podkreśla się w judykaturze.          W swoich działaniach gmina jest ograniczona przez Konstytucję, przepisy prawa wspólnotowego oraz akty rangi ustawowej i podustawowej. Jednocześnie zgodnie z art. 16 Konstytucji samorzą</w:t>
      </w:r>
      <w:r w:rsidRPr="00D310AE">
        <w:t>d terytorialny uczestniczy w sprawowaniu władzy publicznej, przez co należy przyjąć, że nie posiada on własnych celów i interesów.</w:t>
      </w:r>
    </w:p>
    <w:p w:rsidR="00775356" w:rsidRDefault="00F0475D" w:rsidP="002F3AE7">
      <w:pPr>
        <w:spacing w:line="360" w:lineRule="auto"/>
        <w:ind w:left="-426" w:right="-569" w:firstLine="709"/>
        <w:jc w:val="both"/>
      </w:pPr>
    </w:p>
    <w:p w:rsidR="00775356" w:rsidRPr="00775356" w:rsidRDefault="00F0475D" w:rsidP="00775356">
      <w:pPr>
        <w:spacing w:line="360" w:lineRule="auto"/>
        <w:ind w:left="-426" w:right="-569" w:firstLine="710"/>
        <w:jc w:val="both"/>
        <w:rPr>
          <w:rFonts w:eastAsiaTheme="minorHAnsi"/>
          <w:sz w:val="22"/>
          <w:szCs w:val="22"/>
        </w:rPr>
      </w:pPr>
      <w:r w:rsidRPr="00775356">
        <w:t>W postępowaniu skargowym obowiązuje zasada prowadzenia tego postępowania w ramach właściwości danego organu ustalonej stosow</w:t>
      </w:r>
      <w:r w:rsidRPr="00775356">
        <w:t xml:space="preserve">nie do przedmiotu skargi. Zgodnie z art. 229 pkt 3 </w:t>
      </w:r>
      <w:r w:rsidRPr="00775356">
        <w:rPr>
          <w:i/>
        </w:rPr>
        <w:t>kpa</w:t>
      </w:r>
      <w:r w:rsidRPr="00775356">
        <w:t xml:space="preserve"> organem właściwym do rozpatrzenia skargi dotyczącej zadań lub działalności wójta (burmistrza, prezydenta miasta) jest rada gminy. Uprawnienie rady gminy do rozpatrzenia skargi na działalność organu wyk</w:t>
      </w:r>
      <w:r w:rsidRPr="00775356">
        <w:t>onawczego gminy nie ma charakteru nieograniczonego. O tym</w:t>
      </w:r>
      <w:r>
        <w:t>,</w:t>
      </w:r>
      <w:r w:rsidRPr="00775356">
        <w:t xml:space="preserve"> jak daleko sięgają kompetencje rady gminy w tym przedmiocie, decyduje przede wszystkim zakres przedmiotowy uregulowania objętego Rozdziałem 2 Działu VIII </w:t>
      </w:r>
      <w:r w:rsidRPr="00775356">
        <w:rPr>
          <w:i/>
        </w:rPr>
        <w:t>kpa</w:t>
      </w:r>
      <w:r>
        <w:rPr>
          <w:i/>
        </w:rPr>
        <w:t>.</w:t>
      </w:r>
      <w:r w:rsidRPr="00775356">
        <w:t xml:space="preserve"> Na określenie tego zakresu składają si</w:t>
      </w:r>
      <w:r w:rsidRPr="00775356">
        <w:t xml:space="preserve">ę przesłanki pozytywne wskazane w art. 227 </w:t>
      </w:r>
      <w:r w:rsidRPr="00775356">
        <w:rPr>
          <w:i/>
        </w:rPr>
        <w:t>kpa</w:t>
      </w:r>
      <w:r w:rsidRPr="00775356">
        <w:t xml:space="preserve"> oraz przesłanki negatywne</w:t>
      </w:r>
      <w:r>
        <w:t>,</w:t>
      </w:r>
      <w:r w:rsidRPr="00775356">
        <w:t xml:space="preserve"> wynikające z art. 233 -236 </w:t>
      </w:r>
      <w:r w:rsidRPr="00775356">
        <w:rPr>
          <w:i/>
        </w:rPr>
        <w:t>kpa</w:t>
      </w:r>
      <w:r w:rsidRPr="00775356">
        <w:t xml:space="preserve">. </w:t>
      </w:r>
    </w:p>
    <w:p w:rsidR="00775356" w:rsidRPr="00775356" w:rsidRDefault="00F0475D" w:rsidP="00775356">
      <w:pPr>
        <w:spacing w:line="360" w:lineRule="auto"/>
        <w:ind w:left="-426" w:right="-569" w:firstLine="710"/>
        <w:jc w:val="both"/>
      </w:pPr>
      <w:r>
        <w:lastRenderedPageBreak/>
        <w:t>Natomiast s</w:t>
      </w:r>
      <w:r w:rsidRPr="00775356">
        <w:t xml:space="preserve">tosownie do art. 233 </w:t>
      </w:r>
      <w:r w:rsidRPr="004A6271">
        <w:rPr>
          <w:i/>
        </w:rPr>
        <w:t>kpa</w:t>
      </w:r>
      <w:r w:rsidRPr="00775356">
        <w:t xml:space="preserve"> skarga w sprawie indywidualnej, która nie była i nie jest przedmiotem postępowania administracyjnego, powoduje ws</w:t>
      </w:r>
      <w:r w:rsidRPr="00775356">
        <w:t>zczęcie postępowania, jeżeli została złożona przez stronę. Jeżeli skarga taka pochodzi od innej osoby, może spowodować wszczęcie postępowania administracyjnego z urzędu, chyba że przepisy wymagają do wszczęcia postępowania żądania strony. Natomiast w spraw</w:t>
      </w:r>
      <w:r w:rsidRPr="00775356">
        <w:t xml:space="preserve">ie, w której toczy się postępowanie administracyjne skarga złożona przez stronę podlega rozpatrzeniu w toku postępowania, zgodnie z przepisami </w:t>
      </w:r>
      <w:r w:rsidRPr="004A6271">
        <w:rPr>
          <w:i/>
        </w:rPr>
        <w:t>kpa</w:t>
      </w:r>
      <w:r w:rsidRPr="00775356">
        <w:t>, zaś skarga pochodząca od innych osób stanowi materiał, który organ prowadzący postępowanie powinien rozpatrz</w:t>
      </w:r>
      <w:r w:rsidRPr="00775356">
        <w:t xml:space="preserve">yć z urzędu (art. 234 </w:t>
      </w:r>
      <w:r w:rsidRPr="004A6271">
        <w:rPr>
          <w:i/>
        </w:rPr>
        <w:t>kpa</w:t>
      </w:r>
      <w:r w:rsidRPr="00775356">
        <w:t xml:space="preserve">). Z kolei skargę w sprawie, w której wydano decyzję ostateczną, uważa się zależnie od jej treści za żądanie wznowienia postępowania, stwierdzenia nieważności decyzji albo jej uchylenia lub zmiany </w:t>
      </w:r>
      <w:r>
        <w:t xml:space="preserve">      </w:t>
      </w:r>
      <w:r w:rsidRPr="00775356">
        <w:t xml:space="preserve">(art. 235 </w:t>
      </w:r>
      <w:r w:rsidRPr="004A6271">
        <w:rPr>
          <w:i/>
        </w:rPr>
        <w:t>kpa</w:t>
      </w:r>
      <w:r w:rsidRPr="00775356">
        <w:t>). Na podstawie</w:t>
      </w:r>
      <w:r w:rsidRPr="00775356">
        <w:t xml:space="preserve"> art. 236 § 1 </w:t>
      </w:r>
      <w:r w:rsidRPr="004A6271">
        <w:rPr>
          <w:i/>
        </w:rPr>
        <w:t>kpa</w:t>
      </w:r>
      <w:r>
        <w:rPr>
          <w:i/>
        </w:rPr>
        <w:t>,</w:t>
      </w:r>
      <w:r w:rsidRPr="00775356">
        <w:t xml:space="preserve"> w przypadkach określonych w art. 233 i 234 </w:t>
      </w:r>
      <w:r w:rsidRPr="004A6271">
        <w:rPr>
          <w:i/>
        </w:rPr>
        <w:t>kpa</w:t>
      </w:r>
      <w:r w:rsidRPr="00775356">
        <w:t xml:space="preserve"> organem właściwym do rozpatrzenia skargi jest organ uprawniony do wszczęcia postępowania lub organ, przed którym toczy się postępowanie, a w przypadkach określonych w art. 235 </w:t>
      </w:r>
      <w:r>
        <w:rPr>
          <w:i/>
        </w:rPr>
        <w:t>kpa</w:t>
      </w:r>
      <w:r w:rsidRPr="00775356">
        <w:t xml:space="preserve"> - organ wł</w:t>
      </w:r>
      <w:r w:rsidRPr="00775356">
        <w:t xml:space="preserve">aściwy do wznowienia postępowania, stwierdzenia nieważności decyzji albo do jej uchylenia lub zmiany. Przepis ten stanowi odstępstwo od reguły określonej w art. 229 </w:t>
      </w:r>
      <w:r>
        <w:rPr>
          <w:i/>
        </w:rPr>
        <w:t xml:space="preserve">kpa </w:t>
      </w:r>
      <w:r>
        <w:t>i</w:t>
      </w:r>
      <w:r>
        <w:rPr>
          <w:i/>
        </w:rPr>
        <w:t xml:space="preserve"> </w:t>
      </w:r>
      <w:r>
        <w:t>tym samym stanowi</w:t>
      </w:r>
      <w:r w:rsidRPr="00775356">
        <w:t xml:space="preserve"> przykład przepisu szczególnego</w:t>
      </w:r>
      <w:r>
        <w:t>,</w:t>
      </w:r>
      <w:r w:rsidRPr="00775356">
        <w:t xml:space="preserve"> odmiennie określającego właściwość </w:t>
      </w:r>
      <w:r w:rsidRPr="00775356">
        <w:t xml:space="preserve">organu do rozpatrzenia i załatwienia skargi </w:t>
      </w:r>
      <w:r>
        <w:t xml:space="preserve">                      </w:t>
      </w:r>
      <w:r w:rsidRPr="00775356">
        <w:t>i następ</w:t>
      </w:r>
      <w:r>
        <w:t>nie</w:t>
      </w:r>
      <w:r w:rsidRPr="00775356">
        <w:t xml:space="preserve"> transformacji takiej skargi w środek postępowania jurysdykcyjnego. </w:t>
      </w:r>
    </w:p>
    <w:p w:rsidR="008C63D4" w:rsidRDefault="00F0475D" w:rsidP="008C63D4">
      <w:pPr>
        <w:spacing w:line="360" w:lineRule="auto"/>
        <w:ind w:left="-426" w:right="-569" w:firstLine="710"/>
        <w:jc w:val="both"/>
      </w:pPr>
    </w:p>
    <w:p w:rsidR="008C63D4" w:rsidRDefault="00F0475D" w:rsidP="008C63D4">
      <w:pPr>
        <w:spacing w:line="360" w:lineRule="auto"/>
        <w:ind w:left="-426" w:right="-569" w:firstLine="710"/>
        <w:jc w:val="both"/>
      </w:pPr>
      <w:r w:rsidRPr="00775356">
        <w:t>Ustawodawca przyjmuje zatem zasadę pierwszeństwa postępowania jurysdykcyjnego przed postępowaniem skargowym (M. Jaśkowska, A. Wróbel, Kodeks..., s. 1030). Postępowanie skargowe, jak czasami się przyjmuje, będzie miało charakter subsydiarny wobec postępowan</w:t>
      </w:r>
      <w:r w:rsidRPr="00775356">
        <w:t xml:space="preserve">ia jurysdykcyjnego (postanowienie NSA z 13 lipca 1983 r. sygn. akt II SA 593/83, ONSA 1983, nr 2, poz. 55). </w:t>
      </w:r>
      <w:r w:rsidRPr="004A6271">
        <w:rPr>
          <w:i/>
        </w:rPr>
        <w:t>Organ właściwy nie może zmienić kwalifikacji czynności procesowej strony na skargę powszechną. Procedura rozpoznania skargi powszechnej nie zapewnia</w:t>
      </w:r>
      <w:r w:rsidRPr="004A6271">
        <w:rPr>
          <w:i/>
        </w:rPr>
        <w:t xml:space="preserve"> stronie gwarancji, które wynikają z prawa do procesu oraz prawa do sądu. Z tego względu przepisy art. 233, art. 234, art. 235 i art. 236 Kodeksu postępowania nakładają obowiązek nadania czynności procesowej strony, choćby miała postać skargi powszechnej, </w:t>
      </w:r>
      <w:r w:rsidRPr="004A6271">
        <w:rPr>
          <w:i/>
        </w:rPr>
        <w:t>odpowiedniego charakteru procesowego przyjętego w przepisach Kodeksu postępowania administracyjnego. Nadanie czynności procesowej strony charakteru skargi powszechnej ogranicza jej prawa procesowe. Skarga wymaga rozpoznania przez właściwy organ, o treści r</w:t>
      </w:r>
      <w:r w:rsidRPr="004A6271">
        <w:rPr>
          <w:i/>
        </w:rPr>
        <w:t>ozpoznania zawiadamia się wnoszącego skargę (art. 238 Kodeksu postępowania administracyjnego). Od zawiadomienia nie służą środki zaskarżenia</w:t>
      </w:r>
      <w:r w:rsidRPr="00775356">
        <w:t>. (wyrok NSA z 28 kwietnia 2010 r. sygn. akt I OSK 209/10).</w:t>
      </w:r>
    </w:p>
    <w:p w:rsidR="008C63D4" w:rsidRDefault="00F0475D" w:rsidP="008C63D4">
      <w:pPr>
        <w:spacing w:line="360" w:lineRule="auto"/>
        <w:ind w:left="-426" w:right="-569" w:firstLine="710"/>
        <w:jc w:val="both"/>
      </w:pPr>
    </w:p>
    <w:p w:rsidR="002F3AE7" w:rsidRDefault="00F0475D" w:rsidP="008C63D4">
      <w:pPr>
        <w:spacing w:line="360" w:lineRule="auto"/>
        <w:ind w:left="-426" w:right="-569" w:firstLine="710"/>
        <w:jc w:val="both"/>
      </w:pPr>
      <w:r>
        <w:t>Konkludując</w:t>
      </w:r>
      <w:r>
        <w:t xml:space="preserve"> powyższy </w:t>
      </w:r>
      <w:r>
        <w:t xml:space="preserve">wywód należy uznać, iż podejmując </w:t>
      </w:r>
      <w:r>
        <w:t xml:space="preserve">uchwałę Nr XXXI/271/21 z dnia           17 maja 2021 r. Rada Miejska w Błoniu naruszyła art. 231 § 1 </w:t>
      </w:r>
      <w:r w:rsidRPr="002476AF">
        <w:rPr>
          <w:i/>
        </w:rPr>
        <w:t>kpa</w:t>
      </w:r>
      <w:r>
        <w:rPr>
          <w:i/>
        </w:rPr>
        <w:t xml:space="preserve"> </w:t>
      </w:r>
      <w:r>
        <w:t xml:space="preserve">w ten sposób, iż nie dokonała rzetelnej </w:t>
      </w:r>
      <w:r>
        <w:lastRenderedPageBreak/>
        <w:t xml:space="preserve">analizy merytorycznej zarzutów przedłożonych w skardze z 27 kwietnia 2021 r. i tym samym scedowała na wojewodę </w:t>
      </w:r>
      <w:r>
        <w:t xml:space="preserve">obowiązek jej rozpatrzenia w trybie przepisów </w:t>
      </w:r>
      <w:r w:rsidRPr="002F3AE7">
        <w:rPr>
          <w:i/>
        </w:rPr>
        <w:t>kpa</w:t>
      </w:r>
      <w:r>
        <w:t>.</w:t>
      </w:r>
      <w:r>
        <w:t xml:space="preserve"> </w:t>
      </w:r>
    </w:p>
    <w:p w:rsidR="00FB729E" w:rsidRDefault="00F0475D" w:rsidP="002F3AE7">
      <w:pPr>
        <w:spacing w:line="360" w:lineRule="auto"/>
        <w:ind w:left="-426" w:right="-569" w:firstLine="709"/>
        <w:jc w:val="both"/>
      </w:pPr>
    </w:p>
    <w:p w:rsidR="008B629A" w:rsidRPr="00D310AE" w:rsidRDefault="00F0475D" w:rsidP="002F3AE7">
      <w:pPr>
        <w:spacing w:line="360" w:lineRule="auto"/>
        <w:ind w:left="-426" w:right="-569" w:firstLine="709"/>
        <w:jc w:val="both"/>
      </w:pPr>
      <w:r w:rsidRPr="00D310AE">
        <w:t xml:space="preserve">Biorąc pod uwagę </w:t>
      </w:r>
      <w:r w:rsidRPr="00D310AE">
        <w:t>pr</w:t>
      </w:r>
      <w:r>
        <w:t>zedstawiony stan faktyczny oraz prawny</w:t>
      </w:r>
      <w:r w:rsidRPr="00D310AE">
        <w:t>, zasadne jest stwierdzenie nieważności przedmiotowej uchwały, jako niezgodnej z przepisami prawa powszechnie obowiązującego.</w:t>
      </w:r>
    </w:p>
    <w:p w:rsidR="00FB729E" w:rsidRDefault="00F0475D" w:rsidP="002476AF">
      <w:pPr>
        <w:spacing w:line="360" w:lineRule="auto"/>
        <w:ind w:left="-426" w:right="-569" w:firstLine="710"/>
        <w:jc w:val="both"/>
      </w:pPr>
    </w:p>
    <w:p w:rsidR="000E7E1F" w:rsidRPr="00D310AE" w:rsidRDefault="00F0475D" w:rsidP="002476AF">
      <w:pPr>
        <w:spacing w:line="360" w:lineRule="auto"/>
        <w:ind w:left="-426" w:right="-569" w:firstLine="710"/>
        <w:jc w:val="both"/>
      </w:pPr>
      <w:r w:rsidRPr="00D310AE">
        <w:t xml:space="preserve">Stwierdzenie </w:t>
      </w:r>
      <w:r w:rsidRPr="00D310AE">
        <w:t>nieważności uchwały wstrzymuje jej wykonanie</w:t>
      </w:r>
      <w:r w:rsidRPr="00D310AE">
        <w:t xml:space="preserve"> </w:t>
      </w:r>
      <w:r w:rsidRPr="00D310AE">
        <w:t>z mocy prawa, z dniem</w:t>
      </w:r>
      <w:r w:rsidRPr="00D310AE">
        <w:t xml:space="preserve"> jego</w:t>
      </w:r>
      <w:r w:rsidRPr="00D310AE">
        <w:t xml:space="preserve"> doręczenia</w:t>
      </w:r>
      <w:r w:rsidRPr="00D310AE">
        <w:t>.</w:t>
      </w:r>
      <w:r w:rsidRPr="00D310AE">
        <w:t xml:space="preserve"> </w:t>
      </w:r>
    </w:p>
    <w:p w:rsidR="00FB729E" w:rsidRDefault="00F0475D" w:rsidP="002476AF">
      <w:pPr>
        <w:pStyle w:val="Default"/>
        <w:spacing w:line="360" w:lineRule="auto"/>
        <w:ind w:left="-426" w:right="-569" w:firstLine="710"/>
        <w:jc w:val="both"/>
        <w:rPr>
          <w:rFonts w:ascii="Times New Roman" w:hAnsi="Times New Roman" w:cs="Times New Roman"/>
        </w:rPr>
      </w:pPr>
    </w:p>
    <w:p w:rsidR="00C46090" w:rsidRPr="00D310AE" w:rsidRDefault="00F0475D" w:rsidP="002476AF">
      <w:pPr>
        <w:pStyle w:val="Default"/>
        <w:spacing w:line="360" w:lineRule="auto"/>
        <w:ind w:left="-426" w:right="-569" w:firstLine="710"/>
        <w:jc w:val="both"/>
        <w:rPr>
          <w:rFonts w:ascii="Times New Roman" w:hAnsi="Times New Roman" w:cs="Times New Roman"/>
          <w:bCs/>
        </w:rPr>
      </w:pPr>
      <w:r w:rsidRPr="00D310AE">
        <w:rPr>
          <w:rFonts w:ascii="Times New Roman" w:hAnsi="Times New Roman" w:cs="Times New Roman"/>
        </w:rPr>
        <w:t xml:space="preserve">Na niniejsze rozstrzygnięcie nadzorcze </w:t>
      </w:r>
      <w:r w:rsidRPr="00D310AE">
        <w:rPr>
          <w:rFonts w:ascii="Times New Roman" w:hAnsi="Times New Roman" w:cs="Times New Roman"/>
        </w:rPr>
        <w:t>Gminie</w:t>
      </w:r>
      <w:r w:rsidRPr="00D310AE">
        <w:rPr>
          <w:rFonts w:ascii="Times New Roman" w:hAnsi="Times New Roman" w:cs="Times New Roman"/>
        </w:rPr>
        <w:t xml:space="preserve"> przysługuje skarga do Wojewódzkiego Sądu Administracyjnego w Warszawie w terminie 30 dni od daty doręczenia, wnoszona za poś</w:t>
      </w:r>
      <w:r w:rsidRPr="00D310AE">
        <w:rPr>
          <w:rFonts w:ascii="Times New Roman" w:hAnsi="Times New Roman" w:cs="Times New Roman"/>
        </w:rPr>
        <w:t>rednictwem organu, który skarżone orzeczenie wydał.</w:t>
      </w:r>
    </w:p>
    <w:p w:rsidR="00C46090" w:rsidRPr="00325CA0" w:rsidRDefault="00F0475D" w:rsidP="002476AF">
      <w:pPr>
        <w:autoSpaceDE w:val="0"/>
        <w:autoSpaceDN w:val="0"/>
        <w:adjustRightInd w:val="0"/>
        <w:ind w:right="-471" w:firstLine="710"/>
        <w:jc w:val="both"/>
        <w:rPr>
          <w:rFonts w:asciiTheme="minorHAnsi" w:hAnsiTheme="minorHAnsi" w:cstheme="minorHAnsi"/>
        </w:rPr>
      </w:pPr>
    </w:p>
    <w:p w:rsidR="0043566C" w:rsidRDefault="00F0475D" w:rsidP="00385473">
      <w:pPr>
        <w:spacing w:line="276" w:lineRule="auto"/>
        <w:jc w:val="both"/>
        <w:rPr>
          <w:rFonts w:asciiTheme="minorHAnsi" w:hAnsiTheme="minorHAnsi" w:cstheme="minorHAnsi"/>
        </w:rPr>
      </w:pPr>
    </w:p>
    <w:p w:rsidR="007749CC" w:rsidRDefault="00F0475D" w:rsidP="00385473">
      <w:pPr>
        <w:spacing w:line="276" w:lineRule="auto"/>
        <w:jc w:val="both"/>
        <w:rPr>
          <w:rFonts w:asciiTheme="minorHAnsi" w:hAnsiTheme="minorHAnsi" w:cstheme="minorHAnsi"/>
        </w:rPr>
      </w:pPr>
    </w:p>
    <w:p w:rsidR="00EF45A5" w:rsidRDefault="00F0475D" w:rsidP="00EF45A5">
      <w:pPr>
        <w:spacing w:line="276" w:lineRule="auto"/>
        <w:ind w:left="2825" w:firstLine="720"/>
        <w:jc w:val="center"/>
        <w:rPr>
          <w:rFonts w:eastAsia="Times New Roman"/>
          <w:i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EF45A5" w:rsidRDefault="00F0475D" w:rsidP="00EF45A5">
      <w:pPr>
        <w:spacing w:line="276" w:lineRule="auto"/>
        <w:ind w:left="2825" w:firstLine="720"/>
        <w:jc w:val="center"/>
        <w:rPr>
          <w:i/>
        </w:rPr>
      </w:pPr>
      <w:bookmarkStart w:id="2" w:name="ezdPracownikNazwa"/>
      <w:r>
        <w:rPr>
          <w:i/>
        </w:rPr>
        <w:t>Konstanty Radziwiłł</w:t>
      </w:r>
      <w:bookmarkEnd w:id="2"/>
    </w:p>
    <w:p w:rsidR="00AF798E" w:rsidRDefault="00F0475D" w:rsidP="00EF45A5">
      <w:pPr>
        <w:spacing w:line="276" w:lineRule="auto"/>
        <w:ind w:left="2825" w:firstLine="720"/>
        <w:jc w:val="center"/>
        <w:rPr>
          <w:i/>
        </w:rPr>
      </w:pPr>
      <w:bookmarkStart w:id="3" w:name="ezdPracownikStanowisko"/>
      <w:r>
        <w:rPr>
          <w:i/>
        </w:rPr>
        <w:t>Wojewoda Mazowiecki</w:t>
      </w:r>
      <w:bookmarkEnd w:id="3"/>
    </w:p>
    <w:p w:rsidR="00EF45A5" w:rsidRDefault="00F0475D" w:rsidP="00EF45A5">
      <w:pPr>
        <w:spacing w:line="276" w:lineRule="auto"/>
        <w:rPr>
          <w:i/>
        </w:rPr>
      </w:pPr>
    </w:p>
    <w:p w:rsidR="00EF45A5" w:rsidRDefault="00F0475D" w:rsidP="00EF45A5">
      <w:pPr>
        <w:spacing w:line="276" w:lineRule="auto"/>
        <w:ind w:left="4963" w:hanging="1561"/>
        <w:jc w:val="center"/>
        <w:rPr>
          <w:sz w:val="20"/>
          <w:szCs w:val="20"/>
        </w:rPr>
      </w:pPr>
      <w:r>
        <w:rPr>
          <w:sz w:val="20"/>
          <w:szCs w:val="20"/>
        </w:rPr>
        <w:t>/podpisano bezpiecznym podpisem elektronicznym</w:t>
      </w:r>
    </w:p>
    <w:p w:rsidR="00EF45A5" w:rsidRDefault="00F0475D" w:rsidP="00EF45A5">
      <w:pPr>
        <w:spacing w:line="276" w:lineRule="auto"/>
        <w:ind w:left="4963" w:hanging="1561"/>
        <w:jc w:val="center"/>
        <w:rPr>
          <w:sz w:val="20"/>
          <w:szCs w:val="20"/>
        </w:rPr>
      </w:pPr>
      <w:r>
        <w:rPr>
          <w:sz w:val="20"/>
          <w:szCs w:val="20"/>
        </w:rPr>
        <w:t>weryfikowanym ważnym kwalifikowanym certyfikatem/</w:t>
      </w:r>
    </w:p>
    <w:p w:rsidR="00552C49" w:rsidRPr="007749CC" w:rsidRDefault="00F0475D" w:rsidP="00EF45A5">
      <w:pPr>
        <w:spacing w:line="276" w:lineRule="auto"/>
        <w:jc w:val="both"/>
        <w:rPr>
          <w:rFonts w:asciiTheme="minorHAnsi" w:hAnsiTheme="minorHAnsi" w:cstheme="minorHAnsi"/>
          <w:i/>
        </w:rPr>
      </w:pPr>
    </w:p>
    <w:sectPr w:rsidR="00552C49" w:rsidRPr="007749CC" w:rsidSect="00DE4C79">
      <w:footerReference w:type="default" r:id="rId11"/>
      <w:footerReference w:type="first" r:id="rId12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75D" w:rsidRDefault="00F0475D">
      <w:r>
        <w:separator/>
      </w:r>
    </w:p>
  </w:endnote>
  <w:endnote w:type="continuationSeparator" w:id="0">
    <w:p w:rsidR="00F0475D" w:rsidRDefault="00F0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9340577"/>
      <w:docPartObj>
        <w:docPartGallery w:val="Page Numbers (Bottom of Page)"/>
        <w:docPartUnique/>
      </w:docPartObj>
    </w:sdtPr>
    <w:sdtEndPr/>
    <w:sdtContent>
      <w:p w:rsidR="00574852" w:rsidRDefault="00F047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E4C79" w:rsidRDefault="00F0475D" w:rsidP="00DE4C7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C79" w:rsidRDefault="00F0475D">
    <w:pPr>
      <w:pStyle w:val="Stopka"/>
      <w:jc w:val="right"/>
    </w:pPr>
  </w:p>
  <w:p w:rsidR="00DE4C79" w:rsidRDefault="00F047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75D" w:rsidRDefault="00F0475D">
      <w:r>
        <w:separator/>
      </w:r>
    </w:p>
  </w:footnote>
  <w:footnote w:type="continuationSeparator" w:id="0">
    <w:p w:rsidR="00F0475D" w:rsidRDefault="00F04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124F0"/>
    <w:multiLevelType w:val="hybridMultilevel"/>
    <w:tmpl w:val="99BC69AC"/>
    <w:lvl w:ilvl="0" w:tplc="6D8C1D38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6D3ACBCC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E6168A5E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A7CA879A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C604FEAA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306B130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6381448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578034CC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E6169836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2721F8D"/>
    <w:multiLevelType w:val="hybridMultilevel"/>
    <w:tmpl w:val="C7907C18"/>
    <w:lvl w:ilvl="0" w:tplc="C1D20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72938A" w:tentative="1">
      <w:start w:val="1"/>
      <w:numFmt w:val="lowerLetter"/>
      <w:lvlText w:val="%2."/>
      <w:lvlJc w:val="left"/>
      <w:pPr>
        <w:ind w:left="1440" w:hanging="360"/>
      </w:pPr>
    </w:lvl>
    <w:lvl w:ilvl="2" w:tplc="AEDE1426" w:tentative="1">
      <w:start w:val="1"/>
      <w:numFmt w:val="lowerRoman"/>
      <w:lvlText w:val="%3."/>
      <w:lvlJc w:val="right"/>
      <w:pPr>
        <w:ind w:left="2160" w:hanging="180"/>
      </w:pPr>
    </w:lvl>
    <w:lvl w:ilvl="3" w:tplc="6A689A18" w:tentative="1">
      <w:start w:val="1"/>
      <w:numFmt w:val="decimal"/>
      <w:lvlText w:val="%4."/>
      <w:lvlJc w:val="left"/>
      <w:pPr>
        <w:ind w:left="2880" w:hanging="360"/>
      </w:pPr>
    </w:lvl>
    <w:lvl w:ilvl="4" w:tplc="F56E3704" w:tentative="1">
      <w:start w:val="1"/>
      <w:numFmt w:val="lowerLetter"/>
      <w:lvlText w:val="%5."/>
      <w:lvlJc w:val="left"/>
      <w:pPr>
        <w:ind w:left="3600" w:hanging="360"/>
      </w:pPr>
    </w:lvl>
    <w:lvl w:ilvl="5" w:tplc="E0F480C6" w:tentative="1">
      <w:start w:val="1"/>
      <w:numFmt w:val="lowerRoman"/>
      <w:lvlText w:val="%6."/>
      <w:lvlJc w:val="right"/>
      <w:pPr>
        <w:ind w:left="4320" w:hanging="180"/>
      </w:pPr>
    </w:lvl>
    <w:lvl w:ilvl="6" w:tplc="BAF001E8" w:tentative="1">
      <w:start w:val="1"/>
      <w:numFmt w:val="decimal"/>
      <w:lvlText w:val="%7."/>
      <w:lvlJc w:val="left"/>
      <w:pPr>
        <w:ind w:left="5040" w:hanging="360"/>
      </w:pPr>
    </w:lvl>
    <w:lvl w:ilvl="7" w:tplc="93CC6DDC" w:tentative="1">
      <w:start w:val="1"/>
      <w:numFmt w:val="lowerLetter"/>
      <w:lvlText w:val="%8."/>
      <w:lvlJc w:val="left"/>
      <w:pPr>
        <w:ind w:left="5760" w:hanging="360"/>
      </w:pPr>
    </w:lvl>
    <w:lvl w:ilvl="8" w:tplc="2D30E53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B2"/>
    <w:rsid w:val="00B70BB2"/>
    <w:rsid w:val="00F0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034DB-029E-46BC-AFB0-468C1387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85473"/>
    <w:pPr>
      <w:spacing w:line="240" w:lineRule="auto"/>
      <w:ind w:firstLine="0"/>
      <w:jc w:val="left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1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85473"/>
    <w:pPr>
      <w:keepNext/>
      <w:outlineLvl w:val="1"/>
    </w:pPr>
    <w:rPr>
      <w:rFonts w:eastAsia="Arial Unicode MS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85473"/>
    <w:rPr>
      <w:rFonts w:ascii="Times New Roman" w:eastAsia="Arial Unicode MS" w:hAnsi="Times New Roman" w:cs="Times New Roman"/>
      <w:sz w:val="28"/>
      <w:szCs w:val="20"/>
      <w:u w:val="single"/>
      <w:lang w:eastAsia="pl-PL"/>
    </w:rPr>
  </w:style>
  <w:style w:type="character" w:customStyle="1" w:styleId="Teksttreci4">
    <w:name w:val="Tekst treści (4)_"/>
    <w:link w:val="Teksttreci40"/>
    <w:locked/>
    <w:rsid w:val="00385473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85473"/>
    <w:pPr>
      <w:widowControl w:val="0"/>
      <w:shd w:val="clear" w:color="auto" w:fill="FFFFFF"/>
      <w:spacing w:line="338" w:lineRule="exact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Stopka">
    <w:name w:val="footer"/>
    <w:basedOn w:val="Normalny"/>
    <w:link w:val="StopkaZnak"/>
    <w:uiPriority w:val="99"/>
    <w:rsid w:val="00385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473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85473"/>
    <w:pPr>
      <w:spacing w:before="100" w:beforeAutospacing="1" w:after="100" w:afterAutospacing="1"/>
    </w:pPr>
    <w:rPr>
      <w:rFonts w:eastAsia="Times New Roman"/>
    </w:rPr>
  </w:style>
  <w:style w:type="character" w:customStyle="1" w:styleId="object2">
    <w:name w:val="object2"/>
    <w:rsid w:val="00385473"/>
    <w:rPr>
      <w:strike w:val="0"/>
      <w:dstrike w:val="0"/>
      <w:color w:val="00008B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4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473"/>
    <w:rPr>
      <w:rFonts w:ascii="Tahoma" w:eastAsia="MS Mincho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385473"/>
    <w:pPr>
      <w:suppressAutoHyphens/>
      <w:spacing w:line="360" w:lineRule="auto"/>
      <w:jc w:val="both"/>
    </w:pPr>
    <w:rPr>
      <w:rFonts w:eastAsia="Times New Roman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547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highlight">
    <w:name w:val="highlight"/>
    <w:basedOn w:val="Domylnaczcionkaakapitu"/>
    <w:rsid w:val="00385473"/>
  </w:style>
  <w:style w:type="paragraph" w:styleId="Nagwek">
    <w:name w:val="header"/>
    <w:basedOn w:val="Normalny"/>
    <w:link w:val="NagwekZnak"/>
    <w:uiPriority w:val="99"/>
    <w:unhideWhenUsed/>
    <w:rsid w:val="00574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852"/>
    <w:rPr>
      <w:rFonts w:ascii="Times New Roman" w:eastAsia="MS Mincho" w:hAnsi="Times New Roman" w:cs="Times New Roman"/>
      <w:sz w:val="24"/>
      <w:szCs w:val="24"/>
      <w:lang w:eastAsia="pl-PL"/>
    </w:rPr>
  </w:style>
  <w:style w:type="paragraph" w:customStyle="1" w:styleId="naglowekcenter">
    <w:name w:val="naglowek_center"/>
    <w:basedOn w:val="Normalny"/>
    <w:rsid w:val="0043566C"/>
    <w:pPr>
      <w:spacing w:before="100" w:beforeAutospacing="1" w:after="100" w:afterAutospacing="1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F61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91252"/>
    <w:rPr>
      <w:color w:val="0000FF"/>
      <w:u w:val="single"/>
    </w:rPr>
  </w:style>
  <w:style w:type="paragraph" w:customStyle="1" w:styleId="Default">
    <w:name w:val="Default"/>
    <w:rsid w:val="00253ADA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34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3418"/>
    <w:rPr>
      <w:rFonts w:ascii="Times New Roman" w:eastAsia="MS Mincho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3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6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693"/>
    <w:rPr>
      <w:rFonts w:ascii="Times New Roman" w:eastAsia="MS Mincho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693"/>
    <w:rPr>
      <w:rFonts w:ascii="Times New Roman" w:eastAsia="MS Mincho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A1FAE-292F-4FA7-A99C-C40C29ED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1488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Koleński</dc:creator>
  <cp:lastModifiedBy>Beata Darnowska</cp:lastModifiedBy>
  <cp:revision>2</cp:revision>
  <cp:lastPrinted>2020-07-01T11:07:00Z</cp:lastPrinted>
  <dcterms:created xsi:type="dcterms:W3CDTF">2021-06-17T10:24:00Z</dcterms:created>
  <dcterms:modified xsi:type="dcterms:W3CDTF">2021-06-17T10:24:00Z</dcterms:modified>
</cp:coreProperties>
</file>