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51095306" r:id="rId7"/>
        </w:pict>
      </w:r>
      <w:r w:rsidRPr="00E96BF7" w:rsidR="00CB06CD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17 lipca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PN.I.431.2.15.2023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2"/>
    </w:p>
    <w:p w:rsidR="00195EC6" w:rsidRPr="00516F3D" w:rsidP="00195EC6">
      <w:pPr>
        <w:spacing w:before="840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195EC6" w:rsidRPr="00516F3D" w:rsidP="00195EC6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Waldemar </w:t>
      </w:r>
      <w:r>
        <w:rPr>
          <w:rFonts w:ascii="Arial" w:eastAsia="Calibri" w:hAnsi="Arial" w:cs="Arial"/>
          <w:b/>
          <w:bCs/>
          <w:sz w:val="24"/>
          <w:szCs w:val="24"/>
        </w:rPr>
        <w:t>Gielzok</w:t>
      </w:r>
    </w:p>
    <w:p w:rsidR="00195EC6" w:rsidRPr="00516F3D" w:rsidP="00195EC6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 w:rsidRPr="00516F3D">
        <w:rPr>
          <w:rFonts w:ascii="Arial" w:eastAsia="Calibri" w:hAnsi="Arial" w:cs="Arial"/>
          <w:b/>
          <w:bCs/>
          <w:sz w:val="24"/>
          <w:szCs w:val="24"/>
        </w:rPr>
        <w:br/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</w:t>
      </w:r>
      <w:r w:rsidRPr="00516F3D">
        <w:rPr>
          <w:rFonts w:ascii="Arial" w:eastAsia="Calibri" w:hAnsi="Arial" w:cs="Arial"/>
          <w:b/>
          <w:bCs/>
          <w:sz w:val="24"/>
          <w:szCs w:val="24"/>
        </w:rPr>
        <w:t>kiego</w:t>
      </w:r>
    </w:p>
    <w:p w:rsidR="00195EC6" w:rsidRPr="00516F3D" w:rsidP="00195EC6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Pr="00516F3D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wiatowa</w:t>
      </w:r>
      <w:r w:rsidRPr="00516F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13</w:t>
      </w:r>
    </w:p>
    <w:p w:rsidR="00195EC6" w:rsidRPr="00FC081E" w:rsidP="00FC081E">
      <w:pPr>
        <w:ind w:left="5103"/>
        <w:rPr>
          <w:rFonts w:ascii="Arial" w:eastAsia="Calibri" w:hAnsi="Arial" w:cs="Arial"/>
          <w:b/>
          <w:sz w:val="24"/>
          <w:szCs w:val="24"/>
        </w:rPr>
      </w:pPr>
      <w:r w:rsidRPr="00516F3D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5</w:t>
      </w:r>
      <w:r w:rsidRPr="00516F3D"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eastAsia="Calibri" w:hAnsi="Arial" w:cs="Arial"/>
          <w:b/>
          <w:sz w:val="24"/>
          <w:szCs w:val="24"/>
        </w:rPr>
        <w:t>569</w:t>
      </w:r>
      <w:r w:rsidRPr="00516F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Opole</w:t>
      </w:r>
    </w:p>
    <w:p w:rsidR="00195EC6" w:rsidRPr="00516F3D" w:rsidP="00195EC6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195EC6" w:rsidRPr="00516F3D" w:rsidP="00FA79FA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  <w:r>
        <w:rPr>
          <w:rFonts w:ascii="Arial" w:hAnsi="Arial" w:eastAsiaTheme="minorEastAsia" w:cs="Arial"/>
          <w:b/>
          <w:sz w:val="24"/>
          <w:szCs w:val="24"/>
        </w:rPr>
        <w:t>.</w:t>
      </w:r>
    </w:p>
    <w:p w:rsidR="00195EC6" w:rsidP="00FA79FA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Waldemar </w:t>
      </w:r>
      <w:r>
        <w:rPr>
          <w:rFonts w:ascii="Arial" w:hAnsi="Arial" w:cs="Arial"/>
          <w:sz w:val="24"/>
          <w:szCs w:val="24"/>
        </w:rPr>
        <w:t>Gielzok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niemieck</w:t>
      </w:r>
      <w:r w:rsidRPr="00516F3D">
        <w:rPr>
          <w:rFonts w:ascii="Arial" w:hAnsi="Arial" w:cs="Arial"/>
          <w:sz w:val="24"/>
          <w:szCs w:val="24"/>
        </w:rPr>
        <w:t xml:space="preserve">iego, ul. </w:t>
      </w:r>
      <w:r>
        <w:rPr>
          <w:rFonts w:ascii="Arial" w:hAnsi="Arial" w:cs="Arial"/>
          <w:sz w:val="24"/>
          <w:szCs w:val="24"/>
        </w:rPr>
        <w:t>Kwiatowa 13,</w:t>
      </w:r>
      <w:r w:rsidRPr="00516F3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5</w:t>
      </w:r>
      <w:r w:rsidRPr="00516F3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569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Opole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195EC6" w:rsidRPr="004C50D5" w:rsidP="00FA79FA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4C50D5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4C50D5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4C50D5">
        <w:rPr>
          <w:rFonts w:ascii="Arial" w:hAnsi="Arial" w:eastAsiaTheme="minorEastAsia" w:cs="Arial"/>
          <w:sz w:val="24"/>
          <w:szCs w:val="24"/>
        </w:rPr>
        <w:t>;</w:t>
      </w:r>
    </w:p>
    <w:p w:rsidR="00195EC6" w:rsidRPr="00516F3D" w:rsidP="00FA79FA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195EC6" w:rsidRPr="00516F3D" w:rsidP="00FA79FA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516F3D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 sądów, prokuratora, Policji oraz organów administracji publicznej.</w:t>
      </w:r>
    </w:p>
    <w:p w:rsidR="00195EC6" w:rsidRPr="00516F3D" w:rsidP="00FA79FA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 stycznia 2022 r. do dnia 31 grudnia 2022 r.</w:t>
      </w:r>
    </w:p>
    <w:p w:rsidR="00195EC6" w:rsidRPr="00516F3D" w:rsidP="00FA79FA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problemowa</w:t>
      </w:r>
    </w:p>
    <w:p w:rsidR="00195EC6" w:rsidRPr="00516F3D" w:rsidP="00FA79FA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uproszczony</w:t>
      </w:r>
    </w:p>
    <w:p w:rsidR="00195EC6" w:rsidRPr="00516F3D" w:rsidP="00FA79FA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</w:t>
      </w:r>
      <w:r>
        <w:rPr>
          <w:rFonts w:ascii="Arial" w:hAnsi="Arial" w:cs="Arial"/>
          <w:sz w:val="24"/>
          <w:szCs w:val="24"/>
        </w:rPr>
        <w:t>2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</w:t>
      </w:r>
      <w:r w:rsidRPr="00516F3D">
        <w:rPr>
          <w:rFonts w:ascii="Arial" w:hAnsi="Arial" w:cs="Arial"/>
          <w:sz w:val="24"/>
          <w:szCs w:val="24"/>
        </w:rPr>
        <w:t>a</w:t>
      </w:r>
      <w:r w:rsidR="00F47F58">
        <w:rPr>
          <w:rFonts w:ascii="Arial" w:hAnsi="Arial" w:cs="Arial"/>
          <w:sz w:val="24"/>
          <w:szCs w:val="24"/>
        </w:rPr>
        <w:t xml:space="preserve"> 2023 r.</w:t>
      </w:r>
      <w:r w:rsidRPr="00516F3D">
        <w:rPr>
          <w:rFonts w:ascii="Arial" w:hAnsi="Arial" w:cs="Arial"/>
          <w:sz w:val="24"/>
          <w:szCs w:val="24"/>
        </w:rPr>
        <w:t xml:space="preserve"> do 2</w:t>
      </w:r>
      <w:r>
        <w:rPr>
          <w:rFonts w:ascii="Arial" w:hAnsi="Arial" w:cs="Arial"/>
          <w:sz w:val="24"/>
          <w:szCs w:val="24"/>
        </w:rPr>
        <w:t>3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</w:t>
      </w:r>
      <w:r w:rsidRPr="00516F3D">
        <w:rPr>
          <w:rFonts w:ascii="Arial" w:hAnsi="Arial" w:cs="Arial"/>
          <w:sz w:val="24"/>
          <w:szCs w:val="24"/>
        </w:rPr>
        <w:t>a 2023 r.</w:t>
      </w:r>
    </w:p>
    <w:p w:rsidR="00195EC6" w:rsidRPr="00516F3D" w:rsidP="00FA79FA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195EC6" w:rsidRPr="00516F3D" w:rsidP="00FA79FA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Danuta Rajkowska</w:t>
      </w:r>
      <w:r w:rsidRPr="00516F3D">
        <w:rPr>
          <w:rFonts w:ascii="Arial" w:hAnsi="Arial" w:eastAsiaTheme="minorEastAsia" w:cs="Arial"/>
          <w:bCs/>
          <w:i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516F3D">
        <w:rPr>
          <w:rFonts w:ascii="Arial" w:hAnsi="Arial" w:eastAsiaTheme="minorEastAsia" w:cs="Arial"/>
          <w:sz w:val="24"/>
          <w:szCs w:val="24"/>
        </w:rPr>
        <w:t>Starszy Inspektor Wojewódzki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195EC6" w:rsidRPr="00516F3D" w:rsidP="00FA79FA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Natalia Lenart – Starszy Inspektor 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Oddziale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Organizacji, Kontroli </w:t>
      </w:r>
      <w:r w:rsidRPr="00516F3D">
        <w:rPr>
          <w:rFonts w:ascii="Arial" w:hAnsi="Arial" w:eastAsiaTheme="minorEastAsia" w:cs="Arial"/>
          <w:bCs/>
          <w:sz w:val="24"/>
          <w:szCs w:val="24"/>
        </w:rPr>
        <w:br/>
        <w:t xml:space="preserve">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195EC6" w:rsidRPr="00516F3D" w:rsidP="00FA79FA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516F3D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Waldemar </w:t>
      </w:r>
      <w:r>
        <w:rPr>
          <w:rFonts w:ascii="Arial" w:hAnsi="Arial" w:cs="Arial"/>
          <w:sz w:val="24"/>
          <w:szCs w:val="24"/>
        </w:rPr>
        <w:t>Gielzok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niemieck</w:t>
      </w:r>
      <w:r w:rsidRPr="00516F3D">
        <w:rPr>
          <w:rFonts w:ascii="Arial" w:hAnsi="Arial" w:cs="Arial"/>
          <w:sz w:val="24"/>
          <w:szCs w:val="24"/>
        </w:rPr>
        <w:t xml:space="preserve">iego. Uprawnienia do wykonywania czynności tłumacza przysięgłego języka </w:t>
      </w:r>
      <w:r>
        <w:rPr>
          <w:rFonts w:ascii="Arial" w:hAnsi="Arial" w:cs="Arial"/>
          <w:sz w:val="24"/>
          <w:szCs w:val="24"/>
        </w:rPr>
        <w:t>niemiec</w:t>
      </w:r>
      <w:r w:rsidRPr="00516F3D">
        <w:rPr>
          <w:rFonts w:ascii="Arial" w:hAnsi="Arial" w:cs="Arial"/>
          <w:sz w:val="24"/>
          <w:szCs w:val="24"/>
        </w:rPr>
        <w:t>kiego nabył z dniem 1</w:t>
      </w:r>
      <w:r>
        <w:rPr>
          <w:rFonts w:ascii="Arial" w:hAnsi="Arial" w:cs="Arial"/>
          <w:sz w:val="24"/>
          <w:szCs w:val="24"/>
        </w:rPr>
        <w:t>5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kwietni</w:t>
      </w:r>
      <w:r w:rsidRPr="00516F3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1999</w:t>
      </w:r>
      <w:r w:rsidRPr="00516F3D">
        <w:rPr>
          <w:rFonts w:ascii="Arial" w:hAnsi="Arial" w:cs="Arial"/>
          <w:sz w:val="24"/>
          <w:szCs w:val="24"/>
        </w:rPr>
        <w:t xml:space="preserve"> r. Na listę tłumaczy przysięgłych, prowadzoną przez Ministra Sprawiedliwości, 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został wpisany pod Nr TP/</w:t>
      </w:r>
      <w:r>
        <w:rPr>
          <w:rFonts w:ascii="Arial" w:hAnsi="Arial" w:cs="Arial"/>
          <w:color w:val="000000" w:themeColor="text1"/>
          <w:sz w:val="24"/>
          <w:szCs w:val="24"/>
        </w:rPr>
        <w:t>1490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/06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BA06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95EC6" w:rsidRPr="00516F3D" w:rsidP="00FA79FA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516F3D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195EC6" w:rsidRPr="00516F3D" w:rsidP="00FA79FA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spacing w:val="8"/>
          <w:sz w:val="24"/>
          <w:szCs w:val="24"/>
        </w:rPr>
        <w:t>nie dotyczy</w:t>
      </w:r>
    </w:p>
    <w:p w:rsidR="00195EC6" w:rsidRPr="00516F3D" w:rsidP="00FA79FA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195EC6" w:rsidRPr="00516F3D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sz w:val="24"/>
          <w:szCs w:val="24"/>
        </w:rPr>
        <w:t xml:space="preserve">Prawidłowość i rzetelność prowadzenia </w:t>
      </w:r>
      <w:r w:rsidRPr="002E4904">
        <w:rPr>
          <w:rFonts w:ascii="Arial" w:hAnsi="Arial" w:cs="Arial"/>
          <w:color w:val="000000" w:themeColor="text1"/>
          <w:sz w:val="24"/>
        </w:rPr>
        <w:t xml:space="preserve">repertorium </w:t>
      </w:r>
      <w:r w:rsidRPr="002E4904">
        <w:rPr>
          <w:rFonts w:ascii="Arial" w:hAnsi="Arial" w:cs="Arial"/>
          <w:color w:val="000000" w:themeColor="text1"/>
          <w:sz w:val="24"/>
          <w:szCs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publicznej, ocenio</w:t>
      </w:r>
      <w:r w:rsidRPr="00C65B51">
        <w:rPr>
          <w:rFonts w:ascii="Arial" w:hAnsi="Arial" w:cs="Arial"/>
          <w:color w:val="000000" w:themeColor="text1"/>
          <w:sz w:val="24"/>
          <w:szCs w:val="24"/>
        </w:rPr>
        <w:t xml:space="preserve">no pozytywnie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C65B51">
        <w:rPr>
          <w:rFonts w:ascii="Arial" w:hAnsi="Arial" w:cs="Arial"/>
          <w:color w:val="000000" w:themeColor="text1"/>
          <w:sz w:val="24"/>
          <w:szCs w:val="24"/>
        </w:rPr>
        <w:t>z uchybieniami.</w:t>
      </w:r>
    </w:p>
    <w:p w:rsidR="00195EC6" w:rsidRPr="00516F3D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195EC6" w:rsidRPr="00516F3D" w:rsidP="00FA79FA">
      <w:pPr>
        <w:spacing w:before="120" w:after="120" w:line="360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Ustalenia kontroli:</w:t>
      </w:r>
    </w:p>
    <w:p w:rsidR="00195EC6" w:rsidRPr="009F07ED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okresie objętym kontrolą repertorium prowadzone było w formie papierowej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br/>
        <w:t xml:space="preserve">i </w:t>
      </w:r>
      <w:r w:rsidRPr="00FA79FA">
        <w:rPr>
          <w:rFonts w:ascii="Arial" w:hAnsi="Arial" w:eastAsiaTheme="minorEastAsia" w:cs="Arial"/>
          <w:color w:val="000000" w:themeColor="text1"/>
          <w:sz w:val="24"/>
          <w:szCs w:val="24"/>
        </w:rPr>
        <w:t>obejmowało 79</w:t>
      </w:r>
      <w:r>
        <w:rPr>
          <w:rStyle w:val="FootnoteReference"/>
          <w:rFonts w:ascii="Arial" w:hAnsi="Arial" w:eastAsiaTheme="minorEastAsia" w:cs="Arial"/>
          <w:color w:val="000000" w:themeColor="text1"/>
          <w:sz w:val="24"/>
          <w:szCs w:val="24"/>
        </w:rPr>
        <w:footnoteReference w:id="4"/>
      </w:r>
      <w:r w:rsidRPr="00FA79FA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wpisów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Zgodnie z założeniami do kontroli z dnia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24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maj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a 2023 r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, analizie prawidłowości i rzetelności prowadzenia repertorium poddano ostatnie 50 wpisów repertorium –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tj.: wpisy za rok </w:t>
      </w:r>
      <w:r w:rsidRPr="00887C03">
        <w:rPr>
          <w:rFonts w:ascii="Arial" w:hAnsi="Arial" w:eastAsiaTheme="minorEastAsia" w:cs="Arial"/>
          <w:sz w:val="24"/>
          <w:szCs w:val="24"/>
        </w:rPr>
        <w:t xml:space="preserve">2022 rok </w:t>
      </w:r>
      <w:r w:rsidRPr="00FC081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od lp. </w:t>
      </w:r>
      <w:r w:rsidRPr="00FC081E" w:rsidR="00FC081E">
        <w:rPr>
          <w:rFonts w:ascii="Arial" w:hAnsi="Arial" w:eastAsiaTheme="minorEastAsia" w:cs="Arial"/>
          <w:color w:val="000000" w:themeColor="text1"/>
          <w:sz w:val="24"/>
          <w:szCs w:val="24"/>
        </w:rPr>
        <w:t>30</w:t>
      </w:r>
      <w:r w:rsidRPr="00FC081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do lp. </w:t>
      </w:r>
      <w:r w:rsidRPr="00FC081E" w:rsidR="00FC081E">
        <w:rPr>
          <w:rFonts w:ascii="Arial" w:hAnsi="Arial" w:eastAsiaTheme="minorEastAsia" w:cs="Arial"/>
          <w:color w:val="000000" w:themeColor="text1"/>
          <w:sz w:val="24"/>
          <w:szCs w:val="24"/>
        </w:rPr>
        <w:t>79</w:t>
      </w:r>
      <w:r w:rsidRPr="00FC081E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</w:p>
    <w:p w:rsidR="00195EC6" w:rsidRPr="00195EC6" w:rsidP="00FA79FA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5EC6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2-23]</w:t>
      </w:r>
    </w:p>
    <w:p w:rsidR="00195EC6" w:rsidRPr="00516F3D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Zgodnie z treścią przedłożonego oświadczenia, w okresie objętym kontrolą nie miały miejsca przypadki pisemnej odmowy wykonania tłumaczenia na żądanie sądu, prokuratora, Policji oraz organów administracji publicznej, o których mowa w art. 15 ustawy o zawodzie tłumacza przysięgłego.</w:t>
      </w:r>
    </w:p>
    <w:p w:rsidR="00195EC6" w:rsidRPr="00195EC6" w:rsidP="00FA79FA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5EC6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24-25]</w:t>
      </w:r>
    </w:p>
    <w:p w:rsidR="00195EC6" w:rsidRPr="00516F3D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hAnsi="Arial" w:eastAsiaTheme="minorEastAsia" w:cs="Arial"/>
          <w:color w:val="000000" w:themeColor="text1"/>
          <w:sz w:val="24"/>
          <w:szCs w:val="24"/>
          <w:vertAlign w:val="superscript"/>
        </w:rPr>
        <w:footnoteReference w:id="5"/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</w:t>
      </w:r>
    </w:p>
    <w:p w:rsidR="00195EC6" w:rsidRPr="00516F3D" w:rsidP="00FA79FA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Fonts w:ascii="Arial" w:hAnsi="Arial" w:eastAsiaTheme="minorEastAsia" w:cs="Arial"/>
          <w:color w:val="000000" w:themeColor="text1"/>
          <w:sz w:val="24"/>
          <w:szCs w:val="24"/>
        </w:rPr>
        <w:t>[</w:t>
      </w:r>
      <w:r w:rsidRPr="00195EC6">
        <w:rPr>
          <w:rFonts w:ascii="Arial" w:hAnsi="Arial" w:eastAsiaTheme="minorEastAsia" w:cs="Arial"/>
          <w:color w:val="000000" w:themeColor="text1"/>
          <w:sz w:val="24"/>
          <w:szCs w:val="24"/>
        </w:rPr>
        <w:t>Dowód: akta kontroli, str. 26 pkt 4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195EC6" w:rsidRPr="0093626E" w:rsidP="0093626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color w:val="000000" w:themeColor="text1"/>
          <w:sz w:val="24"/>
          <w:szCs w:val="24"/>
        </w:rPr>
        <w:t>Zgodnie z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="0093626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informacją uzyskaną od tłumacza przysięgłego, spełnił on ustawowy obowiązek złożenia wzoru podpisu oraz odcisku pieczęci. </w:t>
      </w:r>
      <w:r w:rsidR="0018317D">
        <w:rPr>
          <w:rFonts w:ascii="Arial" w:hAnsi="Arial" w:eastAsiaTheme="minorEastAsia" w:cs="Arial"/>
          <w:color w:val="000000" w:themeColor="text1"/>
          <w:sz w:val="24"/>
          <w:szCs w:val="24"/>
        </w:rPr>
        <w:t>W</w:t>
      </w:r>
      <w:r w:rsidRPr="00B94FDB" w:rsidR="0093626E">
        <w:rPr>
          <w:rFonts w:ascii="Arial" w:hAnsi="Arial" w:eastAsiaTheme="minorEastAsia" w:cs="Arial"/>
          <w:sz w:val="24"/>
          <w:szCs w:val="24"/>
        </w:rPr>
        <w:t xml:space="preserve"> zasobach archiwalnych Opolskiego Urzędu Wojewódzkiego w Opolu nie odnaleziono dokumentacji potwierdzającej spełnienie przez tłumacza przysięgłego </w:t>
      </w:r>
      <w:r w:rsidR="0093626E">
        <w:rPr>
          <w:rFonts w:ascii="Arial" w:hAnsi="Arial" w:eastAsiaTheme="minorEastAsia" w:cs="Arial"/>
          <w:sz w:val="24"/>
          <w:szCs w:val="24"/>
        </w:rPr>
        <w:t>wskazanego</w:t>
      </w:r>
      <w:r w:rsidRPr="00B94FDB" w:rsidR="0093626E">
        <w:rPr>
          <w:rFonts w:ascii="Arial" w:hAnsi="Arial" w:eastAsiaTheme="minorEastAsia" w:cs="Arial"/>
          <w:sz w:val="24"/>
          <w:szCs w:val="24"/>
        </w:rPr>
        <w:t xml:space="preserve"> obowiązku.</w:t>
      </w:r>
    </w:p>
    <w:p w:rsidR="00195EC6" w:rsidRPr="008101C0" w:rsidP="00FA79FA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FF0000"/>
          <w:sz w:val="24"/>
          <w:szCs w:val="24"/>
        </w:rPr>
      </w:pPr>
      <w:r w:rsidRPr="00195EC6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26 i 27 pkt 5]</w:t>
      </w:r>
    </w:p>
    <w:p w:rsidR="00195EC6" w:rsidRPr="00FC081E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D371E1">
        <w:rPr>
          <w:rFonts w:ascii="Arial" w:hAnsi="Arial" w:cs="Arial"/>
          <w:color w:val="000000" w:themeColor="text1"/>
          <w:sz w:val="24"/>
          <w:szCs w:val="24"/>
        </w:rPr>
        <w:t>W toku kontroli stwierdzono, że</w:t>
      </w:r>
      <w:r w:rsidRPr="00D371E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repertorium zawiera powtarzające się uchybienia, które naruszają wymogi prowadzenia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tego rejestru</w:t>
      </w:r>
      <w:r w:rsidRPr="00D371E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zawarte w art. 17 ust. 2 ustawy 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tj.:</w:t>
      </w:r>
    </w:p>
    <w:p w:rsidR="00B4568E" w:rsidP="00B4568E">
      <w:pPr>
        <w:pStyle w:val="ListParagraph"/>
        <w:numPr>
          <w:ilvl w:val="0"/>
          <w:numId w:val="7"/>
        </w:numPr>
        <w:spacing w:before="120" w:after="120" w:line="360" w:lineRule="auto"/>
        <w:ind w:left="851" w:hanging="284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FC081E">
        <w:rPr>
          <w:rFonts w:ascii="Arial" w:hAnsi="Arial" w:eastAsiaTheme="minorEastAsia" w:cs="Arial"/>
          <w:color w:val="000000" w:themeColor="text1"/>
          <w:sz w:val="24"/>
          <w:szCs w:val="24"/>
        </w:rPr>
        <w:t>Stosowanie znaku powtórzenia tekstu w kolumnach oznaczony</w:t>
      </w:r>
      <w:r w:rsidRPr="00FC081E" w:rsidR="00FC081E">
        <w:rPr>
          <w:rFonts w:ascii="Arial" w:hAnsi="Arial" w:eastAsiaTheme="minorEastAsia" w:cs="Arial"/>
          <w:color w:val="000000" w:themeColor="text1"/>
          <w:sz w:val="24"/>
          <w:szCs w:val="24"/>
        </w:rPr>
        <w:t>ch</w:t>
      </w:r>
      <w:r w:rsidRPr="00FC081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jako „Data zlecenia”, „Oznaczenie zleceniodawcy lub zamawiającego wykonanie oznaczonego tłumaczenia”, „Język, w którym sporządzono dokument</w:t>
      </w:r>
      <w:r w:rsidRPr="00E96418">
        <w:rPr>
          <w:rFonts w:ascii="Arial" w:hAnsi="Arial" w:eastAsiaTheme="minorEastAsia" w:cs="Arial"/>
          <w:color w:val="000000" w:themeColor="text1"/>
          <w:sz w:val="24"/>
          <w:szCs w:val="24"/>
        </w:rPr>
        <w:t>”, „Osoba lub instytucja, która sporządziła dokument”, „Uwagi o rodzaju, formie i stanie dokumentu”, „Rodzaj wykonywanej czynności i język tłumaczenia”</w:t>
      </w:r>
      <w:r w:rsidR="00F47F58">
        <w:rPr>
          <w:rFonts w:ascii="Arial" w:hAnsi="Arial" w:eastAsiaTheme="minorEastAsia" w:cs="Arial"/>
          <w:color w:val="000000" w:themeColor="text1"/>
          <w:sz w:val="24"/>
          <w:szCs w:val="24"/>
        </w:rPr>
        <w:t>;</w:t>
      </w:r>
    </w:p>
    <w:p w:rsidR="00B4568E" w:rsidRPr="00B4568E" w:rsidP="00B4568E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Fonts w:ascii="Arial" w:hAnsi="Arial" w:eastAsiaTheme="minorEastAsia" w:cs="Arial"/>
          <w:color w:val="000000" w:themeColor="text1"/>
          <w:sz w:val="24"/>
          <w:szCs w:val="24"/>
        </w:rPr>
        <w:t>oraz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inne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uchybienia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>:</w:t>
      </w:r>
    </w:p>
    <w:p w:rsidR="00727BB5" w:rsidRPr="00B4568E" w:rsidP="00B4568E">
      <w:pPr>
        <w:pStyle w:val="ListParagraph"/>
        <w:numPr>
          <w:ilvl w:val="0"/>
          <w:numId w:val="8"/>
        </w:numPr>
        <w:spacing w:before="120" w:after="120" w:line="360" w:lineRule="auto"/>
        <w:ind w:left="851" w:hanging="284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>Niewłaściw</w:t>
      </w:r>
      <w:r w:rsidR="00801356">
        <w:rPr>
          <w:rFonts w:ascii="Arial" w:hAnsi="Arial" w:eastAsiaTheme="minorEastAsia" w:cs="Arial"/>
          <w:color w:val="000000" w:themeColor="text1"/>
          <w:sz w:val="24"/>
          <w:szCs w:val="24"/>
        </w:rPr>
        <w:t>ą</w:t>
      </w:r>
      <w:r w:rsidRPr="00B4568E" w:rsidR="00195EC6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kolejność zapisywania </w:t>
      </w:r>
      <w:r w:rsidRPr="00B4568E" w:rsidR="00591F45">
        <w:rPr>
          <w:rFonts w:ascii="Arial" w:hAnsi="Arial" w:eastAsiaTheme="minorEastAsia" w:cs="Arial"/>
          <w:color w:val="000000" w:themeColor="text1"/>
          <w:sz w:val="24"/>
          <w:szCs w:val="24"/>
        </w:rPr>
        <w:t>liczby porządkowej od numeru 46.</w:t>
      </w:r>
      <w:r w:rsidRPr="00B4568E" w:rsidR="00195EC6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="00801356">
        <w:rPr>
          <w:rFonts w:ascii="Arial" w:hAnsi="Arial" w:eastAsiaTheme="minorEastAsia" w:cs="Arial"/>
          <w:color w:val="000000" w:themeColor="text1"/>
          <w:sz w:val="24"/>
          <w:szCs w:val="24"/>
        </w:rPr>
        <w:br/>
      </w:r>
      <w:r w:rsidRPr="00B4568E" w:rsidR="00195EC6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kolumnie uwagi znajduje się informacja, że lp. 46 została omyłkowo zapisana dwa razy. </w:t>
      </w:r>
    </w:p>
    <w:p w:rsidR="00195EC6" w:rsidRPr="00B4568E" w:rsidP="00B4568E">
      <w:pPr>
        <w:pStyle w:val="ListParagraph"/>
        <w:numPr>
          <w:ilvl w:val="0"/>
          <w:numId w:val="8"/>
        </w:numPr>
        <w:spacing w:before="120" w:after="120" w:line="360" w:lineRule="auto"/>
        <w:ind w:left="851" w:hanging="284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>Podwójne numerowanie</w:t>
      </w:r>
      <w:r w:rsidRPr="00B4568E" w:rsidR="00727BB5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tłumaczeń ustnych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tzn. jedna </w:t>
      </w:r>
      <w:r w:rsidRPr="00B4568E" w:rsidR="00FC081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 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liczb porządkowych </w:t>
      </w:r>
      <w:r w:rsidRPr="00B4568E" w:rsidR="00FC081E">
        <w:rPr>
          <w:rFonts w:ascii="Arial" w:hAnsi="Arial" w:eastAsiaTheme="minorEastAsia" w:cs="Arial"/>
          <w:color w:val="000000" w:themeColor="text1"/>
          <w:sz w:val="24"/>
          <w:szCs w:val="24"/>
        </w:rPr>
        <w:t>odnosi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się do wszystkich przeprowadzonych tłumaczeń, druga</w:t>
      </w:r>
      <w:r w:rsidRPr="00B4568E" w:rsidR="00FC081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zaś do tłumaczeń 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>ustnych</w:t>
      </w:r>
      <w:r w:rsidRPr="00B4568E" w:rsidR="00FC081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Ponadto </w:t>
      </w:r>
      <w:r w:rsidRPr="00B4568E" w:rsidR="00727BB5">
        <w:rPr>
          <w:rFonts w:ascii="Arial" w:hAnsi="Arial" w:eastAsiaTheme="minorEastAsia" w:cs="Arial"/>
          <w:color w:val="000000" w:themeColor="text1"/>
          <w:sz w:val="24"/>
          <w:szCs w:val="24"/>
        </w:rPr>
        <w:t>t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>łumaczenie ustne znajdujące się na stronie 31 nie zawiera kolejnego numeru tłumaczenia, lecz kolejny numer tłumaczenia ustnego</w:t>
      </w:r>
      <w:r w:rsidRPr="00B4568E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  <w:r w:rsidRPr="00B4568E" w:rsidR="0025120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</w:p>
    <w:p w:rsidR="00195EC6" w:rsidRPr="000E74C0" w:rsidP="00FA79FA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E74C0">
        <w:rPr>
          <w:rFonts w:ascii="Arial" w:hAnsi="Arial" w:cs="Arial"/>
          <w:sz w:val="24"/>
          <w:szCs w:val="24"/>
        </w:rPr>
        <w:t>W zakresie prawidłowości pobierania wynagrodzeń za czynności tłumacza</w:t>
      </w:r>
    </w:p>
    <w:p w:rsidR="00195EC6" w:rsidRPr="000E74C0" w:rsidP="00FA79F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0E74C0">
        <w:rPr>
          <w:rFonts w:ascii="Arial" w:hAnsi="Arial" w:cs="Arial"/>
          <w:sz w:val="24"/>
          <w:szCs w:val="24"/>
        </w:rPr>
        <w:t>przysięgłego na rzecz podmiotów określonych w art. 15 ustawy o zawodzie tłumacza</w:t>
      </w:r>
    </w:p>
    <w:p w:rsidR="00195EC6" w:rsidP="00FA79F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E74C0">
        <w:rPr>
          <w:rFonts w:ascii="Arial" w:hAnsi="Arial" w:cs="Arial"/>
          <w:sz w:val="24"/>
          <w:szCs w:val="24"/>
        </w:rPr>
        <w:t xml:space="preserve">przysięgłego, </w:t>
      </w:r>
      <w:r>
        <w:rPr>
          <w:rFonts w:ascii="Arial" w:hAnsi="Arial" w:cs="Arial"/>
          <w:sz w:val="24"/>
          <w:szCs w:val="24"/>
        </w:rPr>
        <w:t>nie stwierdzono uchybień</w:t>
      </w:r>
      <w:r w:rsidRPr="000E74C0">
        <w:rPr>
          <w:rFonts w:ascii="Arial" w:hAnsi="Arial" w:cs="Arial"/>
          <w:sz w:val="24"/>
          <w:szCs w:val="24"/>
        </w:rPr>
        <w:t>.</w:t>
      </w:r>
    </w:p>
    <w:p w:rsidR="00195EC6" w:rsidRPr="003E7420" w:rsidP="00FA79FA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357E33">
        <w:rPr>
          <w:rFonts w:ascii="Arial" w:hAnsi="Arial" w:eastAsiaTheme="minorHAnsi" w:cs="Arial"/>
          <w:sz w:val="24"/>
          <w:szCs w:val="24"/>
          <w:lang w:eastAsia="en-US"/>
        </w:rPr>
        <w:t>Reasumując, w materiale zbadanym przez zespół kontrolerów stwierdzono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357E33">
        <w:rPr>
          <w:rFonts w:ascii="Arial" w:hAnsi="Arial" w:eastAsiaTheme="minorHAnsi" w:cs="Arial"/>
          <w:sz w:val="24"/>
          <w:szCs w:val="24"/>
          <w:lang w:eastAsia="en-US"/>
        </w:rPr>
        <w:t>uchybienia, które miały charakter powtarzalny</w:t>
      </w:r>
      <w:r w:rsidR="007C1C37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195EC6" w:rsidRPr="00516F3D" w:rsidP="00FA79FA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Zakres, przyczyny i skutki stwierdzonych nieprawidłowości oraz osoby odpowiedzialne za nieprawidłowości.</w:t>
      </w:r>
    </w:p>
    <w:p w:rsidR="00195EC6" w:rsidRPr="00516F3D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W wyniku kontroli ujawniono uchybienia w prowadzeniu repertorium w zakresie stosowania art. 17 ust. 2 ustawy o zawodzie tłumacza przysięgłego.</w:t>
      </w:r>
    </w:p>
    <w:p w:rsidR="00195EC6" w:rsidRPr="00516F3D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Za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ich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przyczynę uznano niezachowanie należytej staranności przy odnotowywaniu wymaganych danych w prowadzonym repertorium. </w:t>
      </w:r>
    </w:p>
    <w:p w:rsidR="00195EC6" w:rsidRPr="005E19DC" w:rsidP="00FA79FA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Skutkiem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natomiast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jest odstępstwo od stanu pożądanego w postaci </w:t>
      </w:r>
      <w:r w:rsidRPr="00DF50B8">
        <w:rPr>
          <w:rFonts w:ascii="Arial" w:hAnsi="Arial" w:eastAsiaTheme="minorEastAsia" w:cs="Arial"/>
          <w:sz w:val="24"/>
          <w:szCs w:val="24"/>
        </w:rPr>
        <w:t xml:space="preserve">nierzetelnego dokonywania wpisów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repertorium poprzez stosowanie znaku powtórzenia tekstu w kolumnie, </w:t>
      </w:r>
      <w:r w:rsidRPr="005E19DC">
        <w:rPr>
          <w:rFonts w:ascii="Arial" w:hAnsi="Arial" w:eastAsiaTheme="minorEastAsia" w:cs="Arial"/>
          <w:sz w:val="24"/>
          <w:szCs w:val="24"/>
        </w:rPr>
        <w:t>a także nie</w:t>
      </w:r>
      <w:r w:rsidRPr="005E19DC" w:rsidR="005E19DC">
        <w:rPr>
          <w:rFonts w:ascii="Arial" w:hAnsi="Arial" w:eastAsiaTheme="minorEastAsia" w:cs="Arial"/>
          <w:sz w:val="24"/>
          <w:szCs w:val="24"/>
        </w:rPr>
        <w:t>poprawne</w:t>
      </w:r>
      <w:r w:rsidRPr="005E19DC">
        <w:rPr>
          <w:rFonts w:ascii="Arial" w:hAnsi="Arial" w:eastAsiaTheme="minorEastAsia" w:cs="Arial"/>
          <w:sz w:val="24"/>
          <w:szCs w:val="24"/>
        </w:rPr>
        <w:t xml:space="preserve"> wpisywanie numeru liczby porządkowej.</w:t>
      </w:r>
    </w:p>
    <w:p w:rsidR="00195EC6" w:rsidRPr="00516F3D" w:rsidP="00FA79FA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16F3D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195EC6" w:rsidP="005E19DC">
      <w:pPr>
        <w:spacing w:before="120" w:after="120" w:line="36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W związku z ustaleniami kontroli zalecam</w:t>
      </w:r>
      <w:r w:rsidR="005E19DC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r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zetelne prowadzenie repertorium dla każdej wykonanej czynności tłumaczenia poprzez</w:t>
      </w:r>
      <w:bookmarkStart w:id="3" w:name="_GoBack"/>
      <w:bookmarkEnd w:id="3"/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5E19DC" w:rsidR="00801356">
        <w:rPr>
          <w:rFonts w:ascii="Arial" w:hAnsi="Arial" w:eastAsiaTheme="minorEastAsia" w:cs="Arial"/>
          <w:sz w:val="24"/>
          <w:szCs w:val="24"/>
        </w:rPr>
        <w:t xml:space="preserve">prawidłowe </w:t>
      </w:r>
      <w:r w:rsidRPr="005E19DC">
        <w:rPr>
          <w:rFonts w:ascii="Arial" w:hAnsi="Arial" w:eastAsiaTheme="minorEastAsia" w:cs="Arial"/>
          <w:sz w:val="24"/>
          <w:szCs w:val="24"/>
        </w:rPr>
        <w:t>wypełn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ianie </w:t>
      </w:r>
      <w:r w:rsidR="00AF2A63">
        <w:rPr>
          <w:rFonts w:ascii="Arial" w:hAnsi="Arial" w:eastAsiaTheme="minorEastAsia" w:cs="Arial"/>
          <w:color w:val="000000" w:themeColor="text1"/>
          <w:sz w:val="24"/>
          <w:szCs w:val="24"/>
        </w:rPr>
        <w:t>każdej rubryki repertorium.</w:t>
      </w:r>
    </w:p>
    <w:p w:rsidR="00195EC6" w:rsidRPr="00357E33" w:rsidP="00FA79FA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>Na podstawie art. 49 oraz art. 52 ust. 1 ustawy z dnia 15 lipca 2011 r. o kontroli</w:t>
      </w:r>
    </w:p>
    <w:p w:rsidR="00195EC6" w:rsidRPr="00357E33" w:rsidP="00FA79FA">
      <w:pPr>
        <w:spacing w:before="240" w:after="240" w:line="360" w:lineRule="auto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>w administracji rządowej (tj. Dz.U. z 2020 r., poz. 224), proszę 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A936F9" w:rsidRPr="00195EC6" w:rsidP="00FA79FA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357E33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357E33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357E33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357E33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357E33">
        <w:rPr>
          <w:rFonts w:ascii="Arial" w:hAnsi="Arial" w:eastAsiaTheme="minorEastAsia" w:cs="Arial"/>
          <w:sz w:val="24"/>
          <w:szCs w:val="24"/>
        </w:rPr>
        <w:t xml:space="preserve"> </w:t>
      </w:r>
      <w:r w:rsidRPr="00357E33">
        <w:rPr>
          <w:rFonts w:ascii="Arial" w:hAnsi="Arial" w:eastAsiaTheme="minorEastAsia" w:cs="Arial"/>
          <w:b/>
          <w:spacing w:val="-2"/>
          <w:sz w:val="24"/>
          <w:szCs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A74D53" w:rsidRPr="00E249A1" w:rsidP="00FA79FA">
      <w:pPr>
        <w:keepNext/>
        <w:keepLines/>
        <w:tabs>
          <w:tab w:val="left" w:pos="-3686"/>
          <w:tab w:val="center" w:pos="6237"/>
        </w:tabs>
        <w:spacing w:before="60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195EC6" w:rsidP="00195EC6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00018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1719" w:rsidP="00195EC6">
      <w:r>
        <w:separator/>
      </w:r>
    </w:p>
  </w:footnote>
  <w:footnote w:type="continuationSeparator" w:id="1">
    <w:p w:rsidR="00851719" w:rsidP="00195EC6">
      <w:r>
        <w:continuationSeparator/>
      </w:r>
    </w:p>
  </w:footnote>
  <w:footnote w:id="2">
    <w:p w:rsidR="00195EC6" w:rsidRPr="00C61DFB" w:rsidP="00195EC6">
      <w:pPr>
        <w:pStyle w:val="FootnoteText"/>
        <w:rPr>
          <w:rFonts w:ascii="Arial" w:hAnsi="Arial" w:cs="Arial"/>
        </w:rPr>
      </w:pPr>
      <w:r w:rsidRPr="00C61DFB">
        <w:rPr>
          <w:rStyle w:val="FootnoteReference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</w:t>
      </w:r>
      <w:r w:rsidRPr="00F9405D">
        <w:rPr>
          <w:rFonts w:ascii="Arial" w:hAnsi="Arial" w:cs="Arial"/>
        </w:rPr>
        <w:t>j</w:t>
      </w:r>
      <w:r w:rsidRPr="00F9405D">
        <w:rPr>
          <w:rFonts w:ascii="Arial" w:hAnsi="Arial" w:cs="Arial"/>
        </w:rPr>
        <w:t>. Dz.U. z 2019 r., poz. 1326</w:t>
      </w:r>
      <w:r>
        <w:rPr>
          <w:rFonts w:ascii="Arial" w:hAnsi="Arial" w:cs="Arial"/>
        </w:rPr>
        <w:t xml:space="preserve">, dalej: ustawa o zawodzie tłumacza przysięgłego. </w:t>
      </w:r>
    </w:p>
  </w:footnote>
  <w:footnote w:id="3">
    <w:p w:rsidR="00195EC6" w:rsidRPr="005E2399" w:rsidP="00195EC6">
      <w:pPr>
        <w:pStyle w:val="FootnoteText"/>
        <w:rPr>
          <w:rStyle w:val="Hyperlink"/>
        </w:rPr>
      </w:pPr>
      <w:r w:rsidRPr="005E2399">
        <w:rPr>
          <w:rStyle w:val="FootnoteReference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</w:rPr>
        <w:t>https://www.gov.pl/web/sprawiedliwosc/tlumacze-przysiegli</w:t>
      </w:r>
      <w:r>
        <w:fldChar w:fldCharType="end"/>
      </w:r>
      <w:r w:rsidRPr="005E2399">
        <w:rPr>
          <w:rStyle w:val="Hyperlink"/>
        </w:rPr>
        <w:t>,</w:t>
      </w:r>
    </w:p>
    <w:p w:rsidR="00195EC6" w:rsidRPr="00FC081E" w:rsidP="00195EC6">
      <w:pPr>
        <w:pStyle w:val="FootnoteText"/>
        <w:rPr>
          <w:rFonts w:ascii="Arial" w:hAnsi="Arial" w:cs="Arial"/>
          <w:color w:val="000000" w:themeColor="text1"/>
        </w:rPr>
      </w:pPr>
      <w:r w:rsidRPr="005E2399">
        <w:rPr>
          <w:rFonts w:ascii="Arial" w:hAnsi="Arial" w:cs="Arial"/>
        </w:rPr>
        <w:t xml:space="preserve">w zakładce: </w:t>
      </w:r>
      <w:r w:rsidRPr="00FC081E">
        <w:rPr>
          <w:rFonts w:ascii="Arial" w:hAnsi="Arial" w:cs="Arial"/>
          <w:color w:val="000000" w:themeColor="text1"/>
        </w:rPr>
        <w:t>Znajdź tłumacza przysięgłego.</w:t>
      </w:r>
    </w:p>
  </w:footnote>
  <w:footnote w:id="4">
    <w:p w:rsidR="00FA79FA" w:rsidRPr="009F07ED">
      <w:pPr>
        <w:pStyle w:val="FootnoteText"/>
        <w:rPr>
          <w:rFonts w:ascii="Arial" w:hAnsi="Arial" w:cs="Arial"/>
          <w:color w:val="FF0000"/>
        </w:rPr>
      </w:pPr>
      <w:r w:rsidRPr="00FC081E">
        <w:rPr>
          <w:rStyle w:val="FootnoteReference"/>
          <w:rFonts w:ascii="Arial" w:hAnsi="Arial" w:cs="Arial"/>
          <w:color w:val="000000" w:themeColor="text1"/>
        </w:rPr>
        <w:footnoteRef/>
      </w:r>
      <w:r w:rsidRPr="00FC081E">
        <w:rPr>
          <w:rFonts w:ascii="Arial" w:hAnsi="Arial" w:cs="Arial"/>
          <w:color w:val="000000" w:themeColor="text1"/>
        </w:rPr>
        <w:t xml:space="preserve"> Ilość </w:t>
      </w:r>
      <w:r w:rsidRPr="00FC081E" w:rsidR="00D0684F">
        <w:rPr>
          <w:rFonts w:ascii="Arial" w:hAnsi="Arial" w:cs="Arial"/>
          <w:color w:val="000000" w:themeColor="text1"/>
        </w:rPr>
        <w:t xml:space="preserve">przeprowadzonych </w:t>
      </w:r>
      <w:r w:rsidRPr="00FC081E" w:rsidR="00FC081E">
        <w:rPr>
          <w:rFonts w:ascii="Arial" w:hAnsi="Arial" w:cs="Arial"/>
          <w:color w:val="000000" w:themeColor="text1"/>
        </w:rPr>
        <w:t>tłumaczeń</w:t>
      </w:r>
      <w:r w:rsidRPr="00FC081E">
        <w:rPr>
          <w:rFonts w:ascii="Arial" w:hAnsi="Arial" w:cs="Arial"/>
          <w:color w:val="000000" w:themeColor="text1"/>
        </w:rPr>
        <w:t xml:space="preserve"> określona na podstawie posiadanej dokumentacji kontrolnej.</w:t>
      </w:r>
    </w:p>
  </w:footnote>
  <w:footnote w:id="5">
    <w:p w:rsidR="00195EC6" w:rsidRPr="0005007B" w:rsidP="00195EC6">
      <w:pPr>
        <w:pStyle w:val="FootnoteText"/>
        <w:rPr>
          <w:rFonts w:ascii="Arial" w:hAnsi="Arial" w:cs="Arial"/>
        </w:rPr>
      </w:pPr>
      <w:r w:rsidRPr="0005007B">
        <w:rPr>
          <w:rStyle w:val="FootnoteReference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4777F"/>
    <w:multiLevelType w:val="hybridMultilevel"/>
    <w:tmpl w:val="05527E40"/>
    <w:lvl w:ilvl="0">
      <w:start w:val="1"/>
      <w:numFmt w:val="decimal"/>
      <w:lvlText w:val="%1."/>
      <w:lvlJc w:val="left"/>
      <w:pPr>
        <w:ind w:left="-3138" w:hanging="360"/>
      </w:pPr>
    </w:lvl>
    <w:lvl w:ilvl="1">
      <w:start w:val="1"/>
      <w:numFmt w:val="lowerLetter"/>
      <w:lvlText w:val="%2."/>
      <w:lvlJc w:val="left"/>
      <w:pPr>
        <w:ind w:left="-2418" w:hanging="360"/>
      </w:pPr>
    </w:lvl>
    <w:lvl w:ilvl="2">
      <w:start w:val="1"/>
      <w:numFmt w:val="lowerRoman"/>
      <w:lvlText w:val="%3."/>
      <w:lvlJc w:val="right"/>
      <w:pPr>
        <w:ind w:left="-1698" w:hanging="180"/>
      </w:pPr>
    </w:lvl>
    <w:lvl w:ilvl="3">
      <w:start w:val="1"/>
      <w:numFmt w:val="decimal"/>
      <w:lvlText w:val="%4."/>
      <w:lvlJc w:val="left"/>
      <w:pPr>
        <w:ind w:left="-978" w:hanging="360"/>
      </w:pPr>
    </w:lvl>
    <w:lvl w:ilvl="4" w:tentative="1">
      <w:start w:val="1"/>
      <w:numFmt w:val="lowerLetter"/>
      <w:lvlText w:val="%5."/>
      <w:lvlJc w:val="left"/>
      <w:pPr>
        <w:ind w:left="-258" w:hanging="360"/>
      </w:pPr>
    </w:lvl>
    <w:lvl w:ilvl="5" w:tentative="1">
      <w:start w:val="1"/>
      <w:numFmt w:val="lowerRoman"/>
      <w:lvlText w:val="%6."/>
      <w:lvlJc w:val="right"/>
      <w:pPr>
        <w:ind w:left="462" w:hanging="180"/>
      </w:pPr>
    </w:lvl>
    <w:lvl w:ilvl="6" w:tentative="1">
      <w:start w:val="1"/>
      <w:numFmt w:val="decimal"/>
      <w:lvlText w:val="%7."/>
      <w:lvlJc w:val="left"/>
      <w:pPr>
        <w:ind w:left="1182" w:hanging="360"/>
      </w:pPr>
    </w:lvl>
    <w:lvl w:ilvl="7" w:tentative="1">
      <w:start w:val="1"/>
      <w:numFmt w:val="lowerLetter"/>
      <w:lvlText w:val="%8."/>
      <w:lvlJc w:val="left"/>
      <w:pPr>
        <w:ind w:left="1902" w:hanging="360"/>
      </w:pPr>
    </w:lvl>
    <w:lvl w:ilvl="8" w:tentative="1">
      <w:start w:val="1"/>
      <w:numFmt w:val="lowerRoman"/>
      <w:lvlText w:val="%9."/>
      <w:lvlJc w:val="right"/>
      <w:pPr>
        <w:ind w:left="2622" w:hanging="180"/>
      </w:p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63446F"/>
    <w:multiLevelType w:val="hybridMultilevel"/>
    <w:tmpl w:val="CA3E6BCC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195EC6"/>
  </w:style>
  <w:style w:type="paragraph" w:styleId="FootnoteText">
    <w:name w:val="footnote text"/>
    <w:basedOn w:val="Normal"/>
    <w:link w:val="TekstprzypisudolnegoZnak"/>
    <w:unhideWhenUsed/>
    <w:rsid w:val="00195EC6"/>
  </w:style>
  <w:style w:type="character" w:customStyle="1" w:styleId="TekstprzypisudolnegoZnak1">
    <w:name w:val="Tekst przypisu dolnego Znak1"/>
    <w:basedOn w:val="DefaultParagraphFont"/>
    <w:semiHidden/>
    <w:rsid w:val="00195EC6"/>
  </w:style>
  <w:style w:type="character" w:styleId="FootnoteReference">
    <w:name w:val="footnote reference"/>
    <w:basedOn w:val="DefaultParagraphFont"/>
    <w:uiPriority w:val="99"/>
    <w:semiHidden/>
    <w:unhideWhenUsed/>
    <w:rsid w:val="00195EC6"/>
    <w:rPr>
      <w:vertAlign w:val="superscript"/>
    </w:rPr>
  </w:style>
  <w:style w:type="character" w:customStyle="1" w:styleId="highlight-disabled">
    <w:name w:val="highlight-disabled"/>
    <w:basedOn w:val="DefaultParagraphFont"/>
    <w:rsid w:val="0019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B5FA-5951-4FCB-AB60-9C3CF503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29</cp:revision>
  <dcterms:created xsi:type="dcterms:W3CDTF">2021-12-27T12:34:00Z</dcterms:created>
  <dcterms:modified xsi:type="dcterms:W3CDTF">2023-07-17T08:35:00Z</dcterms:modified>
</cp:coreProperties>
</file>