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207C" w14:textId="4499101B" w:rsidR="00C1630E" w:rsidRPr="00C1630E" w:rsidRDefault="00C1630E" w:rsidP="00C1630E">
      <w:pPr>
        <w:spacing w:after="0" w:line="260" w:lineRule="exact"/>
        <w:rPr>
          <w:rFonts w:ascii="Lato" w:eastAsia="Calibri" w:hAnsi="Lato" w:cs="Times New Roman"/>
          <w:spacing w:val="4"/>
        </w:rPr>
      </w:pPr>
      <w:r w:rsidRPr="00C1630E">
        <w:rPr>
          <w:rFonts w:ascii="Lato" w:eastAsia="Calibri" w:hAnsi="Lato" w:cs="Times New Roman"/>
          <w:spacing w:val="4"/>
        </w:rPr>
        <w:t xml:space="preserve">Znak sprawy: </w:t>
      </w:r>
      <w:bookmarkStart w:id="0" w:name="_Hlk109295568"/>
      <w:r w:rsidR="00D56AF1" w:rsidRPr="003700EE">
        <w:rPr>
          <w:rFonts w:ascii="Lato" w:eastAsia="Calibri" w:hAnsi="Lato" w:cs="Times New Roman"/>
          <w:spacing w:val="4"/>
        </w:rPr>
        <w:t>DLI-II.7620.2.2026.</w:t>
      </w:r>
      <w:bookmarkEnd w:id="0"/>
      <w:r w:rsidR="00D56AF1" w:rsidRPr="003700EE">
        <w:rPr>
          <w:rFonts w:ascii="Lato" w:eastAsia="Calibri" w:hAnsi="Lato" w:cs="Times New Roman"/>
          <w:spacing w:val="4"/>
        </w:rPr>
        <w:t>JK.7</w:t>
      </w:r>
    </w:p>
    <w:p w14:paraId="24F3F304" w14:textId="2F4994B6" w:rsidR="00C1630E" w:rsidRPr="00C1630E" w:rsidRDefault="00C1630E" w:rsidP="00BA20F7">
      <w:pPr>
        <w:spacing w:after="600" w:line="260" w:lineRule="exact"/>
        <w:rPr>
          <w:rFonts w:ascii="Lato" w:eastAsia="Calibri" w:hAnsi="Lato" w:cs="Times New Roman"/>
          <w:spacing w:val="4"/>
        </w:rPr>
      </w:pPr>
      <w:r w:rsidRPr="00C1630E">
        <w:rPr>
          <w:rFonts w:ascii="Lato" w:eastAsia="Calibri" w:hAnsi="Lato" w:cs="Times New Roman"/>
          <w:spacing w:val="4"/>
        </w:rPr>
        <w:t>Warszawa,</w:t>
      </w:r>
      <w:bookmarkStart w:id="1" w:name="ezdDataPodpisu"/>
      <w:r w:rsidR="00BE782A">
        <w:rPr>
          <w:rFonts w:ascii="Lato" w:eastAsia="Calibri" w:hAnsi="Lato" w:cs="Times New Roman"/>
          <w:spacing w:val="4"/>
        </w:rPr>
        <w:t xml:space="preserve"> 7 </w:t>
      </w:r>
      <w:r w:rsidR="00D56AF1" w:rsidRPr="003700EE">
        <w:rPr>
          <w:rFonts w:ascii="Lato" w:eastAsia="Calibri" w:hAnsi="Lato" w:cs="Times New Roman"/>
          <w:spacing w:val="4"/>
        </w:rPr>
        <w:t>sierpnia</w:t>
      </w:r>
      <w:r w:rsidRPr="003700EE">
        <w:rPr>
          <w:rFonts w:ascii="Lato" w:eastAsia="Calibri" w:hAnsi="Lato" w:cs="Times New Roman"/>
          <w:spacing w:val="4"/>
        </w:rPr>
        <w:t xml:space="preserve"> 202</w:t>
      </w:r>
      <w:r w:rsidR="00A743A5" w:rsidRPr="003700EE">
        <w:rPr>
          <w:rFonts w:ascii="Lato" w:eastAsia="Calibri" w:hAnsi="Lato" w:cs="Times New Roman"/>
          <w:spacing w:val="4"/>
        </w:rPr>
        <w:t>6</w:t>
      </w:r>
      <w:r w:rsidRPr="00C1630E">
        <w:rPr>
          <w:rFonts w:ascii="Lato" w:eastAsia="Calibri" w:hAnsi="Lato" w:cs="Times New Roman"/>
          <w:spacing w:val="4"/>
        </w:rPr>
        <w:t xml:space="preserve"> r.</w:t>
      </w:r>
      <w:bookmarkEnd w:id="1"/>
    </w:p>
    <w:p w14:paraId="3DBE9C3F" w14:textId="77777777" w:rsidR="00C1630E" w:rsidRPr="00C1630E" w:rsidRDefault="00C1630E" w:rsidP="00C1630E">
      <w:pPr>
        <w:spacing w:after="360" w:line="240" w:lineRule="exact"/>
        <w:jc w:val="center"/>
        <w:rPr>
          <w:rFonts w:ascii="Lato" w:eastAsia="Calibri" w:hAnsi="Lato" w:cs="Times New Roman"/>
        </w:rPr>
      </w:pPr>
      <w:r w:rsidRPr="00C1630E">
        <w:rPr>
          <w:rFonts w:ascii="Lato" w:eastAsia="Calibri" w:hAnsi="Lato" w:cs="Times New Roman"/>
          <w:b/>
        </w:rPr>
        <w:t>DECYZJA</w:t>
      </w:r>
    </w:p>
    <w:p w14:paraId="3EFA5A00" w14:textId="30032B44" w:rsidR="00D56AF1" w:rsidRPr="003C4F6B" w:rsidRDefault="00C1630E" w:rsidP="00C3364C">
      <w:pPr>
        <w:spacing w:after="240" w:line="240" w:lineRule="exact"/>
        <w:jc w:val="both"/>
        <w:outlineLvl w:val="0"/>
        <w:rPr>
          <w:rFonts w:ascii="Lato" w:eastAsia="Calibri" w:hAnsi="Lato" w:cs="Arial"/>
          <w:spacing w:val="4"/>
        </w:rPr>
      </w:pPr>
      <w:bookmarkStart w:id="2" w:name="_Hlk187401417"/>
      <w:r w:rsidRPr="003C4F6B">
        <w:rPr>
          <w:rFonts w:ascii="Lato" w:eastAsia="Calibri" w:hAnsi="Lato" w:cs="Arial"/>
          <w:spacing w:val="4"/>
        </w:rPr>
        <w:t xml:space="preserve">Na podstawie art. 138 § 1 pkt </w:t>
      </w:r>
      <w:r w:rsidR="00A743A5" w:rsidRPr="003C4F6B">
        <w:rPr>
          <w:rFonts w:ascii="Lato" w:eastAsia="Calibri" w:hAnsi="Lato" w:cs="Arial"/>
          <w:spacing w:val="4"/>
        </w:rPr>
        <w:t xml:space="preserve">2 </w:t>
      </w:r>
      <w:r w:rsidRPr="003C4F6B">
        <w:rPr>
          <w:rFonts w:ascii="Lato" w:eastAsia="Calibri" w:hAnsi="Lato" w:cs="Arial"/>
          <w:spacing w:val="4"/>
        </w:rPr>
        <w:t xml:space="preserve">ustawy z dnia 14 czerwca 1960 r. Kodeks postępowania administracyjnego (t.j. </w:t>
      </w:r>
      <w:r w:rsidR="00A743A5" w:rsidRPr="003C4F6B">
        <w:rPr>
          <w:rFonts w:ascii="Lato" w:eastAsia="Calibri" w:hAnsi="Lato" w:cs="Arial"/>
          <w:spacing w:val="4"/>
        </w:rPr>
        <w:t>Dz.U. z 2025 r. poz. 1691</w:t>
      </w:r>
      <w:r w:rsidRPr="003C4F6B">
        <w:rPr>
          <w:rFonts w:ascii="Lato" w:eastAsia="Calibri" w:hAnsi="Lato" w:cs="Arial"/>
          <w:spacing w:val="4"/>
        </w:rPr>
        <w:t xml:space="preserve">), zwanej dalej „kpa”, oraz art. </w:t>
      </w:r>
      <w:r w:rsidR="00D56AF1" w:rsidRPr="003C4F6B">
        <w:rPr>
          <w:rFonts w:ascii="Lato" w:eastAsia="Calibri" w:hAnsi="Lato" w:cs="Arial"/>
          <w:spacing w:val="4"/>
        </w:rPr>
        <w:t xml:space="preserve">3 ust. </w:t>
      </w:r>
      <w:r w:rsidR="00D56AF1" w:rsidRPr="003C4F6B">
        <w:rPr>
          <w:rFonts w:ascii="Lato" w:eastAsia="Calibri" w:hAnsi="Lato" w:cs="Arial"/>
          <w:spacing w:val="4"/>
        </w:rPr>
        <w:br/>
        <w:t>3</w:t>
      </w:r>
      <w:r w:rsidR="00D56AF1" w:rsidRPr="003C4F6B">
        <w:rPr>
          <w:rFonts w:ascii="Lato" w:eastAsia="Calibri" w:hAnsi="Lato" w:cs="Arial"/>
          <w:bCs/>
          <w:iCs/>
          <w:spacing w:val="4"/>
        </w:rPr>
        <w:t xml:space="preserve"> ustawy z dnia 22 lutego 2019 r. o przygotowaniu i realizacji strategicznych inwestycji w sektorze naftowym</w:t>
      </w:r>
      <w:r w:rsidR="00D56AF1" w:rsidRPr="003C4F6B">
        <w:rPr>
          <w:rFonts w:ascii="Lato" w:eastAsia="Calibri" w:hAnsi="Lato" w:cs="Arial"/>
          <w:spacing w:val="4"/>
        </w:rPr>
        <w:t xml:space="preserve"> (t.j. Dz.U. z 2024 r. poz. 1839), zwanej dalej „</w:t>
      </w:r>
      <w:r w:rsidR="00D56AF1" w:rsidRPr="003C4F6B">
        <w:rPr>
          <w:rFonts w:ascii="Lato" w:eastAsia="Calibri" w:hAnsi="Lato" w:cs="Arial"/>
          <w:iCs/>
          <w:spacing w:val="4"/>
        </w:rPr>
        <w:t>specustawą naftową</w:t>
      </w:r>
      <w:r w:rsidR="00D56AF1" w:rsidRPr="003C4F6B">
        <w:rPr>
          <w:rFonts w:ascii="Lato" w:eastAsia="Calibri" w:hAnsi="Lato" w:cs="Arial"/>
          <w:spacing w:val="4"/>
        </w:rPr>
        <w:t>”</w:t>
      </w:r>
      <w:r w:rsidRPr="003C4F6B">
        <w:rPr>
          <w:rFonts w:ascii="Lato" w:eastAsia="Calibri" w:hAnsi="Lato" w:cs="Arial"/>
          <w:spacing w:val="4"/>
        </w:rPr>
        <w:t>, po rozpatrzeniu odwoła</w:t>
      </w:r>
      <w:r w:rsidR="001C7EB7" w:rsidRPr="003C4F6B">
        <w:rPr>
          <w:rFonts w:ascii="Lato" w:eastAsia="Calibri" w:hAnsi="Lato" w:cs="Arial"/>
          <w:spacing w:val="4"/>
        </w:rPr>
        <w:t xml:space="preserve">nia </w:t>
      </w:r>
      <w:r w:rsidR="00FA714C">
        <w:rPr>
          <w:rFonts w:ascii="Lato" w:eastAsia="Calibri" w:hAnsi="Lato" w:cs="Arial"/>
          <w:spacing w:val="4"/>
        </w:rPr>
        <w:t>(…)</w:t>
      </w:r>
      <w:r w:rsidR="00D56AF1" w:rsidRPr="003C4F6B">
        <w:rPr>
          <w:rFonts w:ascii="Lato" w:eastAsia="Calibri" w:hAnsi="Lato" w:cs="Arial"/>
          <w:spacing w:val="4"/>
        </w:rPr>
        <w:t xml:space="preserve"> Sp. z o.o. z siedzibą w </w:t>
      </w:r>
      <w:r w:rsidR="00FA714C">
        <w:rPr>
          <w:rFonts w:ascii="Lato" w:eastAsia="Calibri" w:hAnsi="Lato" w:cs="Arial"/>
          <w:spacing w:val="4"/>
        </w:rPr>
        <w:t>(…)</w:t>
      </w:r>
      <w:r w:rsidR="00D56AF1" w:rsidRPr="003C4F6B">
        <w:rPr>
          <w:rFonts w:ascii="Lato" w:eastAsia="Times New Roman" w:hAnsi="Lato" w:cs="Arial"/>
          <w:spacing w:val="4"/>
          <w:lang w:eastAsia="pl-PL"/>
        </w:rPr>
        <w:t xml:space="preserve"> od </w:t>
      </w:r>
      <w:r w:rsidR="00D56AF1" w:rsidRPr="003C4F6B">
        <w:rPr>
          <w:rFonts w:ascii="Lato" w:eastAsia="Calibri" w:hAnsi="Lato" w:cs="Arial"/>
          <w:spacing w:val="4"/>
        </w:rPr>
        <w:t xml:space="preserve">decyzji </w:t>
      </w:r>
      <w:r w:rsidR="00D56AF1" w:rsidRPr="003C4F6B">
        <w:rPr>
          <w:rFonts w:ascii="Lato" w:eastAsia="Calibri" w:hAnsi="Lato" w:cs="Arial"/>
          <w:bCs/>
          <w:spacing w:val="4"/>
        </w:rPr>
        <w:t xml:space="preserve">Wojewody Pomorskiego z dnia 5 stycznia 2026 r., znak: WI-V.747.1.24.2025.JP, </w:t>
      </w:r>
      <w:r w:rsidR="00D56AF1" w:rsidRPr="003C4F6B">
        <w:rPr>
          <w:rFonts w:ascii="Lato" w:eastAsia="Calibri" w:hAnsi="Lato" w:cs="Arial"/>
          <w:bCs/>
          <w:spacing w:val="4"/>
        </w:rPr>
        <w:br/>
        <w:t>o ustaleniu lokalizacji strategicznej inwestycji w sektorze naftowym pn.: „Przystosowanie nitek rezerwowych do możliwości wykonywania czyszczenia oraz inspekcji tłokami, zadanie nr 2: Przystosowanie rurociągu rezerwowego DN 800 pod Martwą Wisłą na odcinku SZ19 – SZ-20 do możliwości wykonywania czyszczenia oraz inspekcji tłokami”,</w:t>
      </w:r>
    </w:p>
    <w:bookmarkEnd w:id="2"/>
    <w:p w14:paraId="62BB2E1E" w14:textId="53DB19CB" w:rsidR="00D760E0" w:rsidRPr="00D760E0" w:rsidRDefault="00C1630E" w:rsidP="00C3364C">
      <w:pPr>
        <w:numPr>
          <w:ilvl w:val="0"/>
          <w:numId w:val="11"/>
        </w:numPr>
        <w:tabs>
          <w:tab w:val="left" w:pos="284"/>
        </w:tabs>
        <w:spacing w:after="240" w:line="240" w:lineRule="exact"/>
        <w:ind w:left="426" w:hanging="284"/>
        <w:jc w:val="both"/>
        <w:rPr>
          <w:rFonts w:ascii="Lato" w:eastAsia="Times New Roman" w:hAnsi="Lato" w:cs="Arial"/>
          <w:b/>
          <w:spacing w:val="4"/>
          <w:lang w:eastAsia="pl-PL"/>
        </w:rPr>
      </w:pPr>
      <w:r w:rsidRPr="00577C5E">
        <w:rPr>
          <w:rFonts w:ascii="Lato" w:eastAsia="Times New Roman" w:hAnsi="Lato" w:cs="Arial"/>
          <w:b/>
          <w:spacing w:val="4"/>
          <w:lang w:eastAsia="pl-PL"/>
        </w:rPr>
        <w:t>Uchylam:</w:t>
      </w:r>
    </w:p>
    <w:p w14:paraId="1B993BF3" w14:textId="7762C367" w:rsidR="00577C5E" w:rsidRPr="00C3364C" w:rsidRDefault="00577C5E" w:rsidP="00C3364C">
      <w:pPr>
        <w:pStyle w:val="Akapitzlist"/>
        <w:numPr>
          <w:ilvl w:val="0"/>
          <w:numId w:val="12"/>
        </w:numPr>
        <w:spacing w:after="240" w:line="240" w:lineRule="exact"/>
        <w:ind w:left="567" w:hanging="283"/>
        <w:contextualSpacing w:val="0"/>
        <w:jc w:val="both"/>
        <w:rPr>
          <w:rFonts w:ascii="Lato" w:eastAsia="Times New Roman" w:hAnsi="Lato" w:cs="Arial"/>
          <w:spacing w:val="4"/>
          <w:lang w:eastAsia="pl-PL"/>
        </w:rPr>
      </w:pPr>
      <w:bookmarkStart w:id="3" w:name="_Hlk170371860"/>
      <w:r w:rsidRPr="00C3364C">
        <w:rPr>
          <w:rFonts w:ascii="Lato" w:eastAsia="Times New Roman" w:hAnsi="Lato" w:cs="Arial"/>
          <w:spacing w:val="4"/>
          <w:lang w:eastAsia="pl-PL"/>
        </w:rPr>
        <w:t>w rozstrzygnięciu zaskarżonej decyzji, znajdując</w:t>
      </w:r>
      <w:r w:rsidR="00CD7723" w:rsidRPr="00C3364C">
        <w:rPr>
          <w:rFonts w:ascii="Lato" w:eastAsia="Times New Roman" w:hAnsi="Lato" w:cs="Arial"/>
          <w:spacing w:val="4"/>
          <w:lang w:eastAsia="pl-PL"/>
        </w:rPr>
        <w:t>y</w:t>
      </w:r>
      <w:r w:rsidRPr="00C3364C">
        <w:rPr>
          <w:rFonts w:ascii="Lato" w:eastAsia="Times New Roman" w:hAnsi="Lato" w:cs="Arial"/>
          <w:spacing w:val="4"/>
          <w:lang w:eastAsia="pl-PL"/>
        </w:rPr>
        <w:t xml:space="preserve"> się na stronie </w:t>
      </w:r>
      <w:r w:rsidR="008B7B61" w:rsidRPr="00C3364C">
        <w:rPr>
          <w:rFonts w:ascii="Lato" w:eastAsia="Times New Roman" w:hAnsi="Lato" w:cs="Arial"/>
          <w:spacing w:val="4"/>
          <w:lang w:eastAsia="pl-PL"/>
        </w:rPr>
        <w:t>9</w:t>
      </w:r>
      <w:r w:rsidRPr="00C3364C">
        <w:rPr>
          <w:rFonts w:ascii="Lato" w:eastAsia="Times New Roman" w:hAnsi="Lato" w:cs="Arial"/>
          <w:spacing w:val="4"/>
          <w:lang w:eastAsia="pl-PL"/>
        </w:rPr>
        <w:t xml:space="preserve">, zapis stanowiący dotychczasową treść pkt </w:t>
      </w:r>
      <w:r w:rsidR="008B7B61" w:rsidRPr="00C3364C">
        <w:rPr>
          <w:rFonts w:ascii="Lato" w:eastAsia="Times New Roman" w:hAnsi="Lato" w:cs="Arial"/>
          <w:spacing w:val="4"/>
          <w:lang w:eastAsia="pl-PL"/>
        </w:rPr>
        <w:t>X</w:t>
      </w:r>
      <w:r w:rsidRPr="00C3364C">
        <w:rPr>
          <w:rFonts w:ascii="Lato" w:eastAsia="Times New Roman" w:hAnsi="Lato" w:cs="Arial"/>
          <w:spacing w:val="4"/>
          <w:lang w:eastAsia="pl-PL"/>
        </w:rPr>
        <w:t xml:space="preserve">II zaskarżonej decyzji,  </w:t>
      </w:r>
    </w:p>
    <w:p w14:paraId="58D74D85" w14:textId="66CE1EBC" w:rsidR="00545006" w:rsidRPr="00545006" w:rsidRDefault="001C7CDF" w:rsidP="00C3364C">
      <w:pPr>
        <w:pStyle w:val="Akapitzlist"/>
        <w:numPr>
          <w:ilvl w:val="0"/>
          <w:numId w:val="12"/>
        </w:numPr>
        <w:spacing w:after="240" w:line="240" w:lineRule="exact"/>
        <w:ind w:left="567" w:hanging="283"/>
        <w:contextualSpacing w:val="0"/>
        <w:jc w:val="both"/>
        <w:rPr>
          <w:rFonts w:ascii="Lato" w:eastAsia="Times New Roman" w:hAnsi="Lato" w:cs="Arial"/>
          <w:spacing w:val="4"/>
          <w:lang w:eastAsia="pl-PL"/>
        </w:rPr>
      </w:pPr>
      <w:r w:rsidRPr="00545006">
        <w:rPr>
          <w:rFonts w:ascii="Lato" w:hAnsi="Lato" w:cs="Arial"/>
          <w:spacing w:val="4"/>
        </w:rPr>
        <w:t>map</w:t>
      </w:r>
      <w:r w:rsidR="00F67524" w:rsidRPr="00545006">
        <w:rPr>
          <w:rFonts w:ascii="Lato" w:hAnsi="Lato" w:cs="Arial"/>
          <w:spacing w:val="4"/>
        </w:rPr>
        <w:t>ę</w:t>
      </w:r>
      <w:r w:rsidRPr="00545006">
        <w:rPr>
          <w:rFonts w:ascii="Lato" w:hAnsi="Lato" w:cs="Arial"/>
          <w:spacing w:val="4"/>
        </w:rPr>
        <w:t xml:space="preserve"> </w:t>
      </w:r>
      <w:r w:rsidR="00131C4C" w:rsidRPr="00545006">
        <w:rPr>
          <w:rFonts w:ascii="Lato" w:hAnsi="Lato" w:cs="Arial"/>
          <w:spacing w:val="4"/>
        </w:rPr>
        <w:t>pn.: „Teren zamknięty – Rafineria w Gdańsku Plan Sytuacyjny skala 1:500”</w:t>
      </w:r>
      <w:r w:rsidR="00F67524" w:rsidRPr="00545006">
        <w:rPr>
          <w:rFonts w:ascii="Lato" w:hAnsi="Lato" w:cs="Arial"/>
          <w:spacing w:val="4"/>
        </w:rPr>
        <w:t xml:space="preserve">) </w:t>
      </w:r>
      <w:r w:rsidRPr="00545006">
        <w:rPr>
          <w:rFonts w:ascii="Lato" w:hAnsi="Lato" w:cs="Arial"/>
          <w:spacing w:val="4"/>
        </w:rPr>
        <w:t>określając</w:t>
      </w:r>
      <w:r w:rsidR="00F67524" w:rsidRPr="00545006">
        <w:rPr>
          <w:rFonts w:ascii="Lato" w:hAnsi="Lato" w:cs="Arial"/>
          <w:spacing w:val="4"/>
        </w:rPr>
        <w:t>ą</w:t>
      </w:r>
      <w:r w:rsidRPr="00545006">
        <w:rPr>
          <w:rFonts w:ascii="Lato" w:hAnsi="Lato" w:cs="Arial"/>
          <w:spacing w:val="4"/>
        </w:rPr>
        <w:t xml:space="preserve"> granice terenu objętego inwestycją, stanowiąc</w:t>
      </w:r>
      <w:r w:rsidR="00F67524" w:rsidRPr="00545006">
        <w:rPr>
          <w:rFonts w:ascii="Lato" w:hAnsi="Lato" w:cs="Arial"/>
          <w:spacing w:val="4"/>
        </w:rPr>
        <w:t>ą</w:t>
      </w:r>
      <w:r w:rsidRPr="00545006">
        <w:rPr>
          <w:rFonts w:ascii="Lato" w:hAnsi="Lato" w:cs="Arial"/>
          <w:spacing w:val="4"/>
        </w:rPr>
        <w:t xml:space="preserve"> załącznik nr 1</w:t>
      </w:r>
      <w:r w:rsidR="00F67524" w:rsidRPr="00545006">
        <w:rPr>
          <w:rFonts w:ascii="Lato" w:hAnsi="Lato" w:cs="Arial"/>
          <w:spacing w:val="4"/>
        </w:rPr>
        <w:t xml:space="preserve"> ark. 1</w:t>
      </w:r>
      <w:r w:rsidRPr="00545006">
        <w:rPr>
          <w:rFonts w:ascii="Lato" w:hAnsi="Lato" w:cs="Arial"/>
          <w:spacing w:val="4"/>
        </w:rPr>
        <w:t xml:space="preserve"> do zaskarżonej decyzji</w:t>
      </w:r>
      <w:r w:rsidR="002C1C5B">
        <w:rPr>
          <w:rFonts w:ascii="Lato" w:hAnsi="Lato" w:cs="Arial"/>
          <w:spacing w:val="4"/>
        </w:rPr>
        <w:t xml:space="preserve"> </w:t>
      </w:r>
      <w:r w:rsidR="00F67524" w:rsidRPr="004F63AB">
        <w:rPr>
          <w:rFonts w:ascii="Lato" w:hAnsi="Lato" w:cs="Arial"/>
          <w:spacing w:val="4"/>
        </w:rPr>
        <w:t xml:space="preserve">– w zakresie dotyczącym </w:t>
      </w:r>
      <w:r w:rsidR="000A4DE4" w:rsidRPr="004F63AB">
        <w:rPr>
          <w:rFonts w:ascii="Lato" w:hAnsi="Lato" w:cs="Arial"/>
          <w:spacing w:val="4"/>
        </w:rPr>
        <w:t xml:space="preserve">granic </w:t>
      </w:r>
      <w:r w:rsidR="002C1C5B" w:rsidRPr="004F63AB">
        <w:rPr>
          <w:rFonts w:ascii="Lato" w:hAnsi="Lato" w:cs="Arial"/>
          <w:spacing w:val="4"/>
        </w:rPr>
        <w:t xml:space="preserve">obszaru </w:t>
      </w:r>
      <w:r w:rsidR="00F67524" w:rsidRPr="004F63AB">
        <w:rPr>
          <w:rFonts w:ascii="Lato" w:hAnsi="Lato" w:cs="Arial"/>
          <w:spacing w:val="4"/>
        </w:rPr>
        <w:t xml:space="preserve">wyznaczonego </w:t>
      </w:r>
      <w:r w:rsidR="000A4DE4" w:rsidRPr="004F63AB">
        <w:rPr>
          <w:rFonts w:ascii="Lato" w:hAnsi="Lato" w:cs="Arial"/>
          <w:spacing w:val="4"/>
        </w:rPr>
        <w:br/>
      </w:r>
      <w:r w:rsidR="00F67524" w:rsidRPr="004F63AB">
        <w:rPr>
          <w:rFonts w:ascii="Lato" w:hAnsi="Lato" w:cs="Arial"/>
          <w:spacing w:val="4"/>
        </w:rPr>
        <w:t xml:space="preserve">na działce nr 75/92 (powstałej z podziału działki nr </w:t>
      </w:r>
      <w:r w:rsidR="00545006" w:rsidRPr="004F63AB">
        <w:rPr>
          <w:rFonts w:ascii="Lato" w:hAnsi="Lato" w:cs="Arial"/>
          <w:spacing w:val="4"/>
        </w:rPr>
        <w:t xml:space="preserve">75/90), z obrębu 0300 </w:t>
      </w:r>
      <w:r w:rsidR="000A4DE4" w:rsidRPr="004F63AB">
        <w:rPr>
          <w:rFonts w:ascii="Lato" w:hAnsi="Lato" w:cs="Arial"/>
          <w:spacing w:val="4"/>
        </w:rPr>
        <w:br/>
      </w:r>
      <w:r w:rsidR="00545006" w:rsidRPr="004F63AB">
        <w:rPr>
          <w:rFonts w:ascii="Lato" w:hAnsi="Lato" w:cs="Arial"/>
          <w:spacing w:val="4"/>
        </w:rPr>
        <w:t xml:space="preserve">w Gdańsku, w stosunku do którego decyzja o ustaleniu lokalizacji strategicznej inwestycji w sektorze naftowym ma wywołać skutek, o którym mowa w </w:t>
      </w:r>
      <w:r w:rsidR="00545006" w:rsidRPr="004F63AB">
        <w:rPr>
          <w:rFonts w:ascii="Lato" w:eastAsia="Times New Roman" w:hAnsi="Lato" w:cs="Arial"/>
          <w:spacing w:val="4"/>
          <w:lang w:eastAsia="pl-PL"/>
        </w:rPr>
        <w:t xml:space="preserve">art. 30 ust. 3 </w:t>
      </w:r>
      <w:r w:rsidR="00545006" w:rsidRPr="004F63AB">
        <w:rPr>
          <w:rFonts w:ascii="Lato" w:eastAsia="Times New Roman" w:hAnsi="Lato" w:cs="Arial"/>
          <w:bCs/>
          <w:iCs/>
          <w:spacing w:val="4"/>
          <w:lang w:eastAsia="pl-PL"/>
        </w:rPr>
        <w:t>ustawy z dnia 22 lutego 2019 r. o przygotowaniu i realizacji strategicznych inwestycji w sektorze naftowym,</w:t>
      </w:r>
    </w:p>
    <w:bookmarkEnd w:id="3"/>
    <w:p w14:paraId="6654E124" w14:textId="77777777" w:rsidR="00C1630E" w:rsidRDefault="00C1630E" w:rsidP="00C3364C">
      <w:pPr>
        <w:spacing w:after="240" w:line="240" w:lineRule="exact"/>
        <w:ind w:left="284"/>
        <w:rPr>
          <w:rFonts w:ascii="Lato" w:eastAsia="Times New Roman" w:hAnsi="Lato" w:cs="Arial"/>
          <w:spacing w:val="4"/>
          <w:lang w:eastAsia="pl-PL"/>
        </w:rPr>
      </w:pPr>
      <w:r w:rsidRPr="00CB30AF">
        <w:rPr>
          <w:rFonts w:ascii="Lato" w:eastAsia="Times New Roman" w:hAnsi="Lato" w:cs="Arial"/>
          <w:b/>
          <w:spacing w:val="4"/>
          <w:lang w:eastAsia="pl-PL"/>
        </w:rPr>
        <w:t xml:space="preserve">i orzekam w tym zakresie </w:t>
      </w:r>
      <w:r w:rsidRPr="00CB30AF">
        <w:rPr>
          <w:rFonts w:ascii="Lato" w:eastAsia="Times New Roman" w:hAnsi="Lato" w:cs="Arial"/>
          <w:spacing w:val="4"/>
          <w:lang w:eastAsia="pl-PL"/>
        </w:rPr>
        <w:t>poprzez:</w:t>
      </w:r>
    </w:p>
    <w:p w14:paraId="50A81659" w14:textId="29C39C42" w:rsidR="001519B7" w:rsidRDefault="001519B7" w:rsidP="00C3364C">
      <w:pPr>
        <w:numPr>
          <w:ilvl w:val="0"/>
          <w:numId w:val="34"/>
        </w:numPr>
        <w:tabs>
          <w:tab w:val="left" w:pos="567"/>
        </w:tabs>
        <w:spacing w:after="240" w:line="240" w:lineRule="exact"/>
        <w:ind w:left="567" w:hanging="283"/>
        <w:jc w:val="both"/>
        <w:rPr>
          <w:rFonts w:ascii="Lato" w:eastAsia="Times New Roman" w:hAnsi="Lato" w:cs="Arial"/>
          <w:bCs/>
          <w:spacing w:val="4"/>
          <w:lang w:eastAsia="pl-PL"/>
        </w:rPr>
      </w:pPr>
      <w:r>
        <w:rPr>
          <w:rFonts w:ascii="Lato" w:eastAsia="Times New Roman" w:hAnsi="Lato" w:cs="Arial"/>
          <w:bCs/>
          <w:spacing w:val="4"/>
          <w:lang w:eastAsia="pl-PL"/>
        </w:rPr>
        <w:t>dodanie,</w:t>
      </w:r>
      <w:r w:rsidRPr="001519B7">
        <w:rPr>
          <w:rFonts w:ascii="Lato" w:eastAsia="Times New Roman" w:hAnsi="Lato" w:cs="Arial"/>
          <w:bCs/>
          <w:spacing w:val="4"/>
          <w:lang w:eastAsia="pl-PL"/>
        </w:rPr>
        <w:t xml:space="preserve"> w rozstrzygnięciu zaskarżonej decyzji, na stronie 5, po zapisie znajdującym się w wierszu 1</w:t>
      </w:r>
      <w:r>
        <w:rPr>
          <w:rFonts w:ascii="Lato" w:eastAsia="Times New Roman" w:hAnsi="Lato" w:cs="Arial"/>
          <w:bCs/>
          <w:spacing w:val="4"/>
          <w:lang w:eastAsia="pl-PL"/>
        </w:rPr>
        <w:t>4</w:t>
      </w:r>
      <w:r w:rsidRPr="001519B7">
        <w:rPr>
          <w:rFonts w:ascii="Lato" w:eastAsia="Times New Roman" w:hAnsi="Lato" w:cs="Arial"/>
          <w:bCs/>
          <w:spacing w:val="4"/>
          <w:lang w:eastAsia="pl-PL"/>
        </w:rPr>
        <w:t>, licząc od góry strony, nowego zapisu:</w:t>
      </w:r>
    </w:p>
    <w:p w14:paraId="792686C5" w14:textId="62F8B24F" w:rsidR="001519B7" w:rsidRPr="004F63AB" w:rsidRDefault="001519B7" w:rsidP="004F63AB">
      <w:pPr>
        <w:tabs>
          <w:tab w:val="left" w:pos="426"/>
        </w:tabs>
        <w:spacing w:after="240" w:line="240" w:lineRule="exact"/>
        <w:ind w:left="567"/>
        <w:jc w:val="both"/>
        <w:rPr>
          <w:rFonts w:ascii="Lato" w:eastAsia="Times New Roman" w:hAnsi="Lato" w:cs="Arial"/>
          <w:bCs/>
          <w:spacing w:val="4"/>
          <w:lang w:eastAsia="pl-PL"/>
        </w:rPr>
      </w:pPr>
      <w:r w:rsidRPr="004F63AB">
        <w:rPr>
          <w:rFonts w:ascii="Lato" w:eastAsia="Times New Roman" w:hAnsi="Lato" w:cs="Arial"/>
          <w:bCs/>
          <w:spacing w:val="4"/>
          <w:lang w:eastAsia="pl-PL"/>
        </w:rPr>
        <w:t xml:space="preserve">„W związku z istniejącą infrastrukturą </w:t>
      </w:r>
      <w:r w:rsidR="0003728F" w:rsidRPr="004F63AB">
        <w:rPr>
          <w:rFonts w:ascii="Lato" w:eastAsia="Times New Roman" w:hAnsi="Lato" w:cs="Arial"/>
          <w:bCs/>
          <w:spacing w:val="4"/>
          <w:lang w:eastAsia="pl-PL"/>
        </w:rPr>
        <w:t xml:space="preserve">należącą do </w:t>
      </w:r>
      <w:r w:rsidR="003C4F6B" w:rsidRPr="004F63AB">
        <w:rPr>
          <w:rFonts w:ascii="Lato" w:eastAsia="Times New Roman" w:hAnsi="Lato" w:cs="Arial"/>
          <w:bCs/>
          <w:spacing w:val="4"/>
          <w:lang w:eastAsia="pl-PL"/>
        </w:rPr>
        <w:t xml:space="preserve">Rafinerii Gdańskiej Sp. z o.o. </w:t>
      </w:r>
      <w:r w:rsidR="003C4F6B" w:rsidRPr="004F63AB">
        <w:rPr>
          <w:rFonts w:ascii="Lato" w:eastAsia="Times New Roman" w:hAnsi="Lato" w:cs="Arial"/>
          <w:bCs/>
          <w:spacing w:val="4"/>
          <w:lang w:eastAsia="pl-PL"/>
        </w:rPr>
        <w:br/>
      </w:r>
      <w:r w:rsidR="00F85409" w:rsidRPr="004F63AB">
        <w:rPr>
          <w:rFonts w:ascii="Lato" w:eastAsia="Times New Roman" w:hAnsi="Lato" w:cs="Arial"/>
          <w:bCs/>
          <w:spacing w:val="4"/>
          <w:lang w:eastAsia="pl-PL"/>
        </w:rPr>
        <w:t xml:space="preserve">oraz </w:t>
      </w:r>
      <w:r w:rsidR="003C4F6B" w:rsidRPr="004F63AB">
        <w:rPr>
          <w:rFonts w:ascii="Lato" w:eastAsia="Times New Roman" w:hAnsi="Lato" w:cs="Arial"/>
          <w:bCs/>
          <w:spacing w:val="4"/>
          <w:lang w:eastAsia="pl-PL"/>
        </w:rPr>
        <w:t xml:space="preserve">ORLEN S.A. </w:t>
      </w:r>
      <w:r w:rsidR="004F63AB" w:rsidRPr="004F63AB">
        <w:rPr>
          <w:rFonts w:ascii="Lato" w:eastAsia="Times New Roman" w:hAnsi="Lato" w:cs="Arial"/>
          <w:bCs/>
          <w:spacing w:val="4"/>
          <w:lang w:eastAsia="pl-PL"/>
        </w:rPr>
        <w:t xml:space="preserve">dopuszcza się możliwość przyszłej przebudowy lub zmiany przebiegu istniejącego uzbrojenia terenu poza granice nowo wydzielanej działki </w:t>
      </w:r>
      <w:r w:rsidR="004F63AB">
        <w:rPr>
          <w:rFonts w:ascii="Lato" w:eastAsia="Times New Roman" w:hAnsi="Lato" w:cs="Arial"/>
          <w:bCs/>
          <w:spacing w:val="4"/>
          <w:lang w:eastAsia="pl-PL"/>
        </w:rPr>
        <w:br/>
      </w:r>
      <w:r w:rsidR="004F63AB" w:rsidRPr="004F63AB">
        <w:rPr>
          <w:rFonts w:ascii="Lato" w:eastAsia="Times New Roman" w:hAnsi="Lato" w:cs="Arial"/>
          <w:bCs/>
          <w:spacing w:val="4"/>
          <w:lang w:eastAsia="pl-PL"/>
        </w:rPr>
        <w:t>nr 75/91</w:t>
      </w:r>
      <w:r w:rsidR="0003728F" w:rsidRPr="0003728F">
        <w:rPr>
          <w:rFonts w:ascii="Lato" w:eastAsia="Times New Roman" w:hAnsi="Lato" w:cs="Arial"/>
          <w:bCs/>
          <w:spacing w:val="4"/>
          <w:lang w:eastAsia="pl-PL"/>
        </w:rPr>
        <w:t xml:space="preserve"> (powstałej z podziału działki nr 75/90), z obrębu 0300 w Gdańsku</w:t>
      </w:r>
      <w:r w:rsidRPr="001519B7">
        <w:rPr>
          <w:rFonts w:ascii="Lato" w:eastAsia="Times New Roman" w:hAnsi="Lato" w:cs="Arial"/>
          <w:bCs/>
          <w:spacing w:val="4"/>
          <w:lang w:eastAsia="pl-PL"/>
        </w:rPr>
        <w:t xml:space="preserve">, </w:t>
      </w:r>
      <w:r w:rsidR="004F63AB">
        <w:rPr>
          <w:rFonts w:ascii="Lato" w:eastAsia="Times New Roman" w:hAnsi="Lato" w:cs="Arial"/>
          <w:bCs/>
          <w:spacing w:val="4"/>
          <w:lang w:eastAsia="pl-PL"/>
        </w:rPr>
        <w:br/>
      </w:r>
      <w:r w:rsidR="000174DB" w:rsidRPr="000174DB">
        <w:rPr>
          <w:rFonts w:ascii="Lato" w:eastAsia="Times New Roman" w:hAnsi="Lato" w:cs="Arial"/>
          <w:spacing w:val="4"/>
          <w:lang w:eastAsia="pl-PL"/>
        </w:rPr>
        <w:t>na warunkach określonych w odrębnych uzgodnieniach i decyzjach.</w:t>
      </w:r>
      <w:r w:rsidR="000174DB">
        <w:rPr>
          <w:rFonts w:ascii="Lato" w:eastAsia="Times New Roman" w:hAnsi="Lato" w:cs="Arial"/>
          <w:spacing w:val="4"/>
          <w:lang w:eastAsia="pl-PL"/>
        </w:rPr>
        <w:t>”,</w:t>
      </w:r>
    </w:p>
    <w:p w14:paraId="3275DA93" w14:textId="20B0E629" w:rsidR="003C4F6B" w:rsidRDefault="003C4F6B" w:rsidP="00C3364C">
      <w:pPr>
        <w:numPr>
          <w:ilvl w:val="0"/>
          <w:numId w:val="34"/>
        </w:numPr>
        <w:tabs>
          <w:tab w:val="left" w:pos="567"/>
        </w:tabs>
        <w:spacing w:after="240" w:line="240" w:lineRule="exact"/>
        <w:ind w:left="568" w:hanging="284"/>
        <w:jc w:val="both"/>
        <w:rPr>
          <w:rFonts w:ascii="Lato" w:eastAsia="Times New Roman" w:hAnsi="Lato" w:cs="Arial"/>
          <w:bCs/>
          <w:spacing w:val="4"/>
          <w:lang w:eastAsia="pl-PL"/>
        </w:rPr>
      </w:pPr>
      <w:r>
        <w:rPr>
          <w:rFonts w:ascii="Lato" w:eastAsia="Times New Roman" w:hAnsi="Lato" w:cs="Arial"/>
          <w:bCs/>
          <w:spacing w:val="4"/>
          <w:lang w:eastAsia="pl-PL"/>
        </w:rPr>
        <w:t>dodanie,</w:t>
      </w:r>
      <w:r w:rsidRPr="001519B7">
        <w:rPr>
          <w:rFonts w:ascii="Lato" w:eastAsia="Times New Roman" w:hAnsi="Lato" w:cs="Arial"/>
          <w:bCs/>
          <w:spacing w:val="4"/>
          <w:lang w:eastAsia="pl-PL"/>
        </w:rPr>
        <w:t xml:space="preserve"> w rozstrzygnięciu zaskarżonej decyzji, na stronie </w:t>
      </w:r>
      <w:r w:rsidR="0029758C">
        <w:rPr>
          <w:rFonts w:ascii="Lato" w:eastAsia="Times New Roman" w:hAnsi="Lato" w:cs="Arial"/>
          <w:bCs/>
          <w:spacing w:val="4"/>
          <w:lang w:eastAsia="pl-PL"/>
        </w:rPr>
        <w:t>8</w:t>
      </w:r>
      <w:r w:rsidRPr="001519B7">
        <w:rPr>
          <w:rFonts w:ascii="Lato" w:eastAsia="Times New Roman" w:hAnsi="Lato" w:cs="Arial"/>
          <w:bCs/>
          <w:spacing w:val="4"/>
          <w:lang w:eastAsia="pl-PL"/>
        </w:rPr>
        <w:t xml:space="preserve">, po zapisie znajdującym się w wierszu </w:t>
      </w:r>
      <w:r w:rsidR="0029758C">
        <w:rPr>
          <w:rFonts w:ascii="Lato" w:eastAsia="Times New Roman" w:hAnsi="Lato" w:cs="Arial"/>
          <w:bCs/>
          <w:spacing w:val="4"/>
          <w:lang w:eastAsia="pl-PL"/>
        </w:rPr>
        <w:t>27</w:t>
      </w:r>
      <w:r w:rsidRPr="001519B7">
        <w:rPr>
          <w:rFonts w:ascii="Lato" w:eastAsia="Times New Roman" w:hAnsi="Lato" w:cs="Arial"/>
          <w:bCs/>
          <w:spacing w:val="4"/>
          <w:lang w:eastAsia="pl-PL"/>
        </w:rPr>
        <w:t>, licząc od góry strony, nowego zapisu:</w:t>
      </w:r>
    </w:p>
    <w:p w14:paraId="05FB28F5" w14:textId="0EA17C3D" w:rsidR="00F85409" w:rsidRDefault="00F85409" w:rsidP="007355AE">
      <w:pPr>
        <w:tabs>
          <w:tab w:val="left" w:pos="567"/>
        </w:tabs>
        <w:spacing w:after="120" w:line="240" w:lineRule="exact"/>
        <w:ind w:left="567"/>
        <w:jc w:val="both"/>
        <w:rPr>
          <w:rFonts w:ascii="Lato" w:eastAsia="Times New Roman" w:hAnsi="Lato" w:cs="Arial"/>
          <w:bCs/>
          <w:iCs/>
          <w:spacing w:val="4"/>
          <w:lang w:eastAsia="pl-PL" w:bidi="pl-PL"/>
        </w:rPr>
      </w:pPr>
      <w:r>
        <w:rPr>
          <w:rFonts w:ascii="Lato" w:eastAsia="Times New Roman" w:hAnsi="Lato" w:cs="Arial"/>
          <w:bCs/>
          <w:spacing w:val="4"/>
          <w:lang w:eastAsia="pl-PL"/>
        </w:rPr>
        <w:t>„</w:t>
      </w:r>
      <w:r w:rsidR="00F5790C">
        <w:rPr>
          <w:rFonts w:ascii="Lato" w:eastAsia="Times New Roman" w:hAnsi="Lato" w:cs="Arial"/>
          <w:bCs/>
          <w:spacing w:val="4"/>
          <w:lang w:eastAsia="pl-PL"/>
        </w:rPr>
        <w:t>D</w:t>
      </w:r>
      <w:r w:rsidRPr="00F85409">
        <w:rPr>
          <w:rFonts w:ascii="Lato" w:eastAsia="Times New Roman" w:hAnsi="Lato" w:cs="Arial"/>
          <w:bCs/>
          <w:spacing w:val="4"/>
          <w:lang w:eastAsia="pl-PL"/>
        </w:rPr>
        <w:t xml:space="preserve">ziałając na </w:t>
      </w:r>
      <w:r w:rsidRPr="00F85409">
        <w:rPr>
          <w:rFonts w:ascii="Lato" w:eastAsia="Times New Roman" w:hAnsi="Lato" w:cs="Arial"/>
          <w:bCs/>
          <w:iCs/>
          <w:spacing w:val="4"/>
          <w:lang w:eastAsia="pl-PL" w:bidi="pl-PL"/>
        </w:rPr>
        <w:t>podstawie</w:t>
      </w:r>
      <w:r w:rsidRPr="00F85409">
        <w:rPr>
          <w:rFonts w:ascii="Arial" w:eastAsia="Times New Roman" w:hAnsi="Arial" w:cs="Arial"/>
          <w:color w:val="000000"/>
          <w:lang w:eastAsia="pl-PL"/>
        </w:rPr>
        <w:t xml:space="preserve"> </w:t>
      </w:r>
      <w:r w:rsidRPr="00F85409">
        <w:rPr>
          <w:rFonts w:ascii="Lato" w:eastAsia="Times New Roman" w:hAnsi="Lato" w:cs="Arial"/>
          <w:bCs/>
          <w:iCs/>
          <w:spacing w:val="4"/>
          <w:lang w:eastAsia="pl-PL" w:bidi="pl-PL"/>
        </w:rPr>
        <w:t xml:space="preserve">art. 120 ustawy z dnia 21 sierpnia 1997 r. o gospodarce nieruchomościami w związku z art. 34 ustawy z dnia 22 lutego 2019 r. </w:t>
      </w:r>
      <w:r w:rsidR="00F5790C">
        <w:rPr>
          <w:rFonts w:ascii="Lato" w:eastAsia="Times New Roman" w:hAnsi="Lato" w:cs="Arial"/>
          <w:bCs/>
          <w:iCs/>
          <w:spacing w:val="4"/>
          <w:lang w:eastAsia="pl-PL" w:bidi="pl-PL"/>
        </w:rPr>
        <w:br/>
      </w:r>
      <w:r w:rsidRPr="00F85409">
        <w:rPr>
          <w:rFonts w:ascii="Lato" w:eastAsia="Times New Roman" w:hAnsi="Lato" w:cs="Arial"/>
          <w:bCs/>
          <w:iCs/>
          <w:spacing w:val="4"/>
          <w:lang w:eastAsia="pl-PL" w:bidi="pl-PL"/>
        </w:rPr>
        <w:t>o przygotowaniu i realizacji strategicznych inwestycji w sektorze naftowym</w:t>
      </w:r>
      <w:r w:rsidR="00F5790C">
        <w:rPr>
          <w:rFonts w:ascii="Lato" w:eastAsia="Times New Roman" w:hAnsi="Lato" w:cs="Arial"/>
          <w:bCs/>
          <w:iCs/>
          <w:spacing w:val="4"/>
          <w:lang w:eastAsia="pl-PL" w:bidi="pl-PL"/>
        </w:rPr>
        <w:t>,</w:t>
      </w:r>
      <w:r w:rsidRPr="00F85409">
        <w:rPr>
          <w:rFonts w:ascii="Lato" w:eastAsia="Times New Roman" w:hAnsi="Lato" w:cs="Arial"/>
          <w:bCs/>
          <w:iCs/>
          <w:spacing w:val="4"/>
          <w:lang w:eastAsia="pl-PL" w:bidi="pl-PL"/>
        </w:rPr>
        <w:t xml:space="preserve"> ustanawiam na</w:t>
      </w:r>
      <w:r>
        <w:rPr>
          <w:rFonts w:ascii="Lato" w:eastAsia="Times New Roman" w:hAnsi="Lato" w:cs="Arial"/>
          <w:bCs/>
          <w:iCs/>
          <w:spacing w:val="4"/>
          <w:lang w:eastAsia="pl-PL" w:bidi="pl-PL"/>
        </w:rPr>
        <w:t xml:space="preserve"> </w:t>
      </w:r>
      <w:r w:rsidRPr="00F85409">
        <w:rPr>
          <w:rFonts w:ascii="Lato" w:eastAsia="Times New Roman" w:hAnsi="Lato" w:cs="Arial"/>
          <w:bCs/>
          <w:iCs/>
          <w:spacing w:val="4"/>
          <w:lang w:eastAsia="pl-PL" w:bidi="pl-PL"/>
        </w:rPr>
        <w:t xml:space="preserve">rzecz Rafinerii Gdańskiej Sp. z o.o. nieodpłatną służebność korzystania z nieruchomości oznaczonej jako działka nr 75/91 (powstałej </w:t>
      </w:r>
      <w:r w:rsidR="007355AE">
        <w:rPr>
          <w:rFonts w:ascii="Lato" w:eastAsia="Times New Roman" w:hAnsi="Lato" w:cs="Arial"/>
          <w:bCs/>
          <w:iCs/>
          <w:spacing w:val="4"/>
          <w:lang w:eastAsia="pl-PL" w:bidi="pl-PL"/>
        </w:rPr>
        <w:br/>
      </w:r>
      <w:r w:rsidRPr="00F85409">
        <w:rPr>
          <w:rFonts w:ascii="Lato" w:eastAsia="Times New Roman" w:hAnsi="Lato" w:cs="Arial"/>
          <w:bCs/>
          <w:iCs/>
          <w:spacing w:val="4"/>
          <w:lang w:eastAsia="pl-PL" w:bidi="pl-PL"/>
        </w:rPr>
        <w:t xml:space="preserve">z podziału działki nr 75/90), z obrębu 0300 </w:t>
      </w:r>
      <w:r w:rsidR="009E139B">
        <w:rPr>
          <w:rFonts w:ascii="Lato" w:eastAsia="Times New Roman" w:hAnsi="Lato" w:cs="Arial"/>
          <w:bCs/>
          <w:iCs/>
          <w:spacing w:val="4"/>
          <w:lang w:eastAsia="pl-PL" w:bidi="pl-PL"/>
        </w:rPr>
        <w:t xml:space="preserve">w </w:t>
      </w:r>
      <w:r w:rsidRPr="00F85409">
        <w:rPr>
          <w:rFonts w:ascii="Lato" w:eastAsia="Times New Roman" w:hAnsi="Lato" w:cs="Arial"/>
          <w:bCs/>
          <w:iCs/>
          <w:spacing w:val="4"/>
          <w:lang w:eastAsia="pl-PL" w:bidi="pl-PL"/>
        </w:rPr>
        <w:t>Gdańsk</w:t>
      </w:r>
      <w:r w:rsidR="007355AE">
        <w:rPr>
          <w:rFonts w:ascii="Lato" w:eastAsia="Times New Roman" w:hAnsi="Lato" w:cs="Arial"/>
          <w:bCs/>
          <w:iCs/>
          <w:spacing w:val="4"/>
          <w:lang w:eastAsia="pl-PL" w:bidi="pl-PL"/>
        </w:rPr>
        <w:t>u</w:t>
      </w:r>
      <w:r w:rsidRPr="00F85409">
        <w:rPr>
          <w:rFonts w:ascii="Lato" w:eastAsia="Times New Roman" w:hAnsi="Lato" w:cs="Arial"/>
          <w:bCs/>
          <w:iCs/>
          <w:spacing w:val="4"/>
          <w:lang w:eastAsia="pl-PL" w:bidi="pl-PL"/>
        </w:rPr>
        <w:t>, w określonym poniżej zakresie oraz sposobie:</w:t>
      </w:r>
    </w:p>
    <w:p w14:paraId="0F5EE286" w14:textId="20F6FF22" w:rsidR="00F85409" w:rsidRDefault="00F85409" w:rsidP="007E0CBE">
      <w:pPr>
        <w:pStyle w:val="Akapitzlist"/>
        <w:numPr>
          <w:ilvl w:val="0"/>
          <w:numId w:val="36"/>
        </w:numPr>
        <w:tabs>
          <w:tab w:val="left" w:pos="567"/>
        </w:tabs>
        <w:spacing w:after="120" w:line="240" w:lineRule="exact"/>
        <w:ind w:hanging="357"/>
        <w:contextualSpacing w:val="0"/>
        <w:jc w:val="both"/>
        <w:rPr>
          <w:rFonts w:ascii="Lato" w:eastAsia="Times New Roman" w:hAnsi="Lato" w:cs="Arial"/>
          <w:bCs/>
          <w:iCs/>
          <w:spacing w:val="4"/>
          <w:lang w:eastAsia="pl-PL" w:bidi="pl-PL"/>
        </w:rPr>
      </w:pPr>
      <w:r w:rsidRPr="007355AE">
        <w:rPr>
          <w:rFonts w:ascii="Lato" w:eastAsia="Times New Roman" w:hAnsi="Lato" w:cs="Arial"/>
          <w:bCs/>
          <w:iCs/>
          <w:spacing w:val="4"/>
          <w:lang w:eastAsia="pl-PL" w:bidi="pl-PL"/>
        </w:rPr>
        <w:lastRenderedPageBreak/>
        <w:t xml:space="preserve">zakres służebności w terenie został pokazany na załączniku graficznym </w:t>
      </w:r>
      <w:r w:rsidR="00FB61EE">
        <w:rPr>
          <w:rFonts w:ascii="Lato" w:eastAsia="Times New Roman" w:hAnsi="Lato" w:cs="Arial"/>
          <w:bCs/>
          <w:iCs/>
          <w:spacing w:val="4"/>
          <w:lang w:eastAsia="pl-PL" w:bidi="pl-PL"/>
        </w:rPr>
        <w:br/>
      </w:r>
      <w:r w:rsidRPr="007355AE">
        <w:rPr>
          <w:rFonts w:ascii="Lato" w:eastAsia="Times New Roman" w:hAnsi="Lato" w:cs="Arial"/>
          <w:bCs/>
          <w:iCs/>
          <w:spacing w:val="4"/>
          <w:lang w:eastAsia="pl-PL" w:bidi="pl-PL"/>
        </w:rPr>
        <w:t>do decyzji w sprawie ustalenia lokalizacji przedmiotowej inwestycji w sektorze naftowym, na którym za pomocą legendy zostały wskazane miejsca, oraz podana została łączna powierzchnia obszaru służebności wynosząca 226 m</w:t>
      </w:r>
      <w:r w:rsidR="007355AE">
        <w:rPr>
          <w:rFonts w:ascii="Lato" w:eastAsia="Times New Roman" w:hAnsi="Lato" w:cs="Arial"/>
          <w:bCs/>
          <w:iCs/>
          <w:spacing w:val="4"/>
          <w:vertAlign w:val="superscript"/>
          <w:lang w:eastAsia="pl-PL" w:bidi="pl-PL"/>
        </w:rPr>
        <w:t>2</w:t>
      </w:r>
      <w:r w:rsidRPr="007355AE">
        <w:rPr>
          <w:rFonts w:ascii="Lato" w:eastAsia="Times New Roman" w:hAnsi="Lato" w:cs="Arial"/>
          <w:bCs/>
          <w:iCs/>
          <w:spacing w:val="4"/>
          <w:lang w:eastAsia="pl-PL" w:bidi="pl-PL"/>
        </w:rPr>
        <w:t xml:space="preserve">, </w:t>
      </w:r>
      <w:r w:rsidR="007355AE">
        <w:rPr>
          <w:rFonts w:ascii="Lato" w:eastAsia="Times New Roman" w:hAnsi="Lato" w:cs="Arial"/>
          <w:bCs/>
          <w:iCs/>
          <w:spacing w:val="4"/>
          <w:lang w:eastAsia="pl-PL" w:bidi="pl-PL"/>
        </w:rPr>
        <w:br/>
      </w:r>
      <w:r w:rsidRPr="007355AE">
        <w:rPr>
          <w:rFonts w:ascii="Lato" w:eastAsia="Times New Roman" w:hAnsi="Lato" w:cs="Arial"/>
          <w:bCs/>
          <w:iCs/>
          <w:spacing w:val="4"/>
          <w:lang w:eastAsia="pl-PL" w:bidi="pl-PL"/>
        </w:rPr>
        <w:t>a także wymienione zostały urządzenia podlegające służebności. Są to następujące elementy:</w:t>
      </w:r>
    </w:p>
    <w:p w14:paraId="207D810D" w14:textId="7B4B81A3" w:rsidR="007355AE" w:rsidRPr="007355AE" w:rsidRDefault="007355AE" w:rsidP="007E0CBE">
      <w:pPr>
        <w:pStyle w:val="Akapitzlist"/>
        <w:numPr>
          <w:ilvl w:val="0"/>
          <w:numId w:val="37"/>
        </w:numPr>
        <w:spacing w:after="120" w:line="240" w:lineRule="exact"/>
        <w:ind w:hanging="357"/>
        <w:contextualSpacing w:val="0"/>
        <w:jc w:val="both"/>
        <w:rPr>
          <w:rFonts w:ascii="Lato" w:eastAsia="Times New Roman" w:hAnsi="Lato" w:cs="Arial"/>
          <w:bCs/>
          <w:iCs/>
          <w:spacing w:val="4"/>
          <w:lang w:eastAsia="pl-PL" w:bidi="pl-PL"/>
        </w:rPr>
      </w:pPr>
      <w:r w:rsidRPr="007355AE">
        <w:rPr>
          <w:rFonts w:ascii="Lato" w:eastAsia="Times New Roman" w:hAnsi="Lato" w:cs="Arial"/>
          <w:bCs/>
          <w:iCs/>
          <w:spacing w:val="4"/>
          <w:lang w:eastAsia="pl-PL" w:bidi="pl-PL"/>
        </w:rPr>
        <w:t xml:space="preserve">sieć elektroenergetyczna </w:t>
      </w:r>
      <w:proofErr w:type="spellStart"/>
      <w:r w:rsidRPr="007355AE">
        <w:rPr>
          <w:rFonts w:ascii="Lato" w:eastAsia="Times New Roman" w:hAnsi="Lato" w:cs="Arial"/>
          <w:bCs/>
          <w:iCs/>
          <w:spacing w:val="4"/>
          <w:lang w:eastAsia="pl-PL" w:bidi="pl-PL"/>
        </w:rPr>
        <w:t>eN</w:t>
      </w:r>
      <w:proofErr w:type="spellEnd"/>
      <w:r w:rsidRPr="007355AE">
        <w:rPr>
          <w:rFonts w:ascii="Lato" w:eastAsia="Times New Roman" w:hAnsi="Lato" w:cs="Arial"/>
          <w:bCs/>
          <w:iCs/>
          <w:spacing w:val="4"/>
          <w:lang w:eastAsia="pl-PL" w:bidi="pl-PL"/>
        </w:rPr>
        <w:t xml:space="preserve">: kolor czerwony, pas eksploatacyjny </w:t>
      </w:r>
      <w:r w:rsidR="00656D8C">
        <w:rPr>
          <w:rFonts w:ascii="Lato" w:eastAsia="Times New Roman" w:hAnsi="Lato" w:cs="Arial"/>
          <w:bCs/>
          <w:iCs/>
          <w:spacing w:val="4"/>
          <w:lang w:eastAsia="pl-PL" w:bidi="pl-PL"/>
        </w:rPr>
        <w:br/>
      </w:r>
      <w:r w:rsidRPr="007355AE">
        <w:rPr>
          <w:rFonts w:ascii="Lato" w:eastAsia="Times New Roman" w:hAnsi="Lato" w:cs="Arial"/>
          <w:bCs/>
          <w:iCs/>
          <w:spacing w:val="4"/>
          <w:lang w:eastAsia="pl-PL" w:bidi="pl-PL"/>
        </w:rPr>
        <w:t>o szerokości 2 m (po 1 m od osi przewodu),</w:t>
      </w:r>
    </w:p>
    <w:p w14:paraId="69AE5C2D" w14:textId="3D65CD48" w:rsidR="007E0CBE" w:rsidRDefault="007E0CBE" w:rsidP="007E0CBE">
      <w:pPr>
        <w:pStyle w:val="Akapitzlist"/>
        <w:numPr>
          <w:ilvl w:val="0"/>
          <w:numId w:val="37"/>
        </w:numPr>
        <w:spacing w:after="120" w:line="240" w:lineRule="exact"/>
        <w:contextualSpacing w:val="0"/>
        <w:jc w:val="both"/>
        <w:rPr>
          <w:rFonts w:ascii="Lato" w:eastAsia="Times New Roman" w:hAnsi="Lato" w:cs="Arial"/>
          <w:bCs/>
          <w:iCs/>
          <w:spacing w:val="4"/>
          <w:lang w:eastAsia="pl-PL" w:bidi="pl-PL"/>
        </w:rPr>
      </w:pPr>
      <w:r w:rsidRPr="007E0CBE">
        <w:rPr>
          <w:rFonts w:ascii="Lato" w:eastAsia="Times New Roman" w:hAnsi="Lato" w:cs="Arial"/>
          <w:bCs/>
          <w:iCs/>
          <w:spacing w:val="4"/>
          <w:lang w:eastAsia="pl-PL" w:bidi="pl-PL"/>
        </w:rPr>
        <w:t xml:space="preserve">sieć teletechniczna t2: kolor pomarańczowy, pas eksploatacyjny </w:t>
      </w:r>
      <w:r w:rsidR="004C1131">
        <w:rPr>
          <w:rFonts w:ascii="Lato" w:eastAsia="Times New Roman" w:hAnsi="Lato" w:cs="Arial"/>
          <w:bCs/>
          <w:iCs/>
          <w:spacing w:val="4"/>
          <w:lang w:eastAsia="pl-PL" w:bidi="pl-PL"/>
        </w:rPr>
        <w:br/>
      </w:r>
      <w:r w:rsidRPr="007E0CBE">
        <w:rPr>
          <w:rFonts w:ascii="Lato" w:eastAsia="Times New Roman" w:hAnsi="Lato" w:cs="Arial"/>
          <w:bCs/>
          <w:iCs/>
          <w:spacing w:val="4"/>
          <w:lang w:eastAsia="pl-PL" w:bidi="pl-PL"/>
        </w:rPr>
        <w:t>o szerokości 2 m (po 1 m od osi przewodu).</w:t>
      </w:r>
    </w:p>
    <w:p w14:paraId="06F4FF42" w14:textId="77777777" w:rsidR="007E0CBE" w:rsidRDefault="007E0CBE" w:rsidP="00656D8C">
      <w:pPr>
        <w:pStyle w:val="Akapitzlist"/>
        <w:numPr>
          <w:ilvl w:val="0"/>
          <w:numId w:val="36"/>
        </w:numPr>
        <w:spacing w:after="120" w:line="240" w:lineRule="exact"/>
        <w:ind w:left="924" w:hanging="357"/>
        <w:contextualSpacing w:val="0"/>
        <w:jc w:val="both"/>
        <w:rPr>
          <w:rFonts w:ascii="Lato" w:eastAsia="Times New Roman" w:hAnsi="Lato" w:cs="Arial"/>
          <w:bCs/>
          <w:iCs/>
          <w:spacing w:val="4"/>
          <w:lang w:eastAsia="pl-PL" w:bidi="pl-PL"/>
        </w:rPr>
      </w:pPr>
      <w:r w:rsidRPr="007E0CBE">
        <w:rPr>
          <w:rFonts w:ascii="Lato" w:eastAsia="Times New Roman" w:hAnsi="Lato" w:cs="Arial"/>
          <w:bCs/>
          <w:iCs/>
          <w:spacing w:val="4"/>
          <w:lang w:eastAsia="pl-PL" w:bidi="pl-PL"/>
        </w:rPr>
        <w:t>ustanowiona służebność polega na:</w:t>
      </w:r>
    </w:p>
    <w:p w14:paraId="4CC7D45F" w14:textId="14E4CAF0" w:rsidR="007E0CBE" w:rsidRPr="007E0CBE" w:rsidRDefault="007E0CBE" w:rsidP="00656D8C">
      <w:pPr>
        <w:pStyle w:val="Akapitzlist"/>
        <w:numPr>
          <w:ilvl w:val="0"/>
          <w:numId w:val="38"/>
        </w:numPr>
        <w:spacing w:after="120" w:line="240" w:lineRule="exact"/>
        <w:ind w:hanging="357"/>
        <w:contextualSpacing w:val="0"/>
        <w:jc w:val="both"/>
        <w:rPr>
          <w:rFonts w:ascii="Lato" w:eastAsia="Times New Roman" w:hAnsi="Lato" w:cs="Arial"/>
          <w:bCs/>
          <w:iCs/>
          <w:spacing w:val="4"/>
          <w:lang w:eastAsia="pl-PL" w:bidi="pl-PL"/>
        </w:rPr>
      </w:pPr>
      <w:r w:rsidRPr="007E0CBE">
        <w:rPr>
          <w:rFonts w:ascii="Lato" w:eastAsia="Times New Roman" w:hAnsi="Lato" w:cs="Arial"/>
          <w:bCs/>
          <w:iCs/>
          <w:spacing w:val="4"/>
          <w:lang w:eastAsia="pl-PL" w:bidi="pl-PL"/>
        </w:rPr>
        <w:t>prawie do korzystania z nieruchomości obciążonej w zakresie niezbędnym</w:t>
      </w:r>
      <w:r w:rsidR="00FB61EE">
        <w:rPr>
          <w:rFonts w:ascii="Lato" w:eastAsia="Times New Roman" w:hAnsi="Lato" w:cs="Arial"/>
          <w:bCs/>
          <w:iCs/>
          <w:spacing w:val="4"/>
          <w:lang w:eastAsia="pl-PL" w:bidi="pl-PL"/>
        </w:rPr>
        <w:t xml:space="preserve"> </w:t>
      </w:r>
      <w:r w:rsidRPr="007E0CBE">
        <w:rPr>
          <w:rFonts w:ascii="Lato" w:eastAsia="Times New Roman" w:hAnsi="Lato" w:cs="Arial"/>
          <w:bCs/>
          <w:iCs/>
          <w:spacing w:val="4"/>
          <w:lang w:eastAsia="pl-PL" w:bidi="pl-PL"/>
        </w:rPr>
        <w:t xml:space="preserve">do wykonywania wszelkich prac eksploatacyjnych, obsługi, przeprowadzania kontroli, przeglądów, konserwacji, modernizacji, usuwania awarii, naprawy, remontów, przebudowy, rozbudowy i wymiany urządzeń przesyłowych wchodzących w skład przedsiębiorstwa Rafineria Gdańska Sp. z o.o., tj. odcinków sieci elektroenergetycznej i teletechnicznej wraz </w:t>
      </w:r>
      <w:r>
        <w:rPr>
          <w:rFonts w:ascii="Lato" w:eastAsia="Times New Roman" w:hAnsi="Lato" w:cs="Arial"/>
          <w:bCs/>
          <w:iCs/>
          <w:spacing w:val="4"/>
          <w:lang w:eastAsia="pl-PL" w:bidi="pl-PL"/>
        </w:rPr>
        <w:br/>
      </w:r>
      <w:r w:rsidRPr="007E0CBE">
        <w:rPr>
          <w:rFonts w:ascii="Lato" w:eastAsia="Times New Roman" w:hAnsi="Lato" w:cs="Arial"/>
          <w:bCs/>
          <w:iCs/>
          <w:spacing w:val="4"/>
          <w:lang w:eastAsia="pl-PL" w:bidi="pl-PL"/>
        </w:rPr>
        <w:t>z elementami infrastruktury towarzyszącej, z obowiązkiem przywrócenia do stanu poprzedniego po każdorazowym wejściu na nieruchomość obciążoną;</w:t>
      </w:r>
    </w:p>
    <w:p w14:paraId="292B2046" w14:textId="392BA208" w:rsidR="007E0CBE" w:rsidRPr="007E0CBE" w:rsidRDefault="007E0CBE" w:rsidP="00656D8C">
      <w:pPr>
        <w:pStyle w:val="Akapitzlist"/>
        <w:numPr>
          <w:ilvl w:val="0"/>
          <w:numId w:val="38"/>
        </w:numPr>
        <w:spacing w:after="120" w:line="240" w:lineRule="exact"/>
        <w:ind w:hanging="357"/>
        <w:contextualSpacing w:val="0"/>
        <w:jc w:val="both"/>
        <w:rPr>
          <w:rFonts w:ascii="Lato" w:eastAsia="Times New Roman" w:hAnsi="Lato" w:cs="Arial"/>
          <w:bCs/>
          <w:iCs/>
          <w:spacing w:val="4"/>
          <w:lang w:eastAsia="pl-PL" w:bidi="pl-PL"/>
        </w:rPr>
      </w:pPr>
      <w:r w:rsidRPr="007E0CBE">
        <w:rPr>
          <w:rFonts w:ascii="Lato" w:eastAsia="Times New Roman" w:hAnsi="Lato" w:cs="Arial"/>
          <w:bCs/>
          <w:iCs/>
          <w:spacing w:val="4"/>
          <w:lang w:eastAsia="pl-PL" w:bidi="pl-PL"/>
        </w:rPr>
        <w:t xml:space="preserve">prawie do całodobowego, nieutrudnionego dostępu do nieruchomości obciążonej (wejścia, wjazdu, przechodu, przejazdu, dojścia, dojazdu) dla pracowników spółki Rafineria Gdańska Sp. z o.o. i jej następców prawnych oraz osób i podmiotów działających z upoważnienia Rafinerii Gdańskiej </w:t>
      </w:r>
      <w:r w:rsidR="004C1131">
        <w:rPr>
          <w:rFonts w:ascii="Lato" w:eastAsia="Times New Roman" w:hAnsi="Lato" w:cs="Arial"/>
          <w:bCs/>
          <w:iCs/>
          <w:spacing w:val="4"/>
          <w:lang w:eastAsia="pl-PL" w:bidi="pl-PL"/>
        </w:rPr>
        <w:br/>
      </w:r>
      <w:r w:rsidRPr="007E0CBE">
        <w:rPr>
          <w:rFonts w:ascii="Lato" w:eastAsia="Times New Roman" w:hAnsi="Lato" w:cs="Arial"/>
          <w:bCs/>
          <w:iCs/>
          <w:spacing w:val="4"/>
          <w:lang w:eastAsia="pl-PL" w:bidi="pl-PL"/>
        </w:rPr>
        <w:t>Sp. z o.o. i jej następców prawnych, wraz z niezbędnym sprzętem w zakresie niezbędnym do wykonania powyższych czynności;</w:t>
      </w:r>
    </w:p>
    <w:p w14:paraId="03EFD735" w14:textId="77777777" w:rsidR="007E0CBE" w:rsidRPr="007E0CBE" w:rsidRDefault="007E0CBE" w:rsidP="00656D8C">
      <w:pPr>
        <w:pStyle w:val="Akapitzlist"/>
        <w:numPr>
          <w:ilvl w:val="0"/>
          <w:numId w:val="38"/>
        </w:numPr>
        <w:spacing w:after="120" w:line="240" w:lineRule="exact"/>
        <w:ind w:hanging="357"/>
        <w:contextualSpacing w:val="0"/>
        <w:jc w:val="both"/>
        <w:rPr>
          <w:rFonts w:ascii="Lato" w:eastAsia="Times New Roman" w:hAnsi="Lato" w:cs="Arial"/>
          <w:bCs/>
          <w:iCs/>
          <w:spacing w:val="4"/>
          <w:lang w:eastAsia="pl-PL" w:bidi="pl-PL"/>
        </w:rPr>
      </w:pPr>
      <w:r w:rsidRPr="007E0CBE">
        <w:rPr>
          <w:rFonts w:ascii="Lato" w:eastAsia="Times New Roman" w:hAnsi="Lato" w:cs="Arial"/>
          <w:bCs/>
          <w:iCs/>
          <w:spacing w:val="4"/>
          <w:lang w:eastAsia="pl-PL" w:bidi="pl-PL"/>
        </w:rPr>
        <w:t>znoszeniu istnienia znajdujących się na nieruchomości obciążonej urządzeń, wraz z niezbędną infrastrukturą oraz terenem koniecznym do prawidłowego funkcjonowania;</w:t>
      </w:r>
    </w:p>
    <w:p w14:paraId="3E33D8FE" w14:textId="7A94F9D3" w:rsidR="00545006" w:rsidRPr="00C3364C" w:rsidRDefault="007E0CBE" w:rsidP="00656D8C">
      <w:pPr>
        <w:pStyle w:val="Akapitzlist"/>
        <w:numPr>
          <w:ilvl w:val="0"/>
          <w:numId w:val="38"/>
        </w:numPr>
        <w:spacing w:after="240" w:line="240" w:lineRule="exact"/>
        <w:ind w:left="1281" w:hanging="357"/>
        <w:contextualSpacing w:val="0"/>
        <w:jc w:val="both"/>
        <w:rPr>
          <w:rFonts w:ascii="Lato" w:eastAsia="Times New Roman" w:hAnsi="Lato" w:cs="Arial"/>
          <w:bCs/>
          <w:iCs/>
          <w:spacing w:val="4"/>
          <w:lang w:eastAsia="pl-PL" w:bidi="pl-PL"/>
        </w:rPr>
      </w:pPr>
      <w:r w:rsidRPr="007E0CBE">
        <w:rPr>
          <w:rFonts w:ascii="Lato" w:eastAsia="Times New Roman" w:hAnsi="Lato" w:cs="Arial"/>
          <w:bCs/>
          <w:iCs/>
          <w:spacing w:val="4"/>
          <w:lang w:eastAsia="pl-PL" w:bidi="pl-PL"/>
        </w:rPr>
        <w:t xml:space="preserve">obowiązku każdoczesnego użytkownika wieczystego nieruchomości obciążonej powstrzymywania się od działań, które uniemożliwiłyby lub utrudniłyby Rafinerii Gdańskiej Sp. z o.o. i jej następcom prawnym dostęp do urządzeń przesyłowych lub korzystanie z nich, wraz z terenem koniecznym do ich prawidłowego funkcjonowania, zgodnie </w:t>
      </w:r>
      <w:r w:rsidR="004C1131">
        <w:rPr>
          <w:rFonts w:ascii="Lato" w:eastAsia="Times New Roman" w:hAnsi="Lato" w:cs="Arial"/>
          <w:bCs/>
          <w:iCs/>
          <w:spacing w:val="4"/>
          <w:lang w:eastAsia="pl-PL" w:bidi="pl-PL"/>
        </w:rPr>
        <w:br/>
      </w:r>
      <w:r w:rsidRPr="007E0CBE">
        <w:rPr>
          <w:rFonts w:ascii="Lato" w:eastAsia="Times New Roman" w:hAnsi="Lato" w:cs="Arial"/>
          <w:bCs/>
          <w:iCs/>
          <w:spacing w:val="4"/>
          <w:lang w:eastAsia="pl-PL" w:bidi="pl-PL"/>
        </w:rPr>
        <w:t xml:space="preserve">z przeznaczeniem, w tym powstrzymywania się od wybudowania budowli kubaturowych w pasie służebności, przy czym użytkownik wieczysty obciążonej nieruchomości uprawniony jest do utwardzenia powierzchni ziemi znajdującej się nad urządzeniami opisanymi powyżej wykonanego </w:t>
      </w:r>
      <w:r w:rsidR="00656D8C">
        <w:rPr>
          <w:rFonts w:ascii="Lato" w:eastAsia="Times New Roman" w:hAnsi="Lato" w:cs="Arial"/>
          <w:bCs/>
          <w:iCs/>
          <w:spacing w:val="4"/>
          <w:lang w:eastAsia="pl-PL" w:bidi="pl-PL"/>
        </w:rPr>
        <w:br/>
      </w:r>
      <w:r w:rsidRPr="007E0CBE">
        <w:rPr>
          <w:rFonts w:ascii="Lato" w:eastAsia="Times New Roman" w:hAnsi="Lato" w:cs="Arial"/>
          <w:bCs/>
          <w:iCs/>
          <w:spacing w:val="4"/>
          <w:lang w:eastAsia="pl-PL" w:bidi="pl-PL"/>
        </w:rPr>
        <w:t>z materiałów rozbieralnych.</w:t>
      </w:r>
      <w:r w:rsidR="00C3364C">
        <w:rPr>
          <w:rFonts w:ascii="Lato" w:eastAsia="Times New Roman" w:hAnsi="Lato" w:cs="Arial"/>
          <w:bCs/>
          <w:iCs/>
          <w:spacing w:val="4"/>
          <w:lang w:eastAsia="pl-PL" w:bidi="pl-PL"/>
        </w:rPr>
        <w:t>”,</w:t>
      </w:r>
    </w:p>
    <w:p w14:paraId="72B05407" w14:textId="6A9D5DD7" w:rsidR="008B7B61" w:rsidRPr="00C3364C" w:rsidRDefault="00C1630E" w:rsidP="00C3321C">
      <w:pPr>
        <w:numPr>
          <w:ilvl w:val="0"/>
          <w:numId w:val="12"/>
        </w:numPr>
        <w:spacing w:after="240" w:line="240" w:lineRule="exact"/>
        <w:ind w:left="567" w:hanging="283"/>
        <w:jc w:val="both"/>
        <w:rPr>
          <w:rFonts w:ascii="Lato" w:eastAsia="Calibri" w:hAnsi="Lato" w:cs="Arial"/>
          <w:bCs/>
          <w:spacing w:val="4"/>
        </w:rPr>
      </w:pPr>
      <w:r w:rsidRPr="00C3364C">
        <w:rPr>
          <w:rFonts w:ascii="Lato" w:eastAsia="Calibri" w:hAnsi="Lato" w:cs="Arial"/>
          <w:spacing w:val="4"/>
        </w:rPr>
        <w:t xml:space="preserve">ustalenie, w rozstrzygnięciu </w:t>
      </w:r>
      <w:r w:rsidR="003C428B" w:rsidRPr="00C3364C">
        <w:rPr>
          <w:rFonts w:ascii="Lato" w:eastAsia="Calibri" w:hAnsi="Lato" w:cs="Arial"/>
          <w:spacing w:val="4"/>
        </w:rPr>
        <w:t xml:space="preserve">zaskarżonej </w:t>
      </w:r>
      <w:r w:rsidRPr="00C3364C">
        <w:rPr>
          <w:rFonts w:ascii="Lato" w:eastAsia="Calibri" w:hAnsi="Lato" w:cs="Arial"/>
          <w:spacing w:val="4"/>
        </w:rPr>
        <w:t xml:space="preserve">decyzji, w miejsce uchylenia, </w:t>
      </w:r>
      <w:r w:rsidR="008B7B61" w:rsidRPr="00C3364C">
        <w:rPr>
          <w:rFonts w:ascii="Lato" w:eastAsia="Calibri" w:hAnsi="Lato" w:cs="Arial"/>
          <w:spacing w:val="4"/>
        </w:rPr>
        <w:t xml:space="preserve">na </w:t>
      </w:r>
      <w:r w:rsidR="008B7B61" w:rsidRPr="00C3364C">
        <w:rPr>
          <w:rFonts w:ascii="Lato" w:eastAsia="Calibri" w:hAnsi="Lato" w:cs="Arial"/>
          <w:bCs/>
          <w:spacing w:val="4"/>
        </w:rPr>
        <w:t>stronie 9, zapisów stanowiących nową treść pkt XII zaskarżonej decyzji:</w:t>
      </w:r>
    </w:p>
    <w:p w14:paraId="737DCE5D" w14:textId="7ACC43B1" w:rsidR="008B7B61" w:rsidRPr="00C3364C" w:rsidRDefault="008B7B61" w:rsidP="00C3321C">
      <w:pPr>
        <w:spacing w:after="240" w:line="240" w:lineRule="exact"/>
        <w:ind w:left="567"/>
        <w:jc w:val="both"/>
        <w:rPr>
          <w:rFonts w:ascii="Lato" w:eastAsia="Calibri" w:hAnsi="Lato" w:cs="Arial"/>
          <w:b/>
          <w:spacing w:val="4"/>
        </w:rPr>
      </w:pPr>
      <w:r w:rsidRPr="00C3364C">
        <w:rPr>
          <w:rFonts w:ascii="Lato" w:eastAsia="Calibri" w:hAnsi="Lato" w:cs="Arial"/>
          <w:b/>
          <w:spacing w:val="4"/>
        </w:rPr>
        <w:t>„</w:t>
      </w:r>
      <w:r w:rsidRPr="00C3364C">
        <w:rPr>
          <w:rFonts w:ascii="Lato" w:eastAsia="Calibri" w:hAnsi="Lato" w:cs="Arial"/>
          <w:b/>
          <w:spacing w:val="4"/>
          <w:u w:val="single"/>
        </w:rPr>
        <w:t>XII. Termin wydania nieruchomości lub opróżnienia lokali i innych pomieszczeń</w:t>
      </w:r>
      <w:r w:rsidRPr="00C3364C">
        <w:rPr>
          <w:rFonts w:ascii="Lato" w:eastAsia="Calibri" w:hAnsi="Lato" w:cs="Arial"/>
          <w:b/>
          <w:spacing w:val="4"/>
        </w:rPr>
        <w:t>.</w:t>
      </w:r>
    </w:p>
    <w:p w14:paraId="3710FE1D" w14:textId="1117FC48" w:rsidR="008B7B61" w:rsidRPr="00656D8C" w:rsidRDefault="008B7B61" w:rsidP="00C3321C">
      <w:pPr>
        <w:spacing w:after="240" w:line="240" w:lineRule="exact"/>
        <w:ind w:left="567"/>
        <w:jc w:val="both"/>
        <w:rPr>
          <w:rFonts w:ascii="Lato" w:eastAsia="Calibri" w:hAnsi="Lato" w:cs="Arial"/>
          <w:bCs/>
          <w:spacing w:val="4"/>
        </w:rPr>
      </w:pPr>
      <w:r w:rsidRPr="00C3364C">
        <w:rPr>
          <w:rFonts w:ascii="Lato" w:eastAsia="Calibri" w:hAnsi="Lato" w:cs="Arial"/>
          <w:bCs/>
          <w:spacing w:val="4"/>
        </w:rPr>
        <w:t xml:space="preserve">Zgodnie z art. 8 ust. 1 pkt 12 </w:t>
      </w:r>
      <w:r w:rsidR="007355AE" w:rsidRPr="00C3364C">
        <w:rPr>
          <w:rFonts w:ascii="Lato" w:eastAsia="Calibri" w:hAnsi="Lato" w:cs="Arial"/>
          <w:bCs/>
          <w:iCs/>
          <w:spacing w:val="4"/>
          <w:lang w:bidi="pl-PL"/>
        </w:rPr>
        <w:t xml:space="preserve">ustawy z dnia 22 lutego 2019 r. o przygotowaniu </w:t>
      </w:r>
      <w:r w:rsidR="00656D8C">
        <w:rPr>
          <w:rFonts w:ascii="Lato" w:eastAsia="Calibri" w:hAnsi="Lato" w:cs="Arial"/>
          <w:bCs/>
          <w:iCs/>
          <w:spacing w:val="4"/>
          <w:lang w:bidi="pl-PL"/>
        </w:rPr>
        <w:br/>
      </w:r>
      <w:r w:rsidR="007355AE" w:rsidRPr="00C3364C">
        <w:rPr>
          <w:rFonts w:ascii="Lato" w:eastAsia="Calibri" w:hAnsi="Lato" w:cs="Arial"/>
          <w:bCs/>
          <w:iCs/>
          <w:spacing w:val="4"/>
          <w:lang w:bidi="pl-PL"/>
        </w:rPr>
        <w:t>i realizacji strategicznych inwestycji w sektorze naftowym</w:t>
      </w:r>
      <w:r w:rsidR="00656D8C">
        <w:rPr>
          <w:rFonts w:ascii="Lato" w:eastAsia="Calibri" w:hAnsi="Lato" w:cs="Arial"/>
          <w:bCs/>
          <w:spacing w:val="4"/>
        </w:rPr>
        <w:t xml:space="preserve">, </w:t>
      </w:r>
      <w:r w:rsidRPr="00C3364C">
        <w:rPr>
          <w:rFonts w:ascii="Lato" w:eastAsia="Times New Roman" w:hAnsi="Lato" w:cs="Arial"/>
          <w:bCs/>
          <w:spacing w:val="4"/>
          <w:lang w:eastAsia="pl-PL"/>
        </w:rPr>
        <w:t xml:space="preserve">określam termin wydania nieruchomości, o których mowa w pkt </w:t>
      </w:r>
      <w:r w:rsidR="009A3F68" w:rsidRPr="00C3364C">
        <w:rPr>
          <w:rFonts w:ascii="Lato" w:eastAsia="Times New Roman" w:hAnsi="Lato" w:cs="Arial"/>
          <w:bCs/>
          <w:spacing w:val="4"/>
          <w:lang w:eastAsia="pl-PL"/>
        </w:rPr>
        <w:t>VII i pkt VIII niniejszej decyzji, lub opróżnienia lokali i innych pomieszczeń – na 28</w:t>
      </w:r>
      <w:r w:rsidR="00656D8C">
        <w:rPr>
          <w:rFonts w:ascii="Lato" w:eastAsia="Times New Roman" w:hAnsi="Lato" w:cs="Arial"/>
          <w:bCs/>
          <w:spacing w:val="4"/>
          <w:lang w:eastAsia="pl-PL"/>
        </w:rPr>
        <w:t xml:space="preserve"> </w:t>
      </w:r>
      <w:r w:rsidR="009A3F68" w:rsidRPr="00C3364C">
        <w:rPr>
          <w:rFonts w:ascii="Lato" w:eastAsia="Times New Roman" w:hAnsi="Lato" w:cs="Arial"/>
          <w:bCs/>
          <w:spacing w:val="4"/>
          <w:lang w:eastAsia="pl-PL"/>
        </w:rPr>
        <w:t xml:space="preserve">dzień od dnia otrzymania od inwestora (PERN S.A.) wezwania do wydania nieruchomości </w:t>
      </w:r>
      <w:r w:rsidRPr="00C3364C">
        <w:rPr>
          <w:rFonts w:ascii="Lato" w:eastAsia="Times New Roman" w:hAnsi="Lato" w:cs="Arial"/>
          <w:bCs/>
          <w:spacing w:val="4"/>
          <w:lang w:eastAsia="pl-PL"/>
        </w:rPr>
        <w:t>lub wydania nieruchomości i opróżnienia lokali oraz innych pomieszczeń.”.</w:t>
      </w:r>
    </w:p>
    <w:p w14:paraId="38BFA256" w14:textId="598D4A8C" w:rsidR="00C3364C" w:rsidRPr="008E36A3" w:rsidRDefault="00C3364C" w:rsidP="00C3321C">
      <w:pPr>
        <w:pStyle w:val="Akapitzlist"/>
        <w:numPr>
          <w:ilvl w:val="0"/>
          <w:numId w:val="13"/>
        </w:numPr>
        <w:spacing w:after="240" w:line="240" w:lineRule="exact"/>
        <w:ind w:left="567" w:hanging="283"/>
        <w:contextualSpacing w:val="0"/>
        <w:jc w:val="both"/>
        <w:rPr>
          <w:rFonts w:ascii="Lato" w:eastAsia="Times New Roman" w:hAnsi="Lato" w:cs="Arial"/>
          <w:spacing w:val="4"/>
          <w:lang w:eastAsia="pl-PL"/>
        </w:rPr>
      </w:pPr>
      <w:r w:rsidRPr="008E36A3">
        <w:rPr>
          <w:rFonts w:ascii="Lato" w:hAnsi="Lato" w:cs="Arial"/>
          <w:spacing w:val="4"/>
        </w:rPr>
        <w:lastRenderedPageBreak/>
        <w:t xml:space="preserve">zatwierdzenie, w miejsce uchylenia, zamiennej mapy pn.: „Teren zamknięty – Rafineria w Gdańsku Plan Sytuacyjny skala 1:500”) określającej granice terenu objętego inwestycją - stanowiącej załącznik nr 1 do decyzji niniejszej decyzji </w:t>
      </w:r>
      <w:r w:rsidR="00BE4034">
        <w:rPr>
          <w:rFonts w:ascii="Lato" w:hAnsi="Lato" w:cs="Arial"/>
          <w:spacing w:val="4"/>
        </w:rPr>
        <w:br/>
      </w:r>
      <w:r w:rsidRPr="008E36A3">
        <w:rPr>
          <w:rFonts w:ascii="Lato" w:hAnsi="Lato" w:cs="Arial"/>
          <w:spacing w:val="4"/>
        </w:rPr>
        <w:t xml:space="preserve">– w zakresie dotyczącym </w:t>
      </w:r>
      <w:r w:rsidR="00B12196" w:rsidRPr="008E36A3">
        <w:rPr>
          <w:rFonts w:ascii="Lato" w:hAnsi="Lato" w:cs="Arial"/>
          <w:spacing w:val="4"/>
        </w:rPr>
        <w:t xml:space="preserve">granic </w:t>
      </w:r>
      <w:r w:rsidRPr="008E36A3">
        <w:rPr>
          <w:rFonts w:ascii="Lato" w:hAnsi="Lato" w:cs="Arial"/>
          <w:spacing w:val="4"/>
        </w:rPr>
        <w:t xml:space="preserve">obszaru na działce nr 75/92 (powstałej z podziału działki nr 75/90), z obrębu 0300 w Gdańsku, w stosunku do którego decyzja </w:t>
      </w:r>
      <w:r w:rsidR="00B12196" w:rsidRPr="008E36A3">
        <w:rPr>
          <w:rFonts w:ascii="Lato" w:hAnsi="Lato" w:cs="Arial"/>
          <w:spacing w:val="4"/>
        </w:rPr>
        <w:br/>
      </w:r>
      <w:r w:rsidRPr="008E36A3">
        <w:rPr>
          <w:rFonts w:ascii="Lato" w:hAnsi="Lato" w:cs="Arial"/>
          <w:spacing w:val="4"/>
        </w:rPr>
        <w:t xml:space="preserve">o ustaleniu lokalizacji strategicznej inwestycji w sektorze naftowym ma wywołać skutek, o którym mowa w </w:t>
      </w:r>
      <w:r w:rsidRPr="008E36A3">
        <w:rPr>
          <w:rFonts w:ascii="Lato" w:eastAsia="Times New Roman" w:hAnsi="Lato" w:cs="Arial"/>
          <w:spacing w:val="4"/>
          <w:lang w:eastAsia="pl-PL"/>
        </w:rPr>
        <w:t xml:space="preserve">art. 30 ust. 3 </w:t>
      </w:r>
      <w:r w:rsidRPr="008E36A3">
        <w:rPr>
          <w:rFonts w:ascii="Lato" w:eastAsia="Times New Roman" w:hAnsi="Lato" w:cs="Arial"/>
          <w:bCs/>
          <w:iCs/>
          <w:spacing w:val="4"/>
          <w:lang w:eastAsia="pl-PL"/>
        </w:rPr>
        <w:t xml:space="preserve">ustawy z dnia 22 lutego 2019 r. </w:t>
      </w:r>
      <w:r w:rsidR="008E36A3">
        <w:rPr>
          <w:rFonts w:ascii="Lato" w:eastAsia="Times New Roman" w:hAnsi="Lato" w:cs="Arial"/>
          <w:bCs/>
          <w:iCs/>
          <w:spacing w:val="4"/>
          <w:lang w:eastAsia="pl-PL"/>
        </w:rPr>
        <w:br/>
      </w:r>
      <w:r w:rsidRPr="008E36A3">
        <w:rPr>
          <w:rFonts w:ascii="Lato" w:eastAsia="Times New Roman" w:hAnsi="Lato" w:cs="Arial"/>
          <w:bCs/>
          <w:iCs/>
          <w:spacing w:val="4"/>
          <w:lang w:eastAsia="pl-PL"/>
        </w:rPr>
        <w:t>o przygotowaniu i realizacji strategicznych inwestycji w sektorze naftowym,</w:t>
      </w:r>
    </w:p>
    <w:p w14:paraId="7390C4D0" w14:textId="7B739728" w:rsidR="00637E4A" w:rsidRPr="009E139B" w:rsidRDefault="00C1630E" w:rsidP="00C3321C">
      <w:pPr>
        <w:numPr>
          <w:ilvl w:val="0"/>
          <w:numId w:val="13"/>
        </w:numPr>
        <w:spacing w:after="240" w:line="240" w:lineRule="exact"/>
        <w:ind w:left="567" w:hanging="283"/>
        <w:jc w:val="both"/>
        <w:rPr>
          <w:rFonts w:ascii="Lato" w:eastAsia="Calibri" w:hAnsi="Lato" w:cs="Arial"/>
          <w:bCs/>
          <w:spacing w:val="4"/>
        </w:rPr>
      </w:pPr>
      <w:r w:rsidRPr="00257DC5">
        <w:rPr>
          <w:rFonts w:ascii="Lato" w:eastAsia="Calibri" w:hAnsi="Lato" w:cs="Arial"/>
          <w:bCs/>
          <w:spacing w:val="4"/>
          <w:lang w:bidi="pl-PL"/>
        </w:rPr>
        <w:t>zatwierdzenie</w:t>
      </w:r>
      <w:r w:rsidR="00257DC5" w:rsidRPr="00257DC5">
        <w:rPr>
          <w:rFonts w:ascii="Lato" w:eastAsia="Calibri" w:hAnsi="Lato" w:cs="Arial"/>
          <w:bCs/>
          <w:spacing w:val="4"/>
          <w:lang w:bidi="pl-PL"/>
        </w:rPr>
        <w:t xml:space="preserve"> map</w:t>
      </w:r>
      <w:r w:rsidR="00257DC5" w:rsidRPr="00257DC5">
        <w:rPr>
          <w:rFonts w:ascii="Lato" w:eastAsia="Calibri" w:hAnsi="Lato" w:cs="Arial"/>
          <w:bCs/>
          <w:iCs/>
          <w:spacing w:val="4"/>
          <w:lang w:bidi="pl-PL"/>
        </w:rPr>
        <w:t xml:space="preserve">y przedstawiającej zakres służebności na działce nr </w:t>
      </w:r>
      <w:r w:rsidR="009E139B" w:rsidRPr="009E139B">
        <w:rPr>
          <w:rFonts w:ascii="Lato" w:eastAsia="Calibri" w:hAnsi="Lato" w:cs="Arial"/>
          <w:bCs/>
          <w:iCs/>
          <w:spacing w:val="4"/>
          <w:lang w:bidi="pl-PL"/>
        </w:rPr>
        <w:t xml:space="preserve">75/91 (powstałej z podziału działki nr 75/90), z obrębu 0300 </w:t>
      </w:r>
      <w:r w:rsidR="009E139B">
        <w:rPr>
          <w:rFonts w:ascii="Lato" w:eastAsia="Calibri" w:hAnsi="Lato" w:cs="Arial"/>
          <w:bCs/>
          <w:iCs/>
          <w:spacing w:val="4"/>
          <w:lang w:bidi="pl-PL"/>
        </w:rPr>
        <w:t xml:space="preserve">w </w:t>
      </w:r>
      <w:r w:rsidR="009E139B" w:rsidRPr="009E139B">
        <w:rPr>
          <w:rFonts w:ascii="Lato" w:eastAsia="Calibri" w:hAnsi="Lato" w:cs="Arial"/>
          <w:bCs/>
          <w:iCs/>
          <w:spacing w:val="4"/>
          <w:lang w:bidi="pl-PL"/>
        </w:rPr>
        <w:t>Gdańsku</w:t>
      </w:r>
      <w:r w:rsidR="00637E4A" w:rsidRPr="009E139B">
        <w:rPr>
          <w:rFonts w:ascii="Lato" w:eastAsia="Calibri" w:hAnsi="Lato" w:cs="Arial"/>
          <w:bCs/>
          <w:spacing w:val="4"/>
        </w:rPr>
        <w:t xml:space="preserve">, </w:t>
      </w:r>
      <w:r w:rsidR="00637E4A" w:rsidRPr="009E139B">
        <w:rPr>
          <w:rFonts w:ascii="Lato" w:eastAsia="Calibri" w:hAnsi="Lato" w:cs="Arial"/>
          <w:spacing w:val="4"/>
        </w:rPr>
        <w:t xml:space="preserve">stanowiącej załącznik nr </w:t>
      </w:r>
      <w:r w:rsidR="009E139B">
        <w:rPr>
          <w:rFonts w:ascii="Lato" w:eastAsia="Calibri" w:hAnsi="Lato" w:cs="Arial"/>
          <w:spacing w:val="4"/>
        </w:rPr>
        <w:t>2</w:t>
      </w:r>
      <w:r w:rsidR="00637E4A" w:rsidRPr="009E139B">
        <w:rPr>
          <w:rFonts w:ascii="Lato" w:eastAsia="Calibri" w:hAnsi="Lato" w:cs="Arial"/>
          <w:spacing w:val="4"/>
        </w:rPr>
        <w:t xml:space="preserve"> do niniejszej decyzji.</w:t>
      </w:r>
    </w:p>
    <w:p w14:paraId="5616266A" w14:textId="039F2AB6" w:rsidR="00C1630E" w:rsidRPr="00257DC5" w:rsidRDefault="00C1630E" w:rsidP="00C3321C">
      <w:pPr>
        <w:numPr>
          <w:ilvl w:val="0"/>
          <w:numId w:val="11"/>
        </w:numPr>
        <w:tabs>
          <w:tab w:val="left" w:pos="284"/>
        </w:tabs>
        <w:spacing w:after="600" w:line="240" w:lineRule="exact"/>
        <w:ind w:left="284" w:hanging="142"/>
        <w:rPr>
          <w:rFonts w:ascii="Lato" w:eastAsia="Times New Roman" w:hAnsi="Lato" w:cs="Arial"/>
          <w:spacing w:val="4"/>
          <w:lang w:eastAsia="pl-PL"/>
        </w:rPr>
      </w:pPr>
      <w:r w:rsidRPr="00257DC5">
        <w:rPr>
          <w:rFonts w:ascii="Lato" w:eastAsia="Times New Roman" w:hAnsi="Lato" w:cs="Arial"/>
          <w:b/>
          <w:spacing w:val="4"/>
          <w:lang w:eastAsia="pl-PL"/>
        </w:rPr>
        <w:t xml:space="preserve">W pozostałej części </w:t>
      </w:r>
      <w:r w:rsidR="00713FDF" w:rsidRPr="00257DC5">
        <w:rPr>
          <w:rFonts w:ascii="Lato" w:eastAsia="Times New Roman" w:hAnsi="Lato" w:cs="Arial"/>
          <w:b/>
          <w:spacing w:val="4"/>
          <w:lang w:eastAsia="pl-PL"/>
        </w:rPr>
        <w:t xml:space="preserve">zaskarżoną </w:t>
      </w:r>
      <w:r w:rsidRPr="00257DC5">
        <w:rPr>
          <w:rFonts w:ascii="Lato" w:eastAsia="Times New Roman" w:hAnsi="Lato" w:cs="Arial"/>
          <w:b/>
          <w:spacing w:val="4"/>
          <w:lang w:eastAsia="pl-PL"/>
        </w:rPr>
        <w:t>decyzję</w:t>
      </w:r>
      <w:r w:rsidRPr="00257DC5">
        <w:rPr>
          <w:rFonts w:ascii="Lato" w:eastAsia="Times New Roman" w:hAnsi="Lato" w:cs="Arial"/>
          <w:spacing w:val="4"/>
          <w:lang w:eastAsia="pl-PL"/>
        </w:rPr>
        <w:t xml:space="preserve"> </w:t>
      </w:r>
      <w:r w:rsidRPr="00257DC5">
        <w:rPr>
          <w:rFonts w:ascii="Lato" w:eastAsia="Times New Roman" w:hAnsi="Lato" w:cs="Arial"/>
          <w:b/>
          <w:spacing w:val="4"/>
          <w:lang w:eastAsia="pl-PL"/>
        </w:rPr>
        <w:t xml:space="preserve">utrzymuję w mocy. </w:t>
      </w:r>
    </w:p>
    <w:p w14:paraId="03ECE99F" w14:textId="77777777" w:rsidR="00C1630E" w:rsidRPr="00C1630E" w:rsidRDefault="00C1630E" w:rsidP="00D600FF">
      <w:pPr>
        <w:spacing w:after="240" w:line="240" w:lineRule="exact"/>
        <w:ind w:left="74"/>
        <w:jc w:val="center"/>
        <w:outlineLvl w:val="0"/>
        <w:rPr>
          <w:rFonts w:ascii="Lato" w:eastAsia="Times New Roman" w:hAnsi="Lato" w:cs="Times New Roman"/>
          <w:lang w:eastAsia="pl-PL"/>
        </w:rPr>
      </w:pPr>
      <w:r w:rsidRPr="00C1630E">
        <w:rPr>
          <w:rFonts w:ascii="Lato" w:eastAsia="Times New Roman" w:hAnsi="Lato" w:cs="Arial"/>
          <w:b/>
          <w:bCs/>
          <w:spacing w:val="4"/>
          <w:lang w:eastAsia="pl-PL"/>
        </w:rPr>
        <w:t>UZASADNIENIE</w:t>
      </w:r>
    </w:p>
    <w:p w14:paraId="1E8F5CA7" w14:textId="2295ED7C" w:rsidR="00D56AF1" w:rsidRPr="00C3321C" w:rsidRDefault="00C1630E"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spacing w:val="4"/>
        </w:rPr>
      </w:pPr>
      <w:r w:rsidRPr="00C3321C">
        <w:rPr>
          <w:rFonts w:ascii="Lato" w:eastAsia="Calibri" w:hAnsi="Lato" w:cs="Arial"/>
          <w:spacing w:val="4"/>
        </w:rPr>
        <w:t xml:space="preserve">Wnioskiem z dnia </w:t>
      </w:r>
      <w:r w:rsidR="00D56AF1" w:rsidRPr="00C3321C">
        <w:rPr>
          <w:rFonts w:ascii="Lato" w:eastAsia="Calibri" w:hAnsi="Lato" w:cs="Arial"/>
          <w:spacing w:val="4"/>
        </w:rPr>
        <w:t>10 października 2025 r.</w:t>
      </w:r>
      <w:r w:rsidRPr="00C3321C">
        <w:rPr>
          <w:rFonts w:ascii="Lato" w:eastAsia="Calibri" w:hAnsi="Lato" w:cs="Arial"/>
          <w:spacing w:val="4"/>
        </w:rPr>
        <w:t xml:space="preserve">, uzupełnionym w trakcie prowadzonego </w:t>
      </w:r>
      <w:r w:rsidRPr="00C3321C">
        <w:rPr>
          <w:rFonts w:ascii="Lato" w:eastAsia="Calibri" w:hAnsi="Lato" w:cs="Times New Roman"/>
          <w:bCs/>
          <w:spacing w:val="4"/>
        </w:rPr>
        <w:t xml:space="preserve">postępowania, </w:t>
      </w:r>
      <w:r w:rsidR="00D56AF1" w:rsidRPr="00C3321C">
        <w:rPr>
          <w:rFonts w:ascii="Lato" w:eastAsia="Calibri" w:hAnsi="Lato" w:cs="Times New Roman"/>
          <w:bCs/>
          <w:spacing w:val="4"/>
        </w:rPr>
        <w:t>PERN Spółka Akcyjna z siedzibą w Płocku, zwana dalej „</w:t>
      </w:r>
      <w:r w:rsidR="00D56AF1" w:rsidRPr="00C3321C">
        <w:rPr>
          <w:rFonts w:ascii="Lato" w:eastAsia="Calibri" w:hAnsi="Lato" w:cs="Times New Roman"/>
          <w:bCs/>
          <w:iCs/>
          <w:spacing w:val="4"/>
        </w:rPr>
        <w:t>inwestorem</w:t>
      </w:r>
      <w:r w:rsidR="00D56AF1" w:rsidRPr="00C3321C">
        <w:rPr>
          <w:rFonts w:ascii="Lato" w:eastAsia="Calibri" w:hAnsi="Lato" w:cs="Times New Roman"/>
          <w:bCs/>
          <w:spacing w:val="4"/>
        </w:rPr>
        <w:t>”</w:t>
      </w:r>
      <w:r w:rsidR="00D82A96" w:rsidRPr="00C3321C">
        <w:rPr>
          <w:rFonts w:ascii="Lato" w:eastAsia="Calibri" w:hAnsi="Lato" w:cs="Times New Roman"/>
          <w:bCs/>
          <w:spacing w:val="4"/>
        </w:rPr>
        <w:t xml:space="preserve"> lub „PERN S.A.</w:t>
      </w:r>
      <w:r w:rsidR="002D006C">
        <w:rPr>
          <w:rFonts w:ascii="Lato" w:eastAsia="Calibri" w:hAnsi="Lato" w:cs="Times New Roman"/>
          <w:bCs/>
          <w:spacing w:val="4"/>
        </w:rPr>
        <w:t>”</w:t>
      </w:r>
      <w:r w:rsidRPr="00C3321C">
        <w:rPr>
          <w:rFonts w:ascii="Lato" w:eastAsia="Calibri" w:hAnsi="Lato" w:cs="Times New Roman"/>
          <w:bCs/>
          <w:spacing w:val="4"/>
        </w:rPr>
        <w:t>, wystąpił</w:t>
      </w:r>
      <w:r w:rsidR="00A65DA5" w:rsidRPr="00C3321C">
        <w:rPr>
          <w:rFonts w:ascii="Lato" w:eastAsia="Calibri" w:hAnsi="Lato" w:cs="Times New Roman"/>
          <w:bCs/>
          <w:spacing w:val="4"/>
        </w:rPr>
        <w:t>a</w:t>
      </w:r>
      <w:r w:rsidRPr="00C3321C">
        <w:rPr>
          <w:rFonts w:ascii="Lato" w:eastAsia="Calibri" w:hAnsi="Lato" w:cs="Times New Roman"/>
          <w:bCs/>
          <w:spacing w:val="4"/>
        </w:rPr>
        <w:t xml:space="preserve"> do Wojewody </w:t>
      </w:r>
      <w:r w:rsidR="00D56AF1" w:rsidRPr="00C3321C">
        <w:rPr>
          <w:rFonts w:ascii="Lato" w:eastAsia="Calibri" w:hAnsi="Lato" w:cs="Times New Roman"/>
          <w:bCs/>
          <w:spacing w:val="4"/>
        </w:rPr>
        <w:t xml:space="preserve">Pomorskiego </w:t>
      </w:r>
      <w:r w:rsidRPr="00C3321C">
        <w:rPr>
          <w:rFonts w:ascii="Lato" w:eastAsia="Calibri" w:hAnsi="Lato" w:cs="Times New Roman"/>
          <w:bCs/>
          <w:spacing w:val="4"/>
        </w:rPr>
        <w:t xml:space="preserve">o wydanie decyzji o ustaleniu lokalizacji </w:t>
      </w:r>
      <w:r w:rsidR="00D56AF1" w:rsidRPr="00C3321C">
        <w:rPr>
          <w:rFonts w:ascii="Lato" w:eastAsia="Calibri" w:hAnsi="Lato" w:cs="Times New Roman"/>
          <w:bCs/>
          <w:spacing w:val="4"/>
        </w:rPr>
        <w:t xml:space="preserve">strategicznej inwestycji w sektorze naftowym pn.: „Przystosowanie nitek rezerwowych do możliwości wykonywania czyszczenia oraz inspekcji tłokami, zadanie </w:t>
      </w:r>
      <w:r w:rsidR="002D006C">
        <w:rPr>
          <w:rFonts w:ascii="Lato" w:eastAsia="Calibri" w:hAnsi="Lato" w:cs="Times New Roman"/>
          <w:bCs/>
          <w:spacing w:val="4"/>
        </w:rPr>
        <w:br/>
      </w:r>
      <w:r w:rsidR="00D56AF1" w:rsidRPr="00C3321C">
        <w:rPr>
          <w:rFonts w:ascii="Lato" w:eastAsia="Calibri" w:hAnsi="Lato" w:cs="Times New Roman"/>
          <w:bCs/>
          <w:spacing w:val="4"/>
        </w:rPr>
        <w:t xml:space="preserve">nr 2: Przystosowanie rurociągu rezerwowego DN 800 pod Martwą Wisłą na odcinku SZ19 – SZ-20 do możliwości wykonywania czyszczenia oraz inspekcji tłokami”. </w:t>
      </w:r>
    </w:p>
    <w:p w14:paraId="3251465A" w14:textId="4C4C157B" w:rsidR="000A2F59" w:rsidRPr="00C3321C" w:rsidRDefault="00C1630E"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spacing w:val="4"/>
        </w:rPr>
      </w:pPr>
      <w:r w:rsidRPr="00C3321C">
        <w:rPr>
          <w:rFonts w:ascii="Lato" w:eastAsia="Calibri" w:hAnsi="Lato" w:cs="Times New Roman"/>
          <w:bCs/>
          <w:spacing w:val="4"/>
        </w:rPr>
        <w:t xml:space="preserve">Po przeprowadzeniu postępowania w sprawie ww. wniosku, Wojewoda </w:t>
      </w:r>
      <w:r w:rsidR="00D56AF1" w:rsidRPr="00C3321C">
        <w:rPr>
          <w:rFonts w:ascii="Lato" w:eastAsia="Calibri" w:hAnsi="Lato" w:cs="Times New Roman"/>
          <w:bCs/>
          <w:spacing w:val="4"/>
        </w:rPr>
        <w:t xml:space="preserve">Pomorski </w:t>
      </w:r>
      <w:r w:rsidRPr="00C3321C">
        <w:rPr>
          <w:rFonts w:ascii="Lato" w:eastAsia="Calibri" w:hAnsi="Lato" w:cs="Times New Roman"/>
          <w:bCs/>
          <w:spacing w:val="4"/>
        </w:rPr>
        <w:t xml:space="preserve">wydał w dniu </w:t>
      </w:r>
      <w:r w:rsidR="00D56AF1" w:rsidRPr="00C3321C">
        <w:rPr>
          <w:rFonts w:ascii="Lato" w:eastAsia="Calibri" w:hAnsi="Lato" w:cs="Times New Roman"/>
          <w:bCs/>
          <w:spacing w:val="4"/>
        </w:rPr>
        <w:t xml:space="preserve">5 stycznia 2026 r. </w:t>
      </w:r>
      <w:r w:rsidR="00A65DA5" w:rsidRPr="00C3321C">
        <w:rPr>
          <w:rFonts w:ascii="Lato" w:eastAsia="Calibri" w:hAnsi="Lato" w:cs="Times New Roman"/>
          <w:bCs/>
          <w:spacing w:val="4"/>
        </w:rPr>
        <w:t>decyzję</w:t>
      </w:r>
      <w:r w:rsidR="000A2F59" w:rsidRPr="00C3321C">
        <w:rPr>
          <w:rFonts w:ascii="Lato" w:eastAsia="Calibri" w:hAnsi="Lato" w:cs="Times New Roman"/>
          <w:bCs/>
          <w:spacing w:val="4"/>
        </w:rPr>
        <w:t xml:space="preserve"> </w:t>
      </w:r>
      <w:r w:rsidRPr="00C3321C">
        <w:rPr>
          <w:rFonts w:ascii="Lato" w:eastAsia="Calibri" w:hAnsi="Lato" w:cs="Times New Roman"/>
          <w:bCs/>
          <w:spacing w:val="4"/>
        </w:rPr>
        <w:t xml:space="preserve">znak: </w:t>
      </w:r>
      <w:r w:rsidR="00D56AF1" w:rsidRPr="00C3321C">
        <w:rPr>
          <w:rFonts w:ascii="Lato" w:eastAsia="Calibri" w:hAnsi="Lato" w:cs="Times New Roman"/>
          <w:bCs/>
          <w:spacing w:val="4"/>
        </w:rPr>
        <w:t>WI-V.747.1.24.2025.JP</w:t>
      </w:r>
      <w:r w:rsidR="00050F14" w:rsidRPr="00C3321C">
        <w:rPr>
          <w:rFonts w:ascii="Lato" w:eastAsia="Calibri" w:hAnsi="Lato" w:cs="Times New Roman"/>
          <w:bCs/>
          <w:spacing w:val="4"/>
        </w:rPr>
        <w:t>, o ustaleniu lokalizacji strategicznej inwestycji w sektorze naftowym pn.: „Przystosowanie nitek rezerwowych do możliwości wykonywania czyszczenia oraz inspekcji tłokami, zadanie nr 2: Przystosowanie rurociągu rezerwowego DN 800 pod Martwą Wisłą na odcinku SZ19 – SZ-20 do możliwości wykonywania czyszczenia oraz inspekcji tłokami”</w:t>
      </w:r>
      <w:r w:rsidR="00DF7F86" w:rsidRPr="00C3321C">
        <w:rPr>
          <w:rFonts w:ascii="Lato" w:eastAsia="Calibri" w:hAnsi="Lato" w:cs="Times New Roman"/>
          <w:bCs/>
          <w:spacing w:val="4"/>
        </w:rPr>
        <w:t>, zwaną dalej „decyzją Wojewody</w:t>
      </w:r>
      <w:r w:rsidR="00050F14" w:rsidRPr="00C3321C">
        <w:rPr>
          <w:rFonts w:ascii="Lato" w:eastAsia="Calibri" w:hAnsi="Lato" w:cs="Times New Roman"/>
          <w:bCs/>
          <w:spacing w:val="4"/>
        </w:rPr>
        <w:t xml:space="preserve"> Pomorskiego</w:t>
      </w:r>
      <w:r w:rsidR="000A2F59" w:rsidRPr="00C3321C">
        <w:rPr>
          <w:rFonts w:ascii="Lato" w:eastAsia="Calibri" w:hAnsi="Lato" w:cs="Times New Roman"/>
          <w:bCs/>
          <w:spacing w:val="4"/>
        </w:rPr>
        <w:t xml:space="preserve">”. </w:t>
      </w:r>
    </w:p>
    <w:p w14:paraId="63917C9E" w14:textId="0F016E85" w:rsidR="00370924" w:rsidRPr="00C3321C" w:rsidRDefault="00C1630E"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spacing w:val="4"/>
        </w:rPr>
      </w:pPr>
      <w:r w:rsidRPr="00C3321C">
        <w:rPr>
          <w:rFonts w:ascii="Lato" w:eastAsia="Calibri" w:hAnsi="Lato" w:cs="Times New Roman"/>
          <w:bCs/>
          <w:spacing w:val="4"/>
        </w:rPr>
        <w:t xml:space="preserve">Od decyzji Wojewody </w:t>
      </w:r>
      <w:r w:rsidR="00050F14" w:rsidRPr="00C3321C">
        <w:rPr>
          <w:rFonts w:ascii="Lato" w:eastAsia="Calibri" w:hAnsi="Lato" w:cs="Times New Roman"/>
          <w:bCs/>
          <w:spacing w:val="4"/>
        </w:rPr>
        <w:t xml:space="preserve">Pomorskiego </w:t>
      </w:r>
      <w:r w:rsidRPr="00C3321C">
        <w:rPr>
          <w:rFonts w:ascii="Lato" w:eastAsia="Calibri" w:hAnsi="Lato" w:cs="Times New Roman"/>
          <w:bCs/>
          <w:spacing w:val="4"/>
        </w:rPr>
        <w:t>odwołani</w:t>
      </w:r>
      <w:r w:rsidR="000A2F59" w:rsidRPr="00C3321C">
        <w:rPr>
          <w:rFonts w:ascii="Lato" w:eastAsia="Calibri" w:hAnsi="Lato" w:cs="Times New Roman"/>
          <w:bCs/>
          <w:spacing w:val="4"/>
        </w:rPr>
        <w:t>e</w:t>
      </w:r>
      <w:r w:rsidRPr="00C3321C">
        <w:rPr>
          <w:rFonts w:ascii="Lato" w:eastAsia="Calibri" w:hAnsi="Lato" w:cs="Times New Roman"/>
          <w:bCs/>
          <w:spacing w:val="4"/>
        </w:rPr>
        <w:t xml:space="preserve">, za pośrednictwem organu I instancji, </w:t>
      </w:r>
      <w:r w:rsidR="000A2F59" w:rsidRPr="00C3321C">
        <w:rPr>
          <w:rFonts w:ascii="Lato" w:eastAsia="Calibri" w:hAnsi="Lato" w:cs="Times New Roman"/>
          <w:bCs/>
          <w:spacing w:val="4"/>
        </w:rPr>
        <w:t xml:space="preserve">wniosła </w:t>
      </w:r>
      <w:r w:rsidR="00FA714C">
        <w:rPr>
          <w:rFonts w:ascii="Lato" w:eastAsia="Calibri" w:hAnsi="Lato" w:cs="Times New Roman"/>
          <w:bCs/>
          <w:spacing w:val="4"/>
        </w:rPr>
        <w:t>(…)</w:t>
      </w:r>
      <w:r w:rsidR="00050F14" w:rsidRPr="00C3321C">
        <w:rPr>
          <w:rFonts w:ascii="Lato" w:eastAsia="Calibri" w:hAnsi="Lato" w:cs="Times New Roman"/>
          <w:bCs/>
          <w:spacing w:val="4"/>
        </w:rPr>
        <w:t xml:space="preserve"> Sp. z o.o. z siedzibą w </w:t>
      </w:r>
      <w:r w:rsidR="00FA714C">
        <w:rPr>
          <w:rFonts w:ascii="Lato" w:eastAsia="Calibri" w:hAnsi="Lato" w:cs="Times New Roman"/>
          <w:bCs/>
          <w:spacing w:val="4"/>
        </w:rPr>
        <w:t>(…)</w:t>
      </w:r>
      <w:r w:rsidR="00050F14" w:rsidRPr="00C3321C">
        <w:rPr>
          <w:rFonts w:ascii="Lato" w:eastAsia="Calibri" w:hAnsi="Lato" w:cs="Times New Roman"/>
          <w:bCs/>
          <w:spacing w:val="4"/>
        </w:rPr>
        <w:t>, zwana dalej „</w:t>
      </w:r>
      <w:r w:rsidR="00FA714C">
        <w:rPr>
          <w:rFonts w:ascii="Lato" w:eastAsia="Calibri" w:hAnsi="Lato" w:cs="Times New Roman"/>
          <w:bCs/>
          <w:spacing w:val="4"/>
        </w:rPr>
        <w:t>(…)</w:t>
      </w:r>
      <w:r w:rsidR="00050F14" w:rsidRPr="00C3321C">
        <w:rPr>
          <w:rFonts w:ascii="Lato" w:eastAsia="Calibri" w:hAnsi="Lato" w:cs="Times New Roman"/>
          <w:bCs/>
          <w:spacing w:val="4"/>
        </w:rPr>
        <w:t>”, reprezentowana przez r.pr. A</w:t>
      </w:r>
      <w:r w:rsidR="00FA714C">
        <w:rPr>
          <w:rFonts w:ascii="Lato" w:eastAsia="Calibri" w:hAnsi="Lato" w:cs="Times New Roman"/>
          <w:bCs/>
          <w:spacing w:val="4"/>
        </w:rPr>
        <w:t>.</w:t>
      </w:r>
      <w:r w:rsidR="00050F14" w:rsidRPr="00C3321C">
        <w:rPr>
          <w:rFonts w:ascii="Lato" w:eastAsia="Calibri" w:hAnsi="Lato" w:cs="Times New Roman"/>
          <w:bCs/>
          <w:spacing w:val="4"/>
        </w:rPr>
        <w:t xml:space="preserve"> C</w:t>
      </w:r>
      <w:r w:rsidR="00FA714C">
        <w:rPr>
          <w:rFonts w:ascii="Lato" w:eastAsia="Calibri" w:hAnsi="Lato" w:cs="Times New Roman"/>
          <w:bCs/>
          <w:spacing w:val="4"/>
        </w:rPr>
        <w:t>.</w:t>
      </w:r>
      <w:r w:rsidR="000A2F59" w:rsidRPr="00C3321C">
        <w:rPr>
          <w:rFonts w:ascii="Lato" w:eastAsia="Calibri" w:hAnsi="Lato" w:cs="Times New Roman"/>
          <w:bCs/>
          <w:spacing w:val="4"/>
        </w:rPr>
        <w:t xml:space="preserve">. </w:t>
      </w:r>
      <w:r w:rsidR="002A4029" w:rsidRPr="00C3321C">
        <w:rPr>
          <w:rFonts w:ascii="Lato" w:eastAsia="Calibri" w:hAnsi="Lato" w:cs="Times New Roman"/>
          <w:bCs/>
          <w:spacing w:val="4"/>
        </w:rPr>
        <w:t xml:space="preserve">Odwołanie wniesiono w terminie. </w:t>
      </w:r>
      <w:r w:rsidR="002A4029" w:rsidRPr="00C3321C">
        <w:rPr>
          <w:rFonts w:ascii="Lato" w:eastAsia="Calibri" w:hAnsi="Lato" w:cs="Times New Roman"/>
          <w:bCs/>
          <w:spacing w:val="4"/>
        </w:rPr>
        <w:br/>
      </w:r>
      <w:r w:rsidR="000A2F59" w:rsidRPr="00C3321C">
        <w:rPr>
          <w:rFonts w:ascii="Lato" w:eastAsia="Calibri" w:hAnsi="Lato" w:cs="Times New Roman"/>
          <w:bCs/>
          <w:spacing w:val="4"/>
        </w:rPr>
        <w:t xml:space="preserve">W odwołaniu z dnia </w:t>
      </w:r>
      <w:r w:rsidR="00050F14" w:rsidRPr="00C3321C">
        <w:rPr>
          <w:rFonts w:ascii="Lato" w:eastAsia="Calibri" w:hAnsi="Lato" w:cs="Times New Roman"/>
          <w:bCs/>
          <w:spacing w:val="4"/>
        </w:rPr>
        <w:t xml:space="preserve">19 stycznia </w:t>
      </w:r>
      <w:r w:rsidR="000A2F59" w:rsidRPr="00C3321C">
        <w:rPr>
          <w:rFonts w:ascii="Lato" w:eastAsia="Calibri" w:hAnsi="Lato" w:cs="Times New Roman"/>
          <w:bCs/>
          <w:spacing w:val="4"/>
        </w:rPr>
        <w:t>202</w:t>
      </w:r>
      <w:r w:rsidR="00050F14" w:rsidRPr="00C3321C">
        <w:rPr>
          <w:rFonts w:ascii="Lato" w:eastAsia="Calibri" w:hAnsi="Lato" w:cs="Times New Roman"/>
          <w:bCs/>
          <w:spacing w:val="4"/>
        </w:rPr>
        <w:t>6</w:t>
      </w:r>
      <w:r w:rsidR="000A2F59" w:rsidRPr="00C3321C">
        <w:rPr>
          <w:rFonts w:ascii="Lato" w:eastAsia="Calibri" w:hAnsi="Lato" w:cs="Times New Roman"/>
          <w:bCs/>
          <w:spacing w:val="4"/>
        </w:rPr>
        <w:t xml:space="preserve"> r.</w:t>
      </w:r>
      <w:r w:rsidR="002A4029" w:rsidRPr="00C3321C">
        <w:rPr>
          <w:rFonts w:ascii="Lato" w:eastAsia="Calibri" w:hAnsi="Lato" w:cs="Times New Roman"/>
          <w:bCs/>
          <w:spacing w:val="4"/>
        </w:rPr>
        <w:t xml:space="preserve">, uzupełnionym </w:t>
      </w:r>
      <w:r w:rsidR="00050F14" w:rsidRPr="00C3321C">
        <w:rPr>
          <w:rFonts w:ascii="Lato" w:eastAsia="Calibri" w:hAnsi="Lato" w:cs="Times New Roman"/>
          <w:bCs/>
          <w:spacing w:val="4"/>
        </w:rPr>
        <w:t>w trakcie prowadzonego postępowania odwoławczego</w:t>
      </w:r>
      <w:r w:rsidR="002A4029" w:rsidRPr="00C3321C">
        <w:rPr>
          <w:rFonts w:ascii="Lato" w:eastAsia="Calibri" w:hAnsi="Lato" w:cs="Times New Roman"/>
          <w:bCs/>
          <w:spacing w:val="4"/>
        </w:rPr>
        <w:t xml:space="preserve">, </w:t>
      </w:r>
      <w:r w:rsidR="000A2F59" w:rsidRPr="00C3321C">
        <w:rPr>
          <w:rFonts w:ascii="Lato" w:eastAsia="Calibri" w:hAnsi="Lato" w:cs="Times New Roman"/>
          <w:bCs/>
          <w:spacing w:val="4"/>
        </w:rPr>
        <w:t xml:space="preserve">skarżąca spółka </w:t>
      </w:r>
      <w:r w:rsidR="00A72233" w:rsidRPr="00C3321C">
        <w:rPr>
          <w:rFonts w:ascii="Lato" w:eastAsia="Calibri" w:hAnsi="Lato" w:cs="Times New Roman"/>
          <w:bCs/>
          <w:spacing w:val="4"/>
        </w:rPr>
        <w:t>podni</w:t>
      </w:r>
      <w:r w:rsidR="002A4029" w:rsidRPr="00C3321C">
        <w:rPr>
          <w:rFonts w:ascii="Lato" w:eastAsia="Calibri" w:hAnsi="Lato" w:cs="Times New Roman"/>
          <w:bCs/>
          <w:spacing w:val="4"/>
        </w:rPr>
        <w:t>osła</w:t>
      </w:r>
      <w:r w:rsidR="00A72233" w:rsidRPr="00C3321C">
        <w:rPr>
          <w:rFonts w:ascii="Lato" w:eastAsia="Calibri" w:hAnsi="Lato" w:cs="Times New Roman"/>
          <w:bCs/>
          <w:spacing w:val="4"/>
        </w:rPr>
        <w:t xml:space="preserve"> zarzuty odnoszące się do </w:t>
      </w:r>
      <w:r w:rsidR="00A72233" w:rsidRPr="00C3321C">
        <w:rPr>
          <w:rFonts w:ascii="Lato" w:eastAsia="Calibri" w:hAnsi="Lato" w:cs="Times New Roman"/>
          <w:bCs/>
          <w:iCs/>
          <w:spacing w:val="4"/>
        </w:rPr>
        <w:t>decyzji Wojewody</w:t>
      </w:r>
      <w:r w:rsidR="00050F14" w:rsidRPr="00C3321C">
        <w:rPr>
          <w:rFonts w:ascii="Lato" w:eastAsia="Calibri" w:hAnsi="Lato" w:cs="Times New Roman"/>
          <w:bCs/>
          <w:iCs/>
          <w:spacing w:val="4"/>
        </w:rPr>
        <w:t xml:space="preserve"> Pomorskiego</w:t>
      </w:r>
      <w:r w:rsidR="00A72233" w:rsidRPr="00C3321C">
        <w:rPr>
          <w:rFonts w:ascii="Lato" w:eastAsia="Calibri" w:hAnsi="Lato" w:cs="Times New Roman"/>
          <w:bCs/>
          <w:spacing w:val="4"/>
        </w:rPr>
        <w:t>, określi</w:t>
      </w:r>
      <w:r w:rsidR="002A4029" w:rsidRPr="00C3321C">
        <w:rPr>
          <w:rFonts w:ascii="Lato" w:eastAsia="Calibri" w:hAnsi="Lato" w:cs="Times New Roman"/>
          <w:bCs/>
          <w:spacing w:val="4"/>
        </w:rPr>
        <w:t>ła</w:t>
      </w:r>
      <w:r w:rsidR="00A72233" w:rsidRPr="00C3321C">
        <w:rPr>
          <w:rFonts w:ascii="Lato" w:eastAsia="Calibri" w:hAnsi="Lato" w:cs="Times New Roman"/>
          <w:bCs/>
          <w:spacing w:val="4"/>
        </w:rPr>
        <w:t xml:space="preserve"> istotę i zakres żądania będącego przedmiotem odwołania oraz wskaza</w:t>
      </w:r>
      <w:r w:rsidR="002A4029" w:rsidRPr="00C3321C">
        <w:rPr>
          <w:rFonts w:ascii="Lato" w:eastAsia="Calibri" w:hAnsi="Lato" w:cs="Times New Roman"/>
          <w:bCs/>
          <w:spacing w:val="4"/>
        </w:rPr>
        <w:t>ła</w:t>
      </w:r>
      <w:r w:rsidR="00A72233" w:rsidRPr="00C3321C">
        <w:rPr>
          <w:rFonts w:ascii="Lato" w:eastAsia="Calibri" w:hAnsi="Lato" w:cs="Times New Roman"/>
          <w:bCs/>
          <w:spacing w:val="4"/>
        </w:rPr>
        <w:t xml:space="preserve"> na dowody uzasadniające to żądanie</w:t>
      </w:r>
      <w:r w:rsidR="00685F27" w:rsidRPr="00C3321C">
        <w:rPr>
          <w:rFonts w:ascii="Lato" w:eastAsia="Calibri" w:hAnsi="Lato" w:cs="Times New Roman"/>
          <w:bCs/>
          <w:spacing w:val="4"/>
        </w:rPr>
        <w:t>.</w:t>
      </w:r>
    </w:p>
    <w:p w14:paraId="591E4FCA" w14:textId="77777777" w:rsidR="00370924" w:rsidRPr="00C3321C" w:rsidRDefault="00370924"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spacing w:val="4"/>
          <w:lang w:eastAsia="pl-PL"/>
        </w:rPr>
      </w:pPr>
      <w:r w:rsidRPr="00C3321C">
        <w:rPr>
          <w:rFonts w:ascii="Lato" w:eastAsia="Times New Roman" w:hAnsi="Lato" w:cs="Times New Roman"/>
          <w:spacing w:val="4"/>
          <w:lang w:eastAsia="pl-PL"/>
        </w:rPr>
        <w:t xml:space="preserve">Organ odwoławczy </w:t>
      </w:r>
      <w:r w:rsidRPr="00C3321C">
        <w:rPr>
          <w:rFonts w:ascii="Lato" w:eastAsia="Times New Roman" w:hAnsi="Lato" w:cs="Times New Roman"/>
          <w:bCs/>
          <w:spacing w:val="4"/>
          <w:lang w:eastAsia="pl-PL"/>
        </w:rPr>
        <w:t xml:space="preserve">stwierdził, co następuje. Na wstępie wyjaśnić należy, iż </w:t>
      </w:r>
      <w:r w:rsidRPr="00C3321C">
        <w:rPr>
          <w:rFonts w:ascii="Lato" w:eastAsia="Times New Roman" w:hAnsi="Lato" w:cs="Arial"/>
          <w:bCs/>
          <w:spacing w:val="4"/>
          <w:lang w:eastAsia="pl-PL"/>
        </w:rPr>
        <w:t xml:space="preserve">właściwym w przedmiotowej sprawie – stosownie do treści rozporządzenia Prezesa Rady Ministrów z dnia 25 lipca 2025 r. w sprawie szczegółowego zakresu działania Ministra Finansów </w:t>
      </w:r>
      <w:r w:rsidRPr="00C3321C">
        <w:rPr>
          <w:rFonts w:ascii="Lato" w:eastAsia="Times New Roman" w:hAnsi="Lato" w:cs="Arial"/>
          <w:bCs/>
          <w:spacing w:val="4"/>
          <w:lang w:eastAsia="pl-PL"/>
        </w:rPr>
        <w:br/>
        <w:t>i Gospodarki (Dz.U. z 2025 r. poz. 997) – jest obecnie Minister Finansów i Gospodarki, zwany dalej „Ministrem”. Natomiast zgodnie z § 1 ust. 4 pkt 1 lit. a i b ww. rozporządzenia Prezesa Rady Ministrów z dnia 25 lipca 2025 r. obsługę Ministra Finansów i Gospodarki zapewnia Ministerstwo Rozwoju i Technologii w zakresie działów administracji rządowej: budownictwo, planowanie i zagospodarowanie przestrzenne oraz mieszkalnictwo; gospodarka.</w:t>
      </w:r>
    </w:p>
    <w:p w14:paraId="0CCCA99A" w14:textId="70648BC4" w:rsidR="003B572F" w:rsidRPr="00C3321C" w:rsidRDefault="00050F14"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spacing w:val="4"/>
        </w:rPr>
      </w:pPr>
      <w:r w:rsidRPr="00C3321C">
        <w:rPr>
          <w:rFonts w:ascii="Lato" w:eastAsia="Calibri" w:hAnsi="Lato" w:cs="Times New Roman"/>
          <w:bCs/>
          <w:spacing w:val="4"/>
        </w:rPr>
        <w:t>W</w:t>
      </w:r>
      <w:r w:rsidR="00C1630E" w:rsidRPr="00C3321C">
        <w:rPr>
          <w:rFonts w:ascii="Lato" w:eastAsia="Calibri" w:hAnsi="Lato" w:cs="Times New Roman"/>
          <w:bCs/>
          <w:spacing w:val="4"/>
        </w:rPr>
        <w:t xml:space="preserve"> trakcie przeprowadzonego postępowania odwoławczego Minister rozpatrzył ponownie wniosek inwestora o wydanie przedmiotowej decyzji </w:t>
      </w:r>
      <w:r w:rsidRPr="00C3321C">
        <w:rPr>
          <w:rFonts w:ascii="Lato" w:eastAsia="Calibri" w:hAnsi="Lato" w:cs="Times New Roman"/>
          <w:bCs/>
          <w:spacing w:val="4"/>
        </w:rPr>
        <w:t xml:space="preserve">o ustaleniu lokalizacji </w:t>
      </w:r>
      <w:r w:rsidRPr="00C3321C">
        <w:rPr>
          <w:rFonts w:ascii="Lato" w:eastAsia="Calibri" w:hAnsi="Lato" w:cs="Times New Roman"/>
          <w:bCs/>
          <w:spacing w:val="4"/>
        </w:rPr>
        <w:lastRenderedPageBreak/>
        <w:t>strategicznej inwestycji w sektorze naftowym</w:t>
      </w:r>
      <w:r w:rsidR="00C1630E" w:rsidRPr="00C3321C">
        <w:rPr>
          <w:rFonts w:ascii="Lato" w:eastAsia="Calibri" w:hAnsi="Lato" w:cs="Times New Roman"/>
          <w:bCs/>
          <w:spacing w:val="4"/>
        </w:rPr>
        <w:t>, przeanalizował materiał dowodowy zgromadzony przez Wojewodę</w:t>
      </w:r>
      <w:r w:rsidRPr="00C3321C">
        <w:rPr>
          <w:rFonts w:ascii="Lato" w:eastAsia="Calibri" w:hAnsi="Lato" w:cs="Times New Roman"/>
          <w:bCs/>
          <w:spacing w:val="4"/>
        </w:rPr>
        <w:t xml:space="preserve"> Pomorskiego</w:t>
      </w:r>
      <w:r w:rsidR="00C1630E" w:rsidRPr="00C3321C">
        <w:rPr>
          <w:rFonts w:ascii="Lato" w:eastAsia="Calibri" w:hAnsi="Lato" w:cs="Times New Roman"/>
          <w:bCs/>
          <w:spacing w:val="4"/>
        </w:rPr>
        <w:t>, w tym zbadał poprawność postępowania organu I instancji oraz poprawność kończącej to postępowanie decyzji Wojewody</w:t>
      </w:r>
      <w:r w:rsidRPr="00C3321C">
        <w:rPr>
          <w:rFonts w:ascii="Lato" w:eastAsia="Calibri" w:hAnsi="Lato" w:cs="Times New Roman"/>
          <w:bCs/>
          <w:spacing w:val="4"/>
        </w:rPr>
        <w:t xml:space="preserve"> Pomorskiego</w:t>
      </w:r>
      <w:r w:rsidR="00C1630E" w:rsidRPr="00C3321C">
        <w:rPr>
          <w:rFonts w:ascii="Lato" w:eastAsia="Calibri" w:hAnsi="Lato" w:cs="Times New Roman"/>
          <w:bCs/>
          <w:spacing w:val="4"/>
        </w:rPr>
        <w:t xml:space="preserve">, jak również rozpatrzył zarzuty podniesione przez </w:t>
      </w:r>
      <w:r w:rsidR="002A4029" w:rsidRPr="00C3321C">
        <w:rPr>
          <w:rFonts w:ascii="Lato" w:eastAsia="Calibri" w:hAnsi="Lato" w:cs="Times New Roman"/>
          <w:bCs/>
          <w:spacing w:val="4"/>
        </w:rPr>
        <w:t>skarżącą spółkę</w:t>
      </w:r>
      <w:r w:rsidR="00C1630E" w:rsidRPr="00C3321C">
        <w:rPr>
          <w:rFonts w:ascii="Lato" w:eastAsia="Calibri" w:hAnsi="Lato" w:cs="Times New Roman"/>
          <w:bCs/>
          <w:spacing w:val="4"/>
        </w:rPr>
        <w:t>.</w:t>
      </w:r>
      <w:r w:rsidR="00215A29" w:rsidRPr="00C3321C">
        <w:rPr>
          <w:rFonts w:ascii="Lato" w:eastAsia="Calibri" w:hAnsi="Lato" w:cs="Times New Roman"/>
          <w:bCs/>
          <w:spacing w:val="4"/>
        </w:rPr>
        <w:t xml:space="preserve"> </w:t>
      </w:r>
      <w:r w:rsidRPr="00C3321C">
        <w:rPr>
          <w:rFonts w:ascii="Lato" w:eastAsia="Calibri" w:hAnsi="Lato" w:cs="Times New Roman"/>
          <w:bCs/>
          <w:iCs/>
          <w:spacing w:val="4"/>
        </w:rPr>
        <w:t xml:space="preserve">Stosownie do treści art. 3 ust. 1 w zw. z art. 1 ust. 2 pkt 2 lit. a </w:t>
      </w:r>
      <w:r w:rsidRPr="00C3321C">
        <w:rPr>
          <w:rFonts w:ascii="Lato" w:eastAsia="Calibri" w:hAnsi="Lato" w:cs="Times New Roman"/>
          <w:bCs/>
          <w:spacing w:val="4"/>
        </w:rPr>
        <w:t>specustawy naftowej</w:t>
      </w:r>
      <w:r w:rsidRPr="00C3321C">
        <w:rPr>
          <w:rFonts w:ascii="Lato" w:eastAsia="Calibri" w:hAnsi="Lato" w:cs="Times New Roman"/>
          <w:bCs/>
          <w:iCs/>
          <w:spacing w:val="4"/>
        </w:rPr>
        <w:t xml:space="preserve">, </w:t>
      </w:r>
      <w:r w:rsidRPr="00C3321C">
        <w:rPr>
          <w:rFonts w:ascii="Lato" w:eastAsia="Calibri" w:hAnsi="Lato" w:cs="Times New Roman"/>
          <w:bCs/>
          <w:iCs/>
          <w:spacing w:val="4"/>
        </w:rPr>
        <w:br/>
        <w:t xml:space="preserve">z wnioskiem do Wojewody Pomorskiego o wydanie decyzji o ustaleniu lokalizacji strategicznej inwestycji w sektorze naftowym wystąpił uprawniony do tego podmiot, </w:t>
      </w:r>
      <w:r w:rsidR="003B572F" w:rsidRPr="00C3321C">
        <w:rPr>
          <w:rFonts w:ascii="Lato" w:eastAsia="Calibri" w:hAnsi="Lato" w:cs="Times New Roman"/>
          <w:bCs/>
          <w:iCs/>
          <w:spacing w:val="4"/>
        </w:rPr>
        <w:br/>
      </w:r>
      <w:r w:rsidRPr="00C3321C">
        <w:rPr>
          <w:rFonts w:ascii="Lato" w:eastAsia="Calibri" w:hAnsi="Lato" w:cs="Times New Roman"/>
          <w:bCs/>
          <w:iCs/>
          <w:spacing w:val="4"/>
        </w:rPr>
        <w:t xml:space="preserve">tj. </w:t>
      </w:r>
      <w:r w:rsidRPr="00C3321C">
        <w:rPr>
          <w:rFonts w:ascii="Lato" w:eastAsia="Calibri" w:hAnsi="Lato" w:cs="Times New Roman"/>
          <w:bCs/>
          <w:spacing w:val="4"/>
        </w:rPr>
        <w:t>PERN</w:t>
      </w:r>
      <w:r w:rsidR="002D006C">
        <w:rPr>
          <w:rFonts w:ascii="Lato" w:eastAsia="Calibri" w:hAnsi="Lato" w:cs="Times New Roman"/>
          <w:bCs/>
          <w:spacing w:val="4"/>
        </w:rPr>
        <w:t xml:space="preserve"> S.A</w:t>
      </w:r>
      <w:r w:rsidRPr="00C3321C">
        <w:rPr>
          <w:rFonts w:ascii="Lato" w:eastAsia="Calibri" w:hAnsi="Lato" w:cs="Times New Roman"/>
          <w:bCs/>
          <w:iCs/>
          <w:spacing w:val="4"/>
        </w:rPr>
        <w:t xml:space="preserve">. Projektowana inwestycja mieści się w wykazie strategicznych inwestycji </w:t>
      </w:r>
      <w:r w:rsidR="002D006C">
        <w:rPr>
          <w:rFonts w:ascii="Lato" w:eastAsia="Calibri" w:hAnsi="Lato" w:cs="Times New Roman"/>
          <w:bCs/>
          <w:iCs/>
          <w:spacing w:val="4"/>
        </w:rPr>
        <w:br/>
      </w:r>
      <w:r w:rsidRPr="00C3321C">
        <w:rPr>
          <w:rFonts w:ascii="Lato" w:eastAsia="Calibri" w:hAnsi="Lato" w:cs="Times New Roman"/>
          <w:bCs/>
          <w:iCs/>
          <w:spacing w:val="4"/>
        </w:rPr>
        <w:t>w sektorze naftowym</w:t>
      </w:r>
      <w:r w:rsidR="00D600FF" w:rsidRPr="00C3321C">
        <w:rPr>
          <w:rFonts w:ascii="Lato" w:eastAsia="Calibri" w:hAnsi="Lato" w:cs="Times New Roman"/>
          <w:bCs/>
          <w:iCs/>
          <w:spacing w:val="4"/>
        </w:rPr>
        <w:t xml:space="preserve"> </w:t>
      </w:r>
      <w:r w:rsidRPr="00C3321C">
        <w:rPr>
          <w:rFonts w:ascii="Lato" w:eastAsia="Calibri" w:hAnsi="Lato" w:cs="Times New Roman"/>
          <w:bCs/>
          <w:iCs/>
          <w:spacing w:val="4"/>
        </w:rPr>
        <w:t>określonych w załącznik</w:t>
      </w:r>
      <w:r w:rsidR="00D600FF" w:rsidRPr="00C3321C">
        <w:rPr>
          <w:rFonts w:ascii="Lato" w:eastAsia="Calibri" w:hAnsi="Lato" w:cs="Times New Roman"/>
          <w:bCs/>
          <w:iCs/>
          <w:spacing w:val="4"/>
        </w:rPr>
        <w:t>u nr I</w:t>
      </w:r>
      <w:r w:rsidRPr="00C3321C">
        <w:rPr>
          <w:rFonts w:ascii="Lato" w:eastAsia="Calibri" w:hAnsi="Lato" w:cs="Times New Roman"/>
          <w:bCs/>
          <w:iCs/>
          <w:spacing w:val="4"/>
        </w:rPr>
        <w:t xml:space="preserve"> do </w:t>
      </w:r>
      <w:r w:rsidRPr="00C3321C">
        <w:rPr>
          <w:rFonts w:ascii="Lato" w:eastAsia="Calibri" w:hAnsi="Lato" w:cs="Times New Roman"/>
          <w:bCs/>
          <w:spacing w:val="4"/>
        </w:rPr>
        <w:t>specustawy naftowej</w:t>
      </w:r>
      <w:r w:rsidR="003B572F" w:rsidRPr="00C3321C">
        <w:rPr>
          <w:rFonts w:ascii="Lato" w:eastAsia="Calibri" w:hAnsi="Lato" w:cs="Times New Roman"/>
          <w:bCs/>
          <w:spacing w:val="4"/>
        </w:rPr>
        <w:t xml:space="preserve"> </w:t>
      </w:r>
      <w:r w:rsidRPr="00C3321C">
        <w:rPr>
          <w:rFonts w:ascii="Lato" w:eastAsia="Calibri" w:hAnsi="Lato" w:cs="Times New Roman"/>
          <w:bCs/>
          <w:spacing w:val="4"/>
        </w:rPr>
        <w:t>pn.: „Wykaz strategicznych inwestycji w sektorze naftowym realizowanych przez inwestora, o którym mowa w art. 1 ust. 2 pkt 2 lit. a ustawy”</w:t>
      </w:r>
      <w:r w:rsidR="003B572F" w:rsidRPr="00C3321C">
        <w:rPr>
          <w:rFonts w:ascii="Lato" w:eastAsia="Calibri" w:hAnsi="Lato" w:cs="Times New Roman"/>
          <w:bCs/>
          <w:spacing w:val="4"/>
        </w:rPr>
        <w:t>. W pkt I.2 rzeczonego załącznika wskazano: „Budowa rurociągów ropy naftowej lub produktów naftowych w celu zmiany przebiegu trasy istniejących rurociągów ropy naftowej lub produktów naftowych, do których inwestor, o którym mowa w art. 1 ust. 2 pkt 2 lit. a, posiada tytuł własności lub inny tytuł prawny uprawniający do realizacji tych inwestycji, albo ich odbudowa, rozbudowa, przebudowa, remont, rozbiórka lub zmiana sposobu użytkowania wraz z infrastrukturą niezbędną do ich obsługi.</w:t>
      </w:r>
      <w:r w:rsidR="003B572F" w:rsidRPr="00C3321C">
        <w:rPr>
          <w:rFonts w:ascii="Arial" w:eastAsia="Times New Roman" w:hAnsi="Arial" w:cs="Arial"/>
          <w:color w:val="000000"/>
          <w:sz w:val="17"/>
          <w:szCs w:val="17"/>
          <w:lang w:eastAsia="pl-PL"/>
        </w:rPr>
        <w:t xml:space="preserve"> </w:t>
      </w:r>
      <w:r w:rsidR="003B572F" w:rsidRPr="00C3321C">
        <w:rPr>
          <w:rFonts w:ascii="Lato" w:eastAsia="Calibri" w:hAnsi="Lato" w:cs="Times New Roman"/>
          <w:bCs/>
          <w:spacing w:val="4"/>
        </w:rPr>
        <w:t>Przedsięwzięcie objęte wnioskiem dotyczy przystosowania rurociągu rezerwowego DN 800 pod Martwą Wisłą na odcinku SZ19 - SZ-20 do możliwości wykonywania czyszczenia oraz inspekcji</w:t>
      </w:r>
      <w:r w:rsidR="003B572F" w:rsidRPr="00C3321C">
        <w:rPr>
          <w:rFonts w:ascii="Arial" w:eastAsia="Times New Roman" w:hAnsi="Arial" w:cs="Arial"/>
          <w:color w:val="000000"/>
          <w:sz w:val="17"/>
          <w:szCs w:val="17"/>
          <w:lang w:eastAsia="pl-PL"/>
        </w:rPr>
        <w:t xml:space="preserve"> </w:t>
      </w:r>
      <w:r w:rsidR="003B572F" w:rsidRPr="00C3321C">
        <w:rPr>
          <w:rFonts w:ascii="Lato" w:eastAsia="Calibri" w:hAnsi="Lato" w:cs="Times New Roman"/>
          <w:bCs/>
          <w:spacing w:val="4"/>
        </w:rPr>
        <w:t>tłokami. Zamierzenie budowlane ma polegać na budowie dwóch śluz nadawczo-odbiorczych tłoka DN</w:t>
      </w:r>
      <w:r w:rsidR="002D006C">
        <w:rPr>
          <w:rFonts w:ascii="Lato" w:eastAsia="Calibri" w:hAnsi="Lato" w:cs="Times New Roman"/>
          <w:bCs/>
          <w:spacing w:val="4"/>
        </w:rPr>
        <w:t xml:space="preserve"> </w:t>
      </w:r>
      <w:r w:rsidR="003B572F" w:rsidRPr="00C3321C">
        <w:rPr>
          <w:rFonts w:ascii="Lato" w:eastAsia="Calibri" w:hAnsi="Lato" w:cs="Times New Roman"/>
          <w:bCs/>
          <w:spacing w:val="4"/>
        </w:rPr>
        <w:t>800, stanowiącej rozbudowę istniejącego rurociągu rezerwowego przesyłowego dalekosiężnego ropy naftowej DN</w:t>
      </w:r>
      <w:r w:rsidR="002D006C">
        <w:rPr>
          <w:rFonts w:ascii="Lato" w:eastAsia="Calibri" w:hAnsi="Lato" w:cs="Times New Roman"/>
          <w:bCs/>
          <w:spacing w:val="4"/>
        </w:rPr>
        <w:t xml:space="preserve"> </w:t>
      </w:r>
      <w:r w:rsidR="003B572F" w:rsidRPr="00C3321C">
        <w:rPr>
          <w:rFonts w:ascii="Lato" w:eastAsia="Calibri" w:hAnsi="Lato" w:cs="Times New Roman"/>
          <w:bCs/>
          <w:spacing w:val="4"/>
        </w:rPr>
        <w:t xml:space="preserve">800 PN 5,5 </w:t>
      </w:r>
      <w:proofErr w:type="spellStart"/>
      <w:r w:rsidR="003B572F" w:rsidRPr="00C3321C">
        <w:rPr>
          <w:rFonts w:ascii="Lato" w:eastAsia="Calibri" w:hAnsi="Lato" w:cs="Times New Roman"/>
          <w:bCs/>
          <w:spacing w:val="4"/>
        </w:rPr>
        <w:t>MPa</w:t>
      </w:r>
      <w:proofErr w:type="spellEnd"/>
      <w:r w:rsidR="003B572F" w:rsidRPr="00C3321C">
        <w:rPr>
          <w:rFonts w:ascii="Lato" w:eastAsia="Calibri" w:hAnsi="Lato" w:cs="Times New Roman"/>
          <w:bCs/>
          <w:spacing w:val="4"/>
        </w:rPr>
        <w:t xml:space="preserve">, przechodzącego pod rzeką Martwa Wisła, wraz </w:t>
      </w:r>
      <w:r w:rsidR="002D006C">
        <w:rPr>
          <w:rFonts w:ascii="Lato" w:eastAsia="Calibri" w:hAnsi="Lato" w:cs="Times New Roman"/>
          <w:bCs/>
          <w:spacing w:val="4"/>
        </w:rPr>
        <w:br/>
      </w:r>
      <w:r w:rsidR="003B572F" w:rsidRPr="00C3321C">
        <w:rPr>
          <w:rFonts w:ascii="Lato" w:eastAsia="Calibri" w:hAnsi="Lato" w:cs="Times New Roman"/>
          <w:bCs/>
          <w:spacing w:val="4"/>
        </w:rPr>
        <w:t>z infrastrukturą towarzyszącą oraz wykonaniem przebudowy tego rurociągu, w celu włączenia śluz nadawczo-odbiorczych tłoka.</w:t>
      </w:r>
    </w:p>
    <w:p w14:paraId="2545C54F" w14:textId="5343CE23" w:rsidR="004D1790" w:rsidRPr="00C3321C" w:rsidRDefault="00370924"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iCs/>
          <w:spacing w:val="4"/>
        </w:rPr>
      </w:pPr>
      <w:r w:rsidRPr="00C3321C">
        <w:rPr>
          <w:rFonts w:ascii="Lato" w:eastAsia="Calibri" w:hAnsi="Lato" w:cs="Times New Roman"/>
          <w:bCs/>
          <w:iCs/>
          <w:spacing w:val="4"/>
        </w:rPr>
        <w:t xml:space="preserve">Analizując złożony przez inwestora wniosek, Minister uznał, że zawiera on wszystkie elementy wymagane na podstawie przepisu art. </w:t>
      </w:r>
      <w:r w:rsidR="00D600FF" w:rsidRPr="00C3321C">
        <w:rPr>
          <w:rFonts w:ascii="Lato" w:eastAsia="Calibri" w:hAnsi="Lato" w:cs="Times New Roman"/>
          <w:bCs/>
          <w:iCs/>
          <w:spacing w:val="4"/>
        </w:rPr>
        <w:t xml:space="preserve">4 ust. 1 </w:t>
      </w:r>
      <w:r w:rsidRPr="00C3321C">
        <w:rPr>
          <w:rFonts w:ascii="Lato" w:eastAsia="Calibri" w:hAnsi="Lato" w:cs="Times New Roman"/>
          <w:bCs/>
          <w:iCs/>
          <w:spacing w:val="4"/>
        </w:rPr>
        <w:t xml:space="preserve">specustawy </w:t>
      </w:r>
      <w:r w:rsidR="00D600FF" w:rsidRPr="00C3321C">
        <w:rPr>
          <w:rFonts w:ascii="Lato" w:eastAsia="Calibri" w:hAnsi="Lato" w:cs="Times New Roman"/>
          <w:bCs/>
          <w:iCs/>
          <w:spacing w:val="4"/>
        </w:rPr>
        <w:t>naftowej</w:t>
      </w:r>
      <w:r w:rsidRPr="00C3321C">
        <w:rPr>
          <w:rFonts w:ascii="Lato" w:eastAsia="Calibri" w:hAnsi="Lato" w:cs="Times New Roman"/>
          <w:bCs/>
          <w:iCs/>
          <w:spacing w:val="4"/>
        </w:rPr>
        <w:t>, niezbędne w okolicznościach niniejszej sprawy.</w:t>
      </w:r>
      <w:r w:rsidR="00D600FF" w:rsidRPr="00C3321C">
        <w:rPr>
          <w:rFonts w:ascii="Lato" w:eastAsia="Calibri" w:hAnsi="Lato" w:cs="Times New Roman"/>
          <w:bCs/>
          <w:spacing w:val="4"/>
        </w:rPr>
        <w:t xml:space="preserve"> </w:t>
      </w:r>
      <w:r w:rsidR="00C1630E" w:rsidRPr="00C3321C">
        <w:rPr>
          <w:rFonts w:ascii="Lato" w:eastAsia="Calibri" w:hAnsi="Lato" w:cs="Times New Roman"/>
          <w:bCs/>
          <w:spacing w:val="4"/>
        </w:rPr>
        <w:t xml:space="preserve">Następnie organ odwoławczy poddał kontroli przeprowadzone przez Wojewodę </w:t>
      </w:r>
      <w:r w:rsidR="005F5826" w:rsidRPr="00C3321C">
        <w:rPr>
          <w:rFonts w:ascii="Lato" w:eastAsia="Calibri" w:hAnsi="Lato" w:cs="Times New Roman"/>
          <w:bCs/>
          <w:spacing w:val="4"/>
        </w:rPr>
        <w:t xml:space="preserve">Pomorskiego </w:t>
      </w:r>
      <w:r w:rsidR="00C1630E" w:rsidRPr="00C3321C">
        <w:rPr>
          <w:rFonts w:ascii="Lato" w:eastAsia="Calibri" w:hAnsi="Lato" w:cs="Times New Roman"/>
          <w:bCs/>
          <w:spacing w:val="4"/>
        </w:rPr>
        <w:t xml:space="preserve">postępowanie o wydanie </w:t>
      </w:r>
      <w:bookmarkStart w:id="4" w:name="_Hlk122521283"/>
      <w:r w:rsidR="00C1630E" w:rsidRPr="00C3321C">
        <w:rPr>
          <w:rFonts w:ascii="Lato" w:eastAsia="Calibri" w:hAnsi="Lato" w:cs="Times New Roman"/>
          <w:bCs/>
          <w:spacing w:val="4"/>
        </w:rPr>
        <w:t xml:space="preserve">decyzji </w:t>
      </w:r>
      <w:r w:rsidR="005F5826" w:rsidRPr="00C3321C">
        <w:rPr>
          <w:rFonts w:ascii="Lato" w:eastAsia="Calibri" w:hAnsi="Lato" w:cs="Times New Roman"/>
          <w:bCs/>
          <w:spacing w:val="4"/>
        </w:rPr>
        <w:br/>
        <w:t>o ustaleniu lokalizacji strategicznej inwestycji w sektorze naftowym</w:t>
      </w:r>
      <w:bookmarkEnd w:id="4"/>
      <w:r w:rsidR="005F5826" w:rsidRPr="00C3321C">
        <w:rPr>
          <w:rFonts w:ascii="Lato" w:eastAsia="Calibri" w:hAnsi="Lato" w:cs="Times New Roman"/>
          <w:bCs/>
          <w:spacing w:val="4"/>
        </w:rPr>
        <w:t xml:space="preserve"> </w:t>
      </w:r>
      <w:r w:rsidR="00C1630E" w:rsidRPr="00C3321C">
        <w:rPr>
          <w:rFonts w:ascii="Lato" w:eastAsia="Calibri" w:hAnsi="Lato" w:cs="Times New Roman"/>
          <w:bCs/>
          <w:spacing w:val="4"/>
        </w:rPr>
        <w:t xml:space="preserve">i stwierdził, </w:t>
      </w:r>
      <w:r w:rsidR="005F5826" w:rsidRPr="00C3321C">
        <w:rPr>
          <w:rFonts w:ascii="Lato" w:eastAsia="Calibri" w:hAnsi="Lato" w:cs="Times New Roman"/>
          <w:bCs/>
          <w:spacing w:val="4"/>
        </w:rPr>
        <w:br/>
      </w:r>
      <w:r w:rsidR="00C1630E" w:rsidRPr="00C3321C">
        <w:rPr>
          <w:rFonts w:ascii="Lato" w:eastAsia="Calibri" w:hAnsi="Lato" w:cs="Times New Roman"/>
          <w:bCs/>
          <w:spacing w:val="4"/>
        </w:rPr>
        <w:t>co następuje. W ocenie Ministra, organ pierwszej instancji prawidłowo poinformował strony o wszczętym postępowaniu, podał jego podstawę prawną, pouczył o prawie do składania wniosków, uwag i zastrzeżeń, a zatem należycie i wyczerpująco poinformował strony o okolicznościach faktycznych i prawnych, będących przedmiotem postępowania administracyjnego, które mogły mieć wpływ na ustalenie ich praw i obowiązków.</w:t>
      </w:r>
      <w:r w:rsidR="005F5826" w:rsidRPr="00C3321C">
        <w:rPr>
          <w:rFonts w:ascii="Lato" w:eastAsia="Calibri" w:hAnsi="Lato" w:cs="Times New Roman"/>
          <w:bCs/>
          <w:spacing w:val="4"/>
        </w:rPr>
        <w:t xml:space="preserve"> </w:t>
      </w:r>
      <w:r w:rsidR="00C1630E" w:rsidRPr="00C3321C">
        <w:rPr>
          <w:rFonts w:ascii="Lato" w:eastAsia="Calibri" w:hAnsi="Lato" w:cs="Times New Roman"/>
          <w:bCs/>
          <w:spacing w:val="4"/>
        </w:rPr>
        <w:t xml:space="preserve">Wojewoda </w:t>
      </w:r>
      <w:r w:rsidR="005F5826" w:rsidRPr="00C3321C">
        <w:rPr>
          <w:rFonts w:ascii="Lato" w:eastAsia="Calibri" w:hAnsi="Lato" w:cs="Times New Roman"/>
          <w:bCs/>
          <w:spacing w:val="4"/>
        </w:rPr>
        <w:t xml:space="preserve">Pomorski </w:t>
      </w:r>
      <w:r w:rsidR="00C1630E" w:rsidRPr="00C3321C">
        <w:rPr>
          <w:rFonts w:ascii="Lato" w:eastAsia="Calibri" w:hAnsi="Lato" w:cs="Times New Roman"/>
          <w:bCs/>
          <w:spacing w:val="4"/>
        </w:rPr>
        <w:t xml:space="preserve">pismem z dnia </w:t>
      </w:r>
      <w:r w:rsidR="005F5826" w:rsidRPr="00C3321C">
        <w:rPr>
          <w:rFonts w:ascii="Lato" w:eastAsia="Calibri" w:hAnsi="Lato" w:cs="Times New Roman"/>
          <w:bCs/>
          <w:spacing w:val="4"/>
        </w:rPr>
        <w:t>10 grudnia 2025 r., znak: WI-V.747.1.24.2025.JP.b</w:t>
      </w:r>
      <w:r w:rsidR="00C1630E" w:rsidRPr="00C3321C">
        <w:rPr>
          <w:rFonts w:ascii="Lato" w:eastAsia="Calibri" w:hAnsi="Lato" w:cs="Times New Roman"/>
          <w:bCs/>
          <w:spacing w:val="4"/>
        </w:rPr>
        <w:t xml:space="preserve">, zawiadomił o wszczęciu postępowania wnioskodawcę, właścicieli i użytkowników wieczystych nieruchomości objętych wnioskiem, wysyłając zawiadomienie na adresy wskazane w katastrze nieruchomości. Pozostałe strony postępowania zostały poinformowane o jego wszczęciu w drodze obwieszczenia. W zawiadomieniu </w:t>
      </w:r>
      <w:r w:rsidR="00C80A48" w:rsidRPr="00C3321C">
        <w:rPr>
          <w:rFonts w:ascii="Lato" w:eastAsia="Calibri" w:hAnsi="Lato" w:cs="Times New Roman"/>
          <w:bCs/>
          <w:spacing w:val="4"/>
        </w:rPr>
        <w:br/>
      </w:r>
      <w:r w:rsidR="00C1630E" w:rsidRPr="00C3321C">
        <w:rPr>
          <w:rFonts w:ascii="Lato" w:eastAsia="Calibri" w:hAnsi="Lato" w:cs="Times New Roman"/>
          <w:bCs/>
          <w:spacing w:val="4"/>
        </w:rPr>
        <w:t xml:space="preserve">i obwieszczeniu organ I instancji poinformował o miejscu, gdzie strony mogą zapoznać się z dokumentacją dotyczącą inwestycji. </w:t>
      </w:r>
      <w:r w:rsidR="00C80A48" w:rsidRPr="00C3321C">
        <w:rPr>
          <w:rFonts w:ascii="Lato" w:eastAsia="Calibri" w:hAnsi="Lato" w:cs="Times New Roman"/>
          <w:bCs/>
          <w:iCs/>
          <w:spacing w:val="4"/>
        </w:rPr>
        <w:t xml:space="preserve">W toku postępowania przed Wojewodą </w:t>
      </w:r>
      <w:r w:rsidR="005F5826" w:rsidRPr="00C3321C">
        <w:rPr>
          <w:rFonts w:ascii="Lato" w:eastAsia="Calibri" w:hAnsi="Lato" w:cs="Times New Roman"/>
          <w:bCs/>
          <w:iCs/>
          <w:spacing w:val="4"/>
        </w:rPr>
        <w:t xml:space="preserve">Pomorskim </w:t>
      </w:r>
      <w:r w:rsidR="0087034F" w:rsidRPr="00C3321C">
        <w:rPr>
          <w:rFonts w:ascii="Lato" w:eastAsia="Calibri" w:hAnsi="Lato" w:cs="Times New Roman"/>
          <w:bCs/>
          <w:iCs/>
          <w:spacing w:val="4"/>
        </w:rPr>
        <w:t xml:space="preserve">nie </w:t>
      </w:r>
      <w:r w:rsidR="00C80A48" w:rsidRPr="00C3321C">
        <w:rPr>
          <w:rFonts w:ascii="Lato" w:eastAsia="Calibri" w:hAnsi="Lato" w:cs="Times New Roman"/>
          <w:bCs/>
          <w:iCs/>
          <w:spacing w:val="4"/>
        </w:rPr>
        <w:t>wniesiono zastrzeże</w:t>
      </w:r>
      <w:r w:rsidR="0087034F" w:rsidRPr="00C3321C">
        <w:rPr>
          <w:rFonts w:ascii="Lato" w:eastAsia="Calibri" w:hAnsi="Lato" w:cs="Times New Roman"/>
          <w:bCs/>
          <w:iCs/>
          <w:spacing w:val="4"/>
        </w:rPr>
        <w:t>ń i uwag.</w:t>
      </w:r>
      <w:r w:rsidR="00C80A48" w:rsidRPr="00C3321C">
        <w:rPr>
          <w:rFonts w:ascii="Lato" w:eastAsia="Calibri" w:hAnsi="Lato" w:cs="Times New Roman"/>
          <w:bCs/>
          <w:iCs/>
          <w:spacing w:val="4"/>
        </w:rPr>
        <w:t xml:space="preserve"> </w:t>
      </w:r>
    </w:p>
    <w:p w14:paraId="0731C85C" w14:textId="6DDFEF39" w:rsidR="007A5673" w:rsidRPr="00C3321C" w:rsidRDefault="00C1630E"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spacing w:val="4"/>
        </w:rPr>
      </w:pPr>
      <w:r w:rsidRPr="00C3321C">
        <w:rPr>
          <w:rFonts w:ascii="Lato" w:eastAsia="Calibri" w:hAnsi="Lato" w:cs="Times New Roman"/>
          <w:bCs/>
          <w:spacing w:val="4"/>
        </w:rPr>
        <w:t xml:space="preserve">Uznając, że zebrany w sprawie materiał dowodowy pozwala na wydanie rozstrzygnięcia, Wojewoda </w:t>
      </w:r>
      <w:r w:rsidR="005F5826" w:rsidRPr="00C3321C">
        <w:rPr>
          <w:rFonts w:ascii="Lato" w:eastAsia="Calibri" w:hAnsi="Lato" w:cs="Times New Roman"/>
          <w:bCs/>
          <w:spacing w:val="4"/>
        </w:rPr>
        <w:t xml:space="preserve">Pomorski wydał w dniu 5 stycznia 2026 r. decyzję o ustaleniu lokalizacji strategicznej inwestycji w sektorze naftowym. </w:t>
      </w:r>
      <w:r w:rsidR="005F5826" w:rsidRPr="00C3321C">
        <w:rPr>
          <w:rFonts w:ascii="Lato" w:eastAsia="Calibri" w:hAnsi="Lato" w:cs="Times New Roman"/>
          <w:bCs/>
          <w:iCs/>
          <w:spacing w:val="4"/>
        </w:rPr>
        <w:t xml:space="preserve">Stosownie do art. 35 ust. 1 </w:t>
      </w:r>
      <w:r w:rsidR="005F5826" w:rsidRPr="00C3321C">
        <w:rPr>
          <w:rFonts w:ascii="Lato" w:eastAsia="Calibri" w:hAnsi="Lato" w:cs="Times New Roman"/>
          <w:bCs/>
          <w:spacing w:val="4"/>
        </w:rPr>
        <w:t>specustawy naftowej</w:t>
      </w:r>
      <w:r w:rsidR="005F5826" w:rsidRPr="00C3321C">
        <w:rPr>
          <w:rFonts w:ascii="Lato" w:eastAsia="Calibri" w:hAnsi="Lato" w:cs="Times New Roman"/>
          <w:bCs/>
          <w:i/>
          <w:iCs/>
          <w:spacing w:val="4"/>
        </w:rPr>
        <w:t xml:space="preserve"> </w:t>
      </w:r>
      <w:r w:rsidR="005F5826" w:rsidRPr="00C3321C">
        <w:rPr>
          <w:rFonts w:ascii="Lato" w:eastAsia="Calibri" w:hAnsi="Lato" w:cs="Times New Roman"/>
          <w:bCs/>
          <w:iCs/>
          <w:spacing w:val="4"/>
        </w:rPr>
        <w:t>decyzja podlega natychmiastowemu wykonaniu</w:t>
      </w:r>
      <w:r w:rsidRPr="00C3321C">
        <w:rPr>
          <w:rFonts w:ascii="Lato" w:eastAsia="Calibri" w:hAnsi="Lato" w:cs="Times New Roman"/>
          <w:bCs/>
          <w:spacing w:val="4"/>
        </w:rPr>
        <w:t>.</w:t>
      </w:r>
      <w:r w:rsidRPr="00C3321C">
        <w:rPr>
          <w:rFonts w:ascii="Lato" w:eastAsia="Calibri" w:hAnsi="Lato" w:cs="Times New Roman"/>
          <w:bCs/>
          <w:spacing w:val="4"/>
          <w:lang w:bidi="pl-PL"/>
        </w:rPr>
        <w:t xml:space="preserve"> </w:t>
      </w:r>
      <w:r w:rsidR="005F5826" w:rsidRPr="00C3321C">
        <w:rPr>
          <w:rFonts w:ascii="Lato" w:eastAsia="Calibri" w:hAnsi="Lato" w:cs="Times New Roman"/>
          <w:bCs/>
          <w:iCs/>
          <w:spacing w:val="4"/>
          <w:lang w:bidi="pl-PL"/>
        </w:rPr>
        <w:t xml:space="preserve">W myśl art. 10 ust. </w:t>
      </w:r>
      <w:r w:rsidR="004D1790" w:rsidRPr="00C3321C">
        <w:rPr>
          <w:rFonts w:ascii="Lato" w:eastAsia="Calibri" w:hAnsi="Lato" w:cs="Times New Roman"/>
          <w:bCs/>
          <w:iCs/>
          <w:spacing w:val="4"/>
          <w:lang w:bidi="pl-PL"/>
        </w:rPr>
        <w:br/>
      </w:r>
      <w:r w:rsidR="005F5826" w:rsidRPr="00C3321C">
        <w:rPr>
          <w:rFonts w:ascii="Lato" w:eastAsia="Calibri" w:hAnsi="Lato" w:cs="Times New Roman"/>
          <w:bCs/>
          <w:iCs/>
          <w:spacing w:val="4"/>
          <w:lang w:bidi="pl-PL"/>
        </w:rPr>
        <w:t xml:space="preserve">1 </w:t>
      </w:r>
      <w:r w:rsidR="005F5826" w:rsidRPr="00C3321C">
        <w:rPr>
          <w:rFonts w:ascii="Lato" w:eastAsia="Calibri" w:hAnsi="Lato" w:cs="Times New Roman"/>
          <w:bCs/>
          <w:spacing w:val="4"/>
          <w:lang w:bidi="pl-PL"/>
        </w:rPr>
        <w:t>specustawy naftowej</w:t>
      </w:r>
      <w:r w:rsidRPr="00C3321C">
        <w:rPr>
          <w:rFonts w:ascii="Lato" w:eastAsia="Calibri" w:hAnsi="Lato" w:cs="Times New Roman"/>
          <w:bCs/>
          <w:spacing w:val="4"/>
        </w:rPr>
        <w:t xml:space="preserve">, Wojewoda </w:t>
      </w:r>
      <w:r w:rsidR="004D1790" w:rsidRPr="00C3321C">
        <w:rPr>
          <w:rFonts w:ascii="Lato" w:eastAsia="Calibri" w:hAnsi="Lato" w:cs="Times New Roman"/>
          <w:bCs/>
          <w:spacing w:val="4"/>
        </w:rPr>
        <w:t xml:space="preserve">Pomorski </w:t>
      </w:r>
      <w:r w:rsidRPr="00C3321C">
        <w:rPr>
          <w:rFonts w:ascii="Lato" w:eastAsia="Calibri" w:hAnsi="Lato" w:cs="Times New Roman"/>
          <w:bCs/>
          <w:spacing w:val="4"/>
        </w:rPr>
        <w:t xml:space="preserve">doręczył ww. decyzję wnioskodawcy oraz zawiadomił o jej wydaniu pozostałe strony w drodze obwieszczeń. Właścicieli </w:t>
      </w:r>
      <w:r w:rsidR="004D1790" w:rsidRPr="00C3321C">
        <w:rPr>
          <w:rFonts w:ascii="Lato" w:eastAsia="Calibri" w:hAnsi="Lato" w:cs="Times New Roman"/>
          <w:bCs/>
          <w:spacing w:val="4"/>
        </w:rPr>
        <w:br/>
      </w:r>
      <w:r w:rsidRPr="00C3321C">
        <w:rPr>
          <w:rFonts w:ascii="Lato" w:eastAsia="Calibri" w:hAnsi="Lato" w:cs="Times New Roman"/>
          <w:bCs/>
          <w:spacing w:val="4"/>
        </w:rPr>
        <w:t>i użytkowników wieczystych nieruchomości objętych decyzją Wojewody</w:t>
      </w:r>
      <w:r w:rsidR="004D1790" w:rsidRPr="00C3321C">
        <w:rPr>
          <w:rFonts w:ascii="Lato" w:eastAsia="Calibri" w:hAnsi="Lato" w:cs="Times New Roman"/>
          <w:bCs/>
          <w:spacing w:val="4"/>
        </w:rPr>
        <w:t xml:space="preserve"> Pomorskiego</w:t>
      </w:r>
      <w:r w:rsidRPr="00C3321C">
        <w:rPr>
          <w:rFonts w:ascii="Lato" w:eastAsia="Calibri" w:hAnsi="Lato" w:cs="Times New Roman"/>
          <w:bCs/>
          <w:spacing w:val="4"/>
        </w:rPr>
        <w:t xml:space="preserve">, organ I instancji poinformował o wydaniu decyzji w drodze zawiadomienia z dnia </w:t>
      </w:r>
      <w:r w:rsidR="004D1790" w:rsidRPr="00C3321C">
        <w:rPr>
          <w:rFonts w:ascii="Lato" w:eastAsia="Calibri" w:hAnsi="Lato" w:cs="Times New Roman"/>
          <w:bCs/>
          <w:spacing w:val="4"/>
        </w:rPr>
        <w:br/>
        <w:t xml:space="preserve">5 stycznia 2026 r., </w:t>
      </w:r>
      <w:r w:rsidRPr="00C3321C">
        <w:rPr>
          <w:rFonts w:ascii="Lato" w:eastAsia="Calibri" w:hAnsi="Lato" w:cs="Times New Roman"/>
          <w:bCs/>
          <w:spacing w:val="4"/>
        </w:rPr>
        <w:t>znak:</w:t>
      </w:r>
      <w:r w:rsidR="00EF6217" w:rsidRPr="00C3321C">
        <w:rPr>
          <w:rFonts w:ascii="Lato" w:eastAsia="Calibri" w:hAnsi="Lato" w:cs="Times New Roman"/>
          <w:bCs/>
          <w:spacing w:val="4"/>
        </w:rPr>
        <w:t xml:space="preserve"> </w:t>
      </w:r>
      <w:r w:rsidR="004D1790" w:rsidRPr="00C3321C">
        <w:rPr>
          <w:rFonts w:ascii="Lato" w:eastAsia="Calibri" w:hAnsi="Lato" w:cs="Times New Roman"/>
          <w:bCs/>
          <w:spacing w:val="4"/>
        </w:rPr>
        <w:t>WI-V.747.1.24.2025.JP.f</w:t>
      </w:r>
      <w:r w:rsidRPr="00C3321C">
        <w:rPr>
          <w:rFonts w:ascii="Lato" w:eastAsia="Calibri" w:hAnsi="Lato" w:cs="Times New Roman"/>
          <w:bCs/>
          <w:spacing w:val="4"/>
        </w:rPr>
        <w:t xml:space="preserve">, wysyłanego na adres wskazany </w:t>
      </w:r>
      <w:r w:rsidR="004D1790" w:rsidRPr="00C3321C">
        <w:rPr>
          <w:rFonts w:ascii="Lato" w:eastAsia="Calibri" w:hAnsi="Lato" w:cs="Times New Roman"/>
          <w:bCs/>
          <w:spacing w:val="4"/>
        </w:rPr>
        <w:br/>
      </w:r>
      <w:r w:rsidRPr="00C3321C">
        <w:rPr>
          <w:rFonts w:ascii="Lato" w:eastAsia="Calibri" w:hAnsi="Lato" w:cs="Times New Roman"/>
          <w:bCs/>
          <w:spacing w:val="4"/>
        </w:rPr>
        <w:t xml:space="preserve">w katastrze nieruchomości. </w:t>
      </w:r>
      <w:r w:rsidR="00EF6217" w:rsidRPr="00C3321C">
        <w:rPr>
          <w:rFonts w:ascii="Lato" w:eastAsia="Calibri" w:hAnsi="Lato" w:cs="Times New Roman"/>
          <w:bCs/>
          <w:iCs/>
          <w:spacing w:val="4"/>
          <w:lang w:bidi="pl-PL"/>
        </w:rPr>
        <w:t xml:space="preserve">Kontrolowana </w:t>
      </w:r>
      <w:r w:rsidR="00EF6217" w:rsidRPr="00C3321C">
        <w:rPr>
          <w:rFonts w:ascii="Lato" w:eastAsia="Calibri" w:hAnsi="Lato" w:cs="Times New Roman"/>
          <w:bCs/>
          <w:spacing w:val="4"/>
          <w:lang w:bidi="pl-PL"/>
        </w:rPr>
        <w:t xml:space="preserve">decyzja Wojewody </w:t>
      </w:r>
      <w:r w:rsidR="004D1790" w:rsidRPr="00C3321C">
        <w:rPr>
          <w:rFonts w:ascii="Lato" w:eastAsia="Calibri" w:hAnsi="Lato" w:cs="Times New Roman"/>
          <w:bCs/>
          <w:spacing w:val="4"/>
          <w:lang w:bidi="pl-PL"/>
        </w:rPr>
        <w:t>Pomorskiego</w:t>
      </w:r>
      <w:r w:rsidR="00EF6217" w:rsidRPr="00C3321C">
        <w:rPr>
          <w:rFonts w:ascii="Lato" w:eastAsia="Calibri" w:hAnsi="Lato" w:cs="Times New Roman"/>
          <w:bCs/>
          <w:spacing w:val="4"/>
          <w:lang w:bidi="pl-PL"/>
        </w:rPr>
        <w:t xml:space="preserve">, z wyjątkiem </w:t>
      </w:r>
      <w:r w:rsidR="00EF6217" w:rsidRPr="00C3321C">
        <w:rPr>
          <w:rFonts w:ascii="Lato" w:eastAsia="Calibri" w:hAnsi="Lato" w:cs="Times New Roman"/>
          <w:bCs/>
          <w:spacing w:val="4"/>
          <w:lang w:bidi="pl-PL"/>
        </w:rPr>
        <w:lastRenderedPageBreak/>
        <w:t xml:space="preserve">uchybienia omówionego poniżej, </w:t>
      </w:r>
      <w:r w:rsidR="00EF6217" w:rsidRPr="00C3321C">
        <w:rPr>
          <w:rFonts w:ascii="Lato" w:eastAsia="Calibri" w:hAnsi="Lato" w:cs="Times New Roman"/>
          <w:bCs/>
          <w:iCs/>
          <w:spacing w:val="4"/>
          <w:lang w:bidi="pl-PL"/>
        </w:rPr>
        <w:t xml:space="preserve">czyni zadość wymogom przedstawionym w art. </w:t>
      </w:r>
      <w:r w:rsidR="004D1790" w:rsidRPr="00C3321C">
        <w:rPr>
          <w:rFonts w:ascii="Lato" w:eastAsia="Calibri" w:hAnsi="Lato" w:cs="Times New Roman"/>
          <w:bCs/>
          <w:iCs/>
          <w:spacing w:val="4"/>
          <w:lang w:bidi="pl-PL"/>
        </w:rPr>
        <w:t>8</w:t>
      </w:r>
      <w:r w:rsidR="00EF6217" w:rsidRPr="00C3321C">
        <w:rPr>
          <w:rFonts w:ascii="Lato" w:eastAsia="Calibri" w:hAnsi="Lato" w:cs="Times New Roman"/>
          <w:bCs/>
          <w:iCs/>
          <w:spacing w:val="4"/>
          <w:lang w:bidi="pl-PL"/>
        </w:rPr>
        <w:t xml:space="preserve"> ust. 1 </w:t>
      </w:r>
      <w:r w:rsidR="00EF6217" w:rsidRPr="00C3321C">
        <w:rPr>
          <w:rFonts w:ascii="Lato" w:eastAsia="Calibri" w:hAnsi="Lato" w:cs="Times New Roman"/>
          <w:bCs/>
          <w:spacing w:val="4"/>
          <w:lang w:bidi="pl-PL"/>
        </w:rPr>
        <w:t>specustawy</w:t>
      </w:r>
      <w:r w:rsidR="004D1790" w:rsidRPr="00C3321C">
        <w:rPr>
          <w:rFonts w:ascii="Lato" w:eastAsia="Calibri" w:hAnsi="Lato" w:cs="Times New Roman"/>
          <w:bCs/>
          <w:spacing w:val="4"/>
          <w:lang w:bidi="pl-PL"/>
        </w:rPr>
        <w:t xml:space="preserve"> naftowej</w:t>
      </w:r>
      <w:r w:rsidR="00EF6217" w:rsidRPr="00C3321C">
        <w:rPr>
          <w:rFonts w:ascii="Lato" w:eastAsia="Calibri" w:hAnsi="Lato" w:cs="Times New Roman"/>
          <w:bCs/>
          <w:iCs/>
          <w:spacing w:val="4"/>
          <w:lang w:bidi="pl-PL"/>
        </w:rPr>
        <w:t>, bowiem zawiera wszystkie niezbędne w okolicznościach niniejszej sprawy elementy określone w tym przepisie.</w:t>
      </w:r>
      <w:r w:rsidR="00EF6217" w:rsidRPr="00C3321C">
        <w:rPr>
          <w:rFonts w:ascii="Lato" w:eastAsia="Calibri" w:hAnsi="Lato" w:cs="Times New Roman"/>
          <w:bCs/>
          <w:spacing w:val="4"/>
        </w:rPr>
        <w:t xml:space="preserve"> </w:t>
      </w:r>
      <w:r w:rsidRPr="00C3321C">
        <w:rPr>
          <w:rFonts w:ascii="Lato" w:eastAsia="Calibri" w:hAnsi="Lato" w:cs="Times New Roman"/>
          <w:bCs/>
          <w:spacing w:val="4"/>
          <w:lang w:bidi="pl-PL"/>
        </w:rPr>
        <w:t xml:space="preserve">Projekt </w:t>
      </w:r>
      <w:r w:rsidRPr="00C3321C">
        <w:rPr>
          <w:rFonts w:ascii="Lato" w:eastAsia="Calibri" w:hAnsi="Lato" w:cs="Times New Roman"/>
          <w:bCs/>
          <w:spacing w:val="4"/>
          <w:lang w:val="x-none"/>
        </w:rPr>
        <w:t>decyzji został sporządzony przez osobę</w:t>
      </w:r>
      <w:r w:rsidRPr="00C3321C">
        <w:rPr>
          <w:rFonts w:ascii="Lato" w:eastAsia="Calibri" w:hAnsi="Lato" w:cs="Times New Roman"/>
          <w:bCs/>
          <w:spacing w:val="4"/>
          <w:lang w:bidi="pl-PL"/>
        </w:rPr>
        <w:t xml:space="preserve"> spełniającą warunki, o których mowa w</w:t>
      </w:r>
      <w:r w:rsidRPr="00C3321C">
        <w:rPr>
          <w:rFonts w:ascii="Lato" w:eastAsia="Calibri" w:hAnsi="Lato" w:cs="Times New Roman"/>
          <w:bCs/>
          <w:spacing w:val="4"/>
          <w:lang w:val="x-none"/>
        </w:rPr>
        <w:t xml:space="preserve"> art. </w:t>
      </w:r>
      <w:r w:rsidR="004D1790" w:rsidRPr="00C3321C">
        <w:rPr>
          <w:rFonts w:ascii="Lato" w:eastAsia="Calibri" w:hAnsi="Lato" w:cs="Times New Roman"/>
          <w:bCs/>
          <w:spacing w:val="4"/>
          <w:lang w:bidi="pl-PL"/>
        </w:rPr>
        <w:t>8</w:t>
      </w:r>
      <w:r w:rsidRPr="00C3321C">
        <w:rPr>
          <w:rFonts w:ascii="Lato" w:eastAsia="Calibri" w:hAnsi="Lato" w:cs="Times New Roman"/>
          <w:bCs/>
          <w:spacing w:val="4"/>
          <w:lang w:val="x-none"/>
        </w:rPr>
        <w:t xml:space="preserve"> ust. 2 specustawy</w:t>
      </w:r>
      <w:r w:rsidR="004D1790" w:rsidRPr="00C3321C">
        <w:rPr>
          <w:rFonts w:ascii="Lato" w:eastAsia="Calibri" w:hAnsi="Lato" w:cs="Times New Roman"/>
          <w:bCs/>
          <w:spacing w:val="4"/>
          <w:lang w:bidi="pl-PL"/>
        </w:rPr>
        <w:t xml:space="preserve"> naftowej</w:t>
      </w:r>
      <w:r w:rsidRPr="00C3321C">
        <w:rPr>
          <w:rFonts w:ascii="Lato" w:eastAsia="Calibri" w:hAnsi="Lato" w:cs="Times New Roman"/>
          <w:bCs/>
          <w:spacing w:val="4"/>
          <w:lang w:bidi="pl-PL"/>
        </w:rPr>
        <w:t xml:space="preserve">. </w:t>
      </w:r>
    </w:p>
    <w:p w14:paraId="4667A77B" w14:textId="77777777" w:rsidR="004D1790" w:rsidRPr="00C3321C" w:rsidRDefault="004D1790" w:rsidP="00C3321C">
      <w:pPr>
        <w:spacing w:after="240" w:line="240" w:lineRule="exact"/>
        <w:jc w:val="both"/>
        <w:outlineLvl w:val="0"/>
        <w:rPr>
          <w:rFonts w:ascii="Lato" w:eastAsia="Times New Roman" w:hAnsi="Lato" w:cs="Arial"/>
          <w:color w:val="000000"/>
          <w:spacing w:val="4"/>
          <w:lang w:eastAsia="pl-PL"/>
        </w:rPr>
      </w:pPr>
      <w:r w:rsidRPr="00C3321C">
        <w:rPr>
          <w:rFonts w:ascii="Lato" w:hAnsi="Lato" w:cs="Arial"/>
          <w:spacing w:val="4"/>
        </w:rPr>
        <w:t xml:space="preserve">Po zapoznaniu się ze zgromadzonym materiałem dowodowym organ II instancji stwierdził, iż wydana w I instancji decyzja wymaga dokonania korekty merytoryczno-reformacyjnej. Należy zauważyć, iż przepis </w:t>
      </w:r>
      <w:r w:rsidRPr="00C3321C">
        <w:rPr>
          <w:rFonts w:ascii="Lato" w:eastAsia="Times New Roman" w:hAnsi="Lato" w:cs="Arial"/>
          <w:color w:val="000000"/>
          <w:spacing w:val="4"/>
          <w:lang w:eastAsia="pl-PL"/>
        </w:rPr>
        <w:t xml:space="preserve">art. 138 § 1 pkt 2 </w:t>
      </w:r>
      <w:r w:rsidRPr="00C3321C">
        <w:rPr>
          <w:rFonts w:ascii="Lato" w:eastAsia="Times New Roman" w:hAnsi="Lato" w:cs="Arial"/>
          <w:iCs/>
          <w:color w:val="000000"/>
          <w:spacing w:val="4"/>
          <w:lang w:eastAsia="pl-PL"/>
        </w:rPr>
        <w:t>kpa</w:t>
      </w:r>
      <w:r w:rsidRPr="00C3321C">
        <w:rPr>
          <w:rFonts w:ascii="Lato" w:eastAsia="Times New Roman" w:hAnsi="Lato" w:cs="Arial"/>
          <w:color w:val="000000"/>
          <w:spacing w:val="4"/>
          <w:lang w:eastAsia="pl-PL"/>
        </w:rPr>
        <w:t xml:space="preserve"> umożliwia organowi odwoławczemu korektę zaskarżonej decyzji przez jej uchylenie w części i orzeczenie </w:t>
      </w:r>
      <w:r w:rsidRPr="00C3321C">
        <w:rPr>
          <w:rFonts w:ascii="Lato" w:eastAsia="Times New Roman" w:hAnsi="Lato" w:cs="Arial"/>
          <w:color w:val="000000"/>
          <w:spacing w:val="4"/>
          <w:lang w:eastAsia="pl-PL"/>
        </w:rPr>
        <w:br/>
        <w:t>w tym zakresie co do istoty sprawy.</w:t>
      </w:r>
    </w:p>
    <w:p w14:paraId="2CA127B5" w14:textId="435D0B2A" w:rsidR="0028708C" w:rsidRPr="00C3321C" w:rsidRDefault="00D46882" w:rsidP="00C3321C">
      <w:pPr>
        <w:spacing w:after="240" w:line="240" w:lineRule="exact"/>
        <w:jc w:val="both"/>
        <w:outlineLvl w:val="0"/>
        <w:rPr>
          <w:rFonts w:ascii="Lato" w:eastAsia="Times New Roman" w:hAnsi="Lato" w:cs="Arial"/>
          <w:bCs/>
          <w:iCs/>
          <w:color w:val="000000"/>
          <w:spacing w:val="4"/>
          <w:lang w:eastAsia="pl-PL"/>
        </w:rPr>
      </w:pPr>
      <w:r w:rsidRPr="00C3321C">
        <w:rPr>
          <w:rFonts w:ascii="Lato" w:eastAsia="Times New Roman" w:hAnsi="Lato" w:cs="Arial"/>
          <w:bCs/>
          <w:iCs/>
          <w:color w:val="000000"/>
          <w:spacing w:val="4"/>
          <w:lang w:eastAsia="pl-PL"/>
        </w:rPr>
        <w:t xml:space="preserve">Analizując </w:t>
      </w:r>
      <w:r w:rsidRPr="00C3321C">
        <w:rPr>
          <w:rFonts w:ascii="Lato" w:eastAsia="Times New Roman" w:hAnsi="Lato" w:cs="Arial"/>
          <w:bCs/>
          <w:color w:val="000000"/>
          <w:spacing w:val="4"/>
          <w:lang w:eastAsia="pl-PL"/>
        </w:rPr>
        <w:t>decyzję Wojewody Pomorskiego</w:t>
      </w:r>
      <w:r w:rsidRPr="00C3321C">
        <w:rPr>
          <w:rFonts w:ascii="Lato" w:eastAsia="Times New Roman" w:hAnsi="Lato" w:cs="Arial"/>
          <w:bCs/>
          <w:i/>
          <w:iCs/>
          <w:color w:val="000000"/>
          <w:spacing w:val="4"/>
          <w:lang w:eastAsia="pl-PL"/>
        </w:rPr>
        <w:t xml:space="preserve"> </w:t>
      </w:r>
      <w:r w:rsidRPr="00C3321C">
        <w:rPr>
          <w:rFonts w:ascii="Lato" w:eastAsia="Times New Roman" w:hAnsi="Lato" w:cs="Arial"/>
          <w:bCs/>
          <w:iCs/>
          <w:color w:val="000000"/>
          <w:spacing w:val="4"/>
          <w:lang w:eastAsia="pl-PL"/>
        </w:rPr>
        <w:t>pod kątem spełnienia warunku, o którym mowa w art. 8 ust. 1 pkt 12 specustawy naftowej, Minister stwierdził, że Wojewoda Podmorski błędnie w pkt XII na str. 9 zaskarżonej decyzji odstąpił od ustalenia terminu wydania nieruchomości lub opróżnienia lokali i innych pomieszczeń, wskazując, że „Nie dotyczy - decyzja niniejsza nie wywołuje skutków, o których mowa w art. 26 ust. 3, 6 i 7</w:t>
      </w:r>
      <w:r w:rsidRPr="00C3321C">
        <w:rPr>
          <w:rFonts w:ascii="Lato" w:eastAsia="Times New Roman" w:hAnsi="Lato" w:cs="Arial"/>
          <w:bCs/>
          <w:i/>
          <w:iCs/>
          <w:color w:val="000000"/>
          <w:spacing w:val="4"/>
          <w:lang w:eastAsia="pl-PL"/>
        </w:rPr>
        <w:t xml:space="preserve"> </w:t>
      </w:r>
      <w:proofErr w:type="spellStart"/>
      <w:r w:rsidRPr="00C3321C">
        <w:rPr>
          <w:rFonts w:ascii="Lato" w:eastAsia="Times New Roman" w:hAnsi="Lato" w:cs="Arial"/>
          <w:bCs/>
          <w:i/>
          <w:iCs/>
          <w:color w:val="000000"/>
          <w:spacing w:val="4"/>
          <w:lang w:eastAsia="pl-PL"/>
        </w:rPr>
        <w:t>u.i.s.n</w:t>
      </w:r>
      <w:proofErr w:type="spellEnd"/>
      <w:r w:rsidRPr="00C3321C">
        <w:rPr>
          <w:rFonts w:ascii="Lato" w:eastAsia="Times New Roman" w:hAnsi="Lato" w:cs="Arial"/>
          <w:bCs/>
          <w:i/>
          <w:iCs/>
          <w:color w:val="000000"/>
          <w:spacing w:val="4"/>
          <w:lang w:eastAsia="pl-PL"/>
        </w:rPr>
        <w:t>.</w:t>
      </w:r>
      <w:r w:rsidRPr="00C3321C">
        <w:rPr>
          <w:rFonts w:ascii="Lato" w:eastAsia="Times New Roman" w:hAnsi="Lato" w:cs="Arial"/>
          <w:bCs/>
          <w:color w:val="000000"/>
          <w:spacing w:val="4"/>
          <w:lang w:eastAsia="pl-PL"/>
        </w:rPr>
        <w:t xml:space="preserve">”. </w:t>
      </w:r>
      <w:r w:rsidRPr="00C3321C">
        <w:rPr>
          <w:rFonts w:ascii="Lato" w:eastAsia="Times New Roman" w:hAnsi="Lato" w:cs="Arial"/>
          <w:bCs/>
          <w:iCs/>
          <w:color w:val="000000"/>
          <w:spacing w:val="4"/>
          <w:lang w:eastAsia="pl-PL"/>
        </w:rPr>
        <w:t>Odstąpienie przez organ I instancji od określenia terminu wydania nieruchomości lub opróżnienia lokali i innych pomieszczeń byłoby prawidłowym działaniem gdyby zaskarżona decyzja dotyczyła wyłącznie nieruchomości</w:t>
      </w:r>
      <w:r w:rsidR="0029758C">
        <w:rPr>
          <w:rFonts w:ascii="Lato" w:eastAsia="Times New Roman" w:hAnsi="Lato" w:cs="Arial"/>
          <w:bCs/>
          <w:iCs/>
          <w:color w:val="000000"/>
          <w:spacing w:val="4"/>
          <w:lang w:eastAsia="pl-PL"/>
        </w:rPr>
        <w:t xml:space="preserve"> </w:t>
      </w:r>
      <w:r w:rsidRPr="00C3321C">
        <w:rPr>
          <w:rFonts w:ascii="Lato" w:eastAsia="Times New Roman" w:hAnsi="Lato" w:cs="Arial"/>
          <w:bCs/>
          <w:iCs/>
          <w:color w:val="000000"/>
          <w:spacing w:val="4"/>
          <w:lang w:eastAsia="pl-PL"/>
        </w:rPr>
        <w:t>co do</w:t>
      </w:r>
      <w:r w:rsidR="0029758C">
        <w:rPr>
          <w:rFonts w:ascii="Lato" w:eastAsia="Times New Roman" w:hAnsi="Lato" w:cs="Arial"/>
          <w:bCs/>
          <w:iCs/>
          <w:color w:val="000000"/>
          <w:spacing w:val="4"/>
          <w:lang w:eastAsia="pl-PL"/>
        </w:rPr>
        <w:t xml:space="preserve"> </w:t>
      </w:r>
      <w:r w:rsidRPr="00C3321C">
        <w:rPr>
          <w:rFonts w:ascii="Lato" w:eastAsia="Times New Roman" w:hAnsi="Lato" w:cs="Arial"/>
          <w:bCs/>
          <w:iCs/>
          <w:color w:val="000000"/>
          <w:spacing w:val="4"/>
          <w:lang w:eastAsia="pl-PL"/>
        </w:rPr>
        <w:t>któr</w:t>
      </w:r>
      <w:r w:rsidR="00B36A1C">
        <w:rPr>
          <w:rFonts w:ascii="Lato" w:eastAsia="Times New Roman" w:hAnsi="Lato" w:cs="Arial"/>
          <w:bCs/>
          <w:iCs/>
          <w:color w:val="000000"/>
          <w:spacing w:val="4"/>
          <w:lang w:eastAsia="pl-PL"/>
        </w:rPr>
        <w:t>ych</w:t>
      </w:r>
      <w:r w:rsidRPr="00C3321C">
        <w:rPr>
          <w:rFonts w:ascii="Lato" w:eastAsia="Times New Roman" w:hAnsi="Lato" w:cs="Arial"/>
          <w:bCs/>
          <w:iCs/>
          <w:color w:val="000000"/>
          <w:spacing w:val="4"/>
          <w:lang w:eastAsia="pl-PL"/>
        </w:rPr>
        <w:t xml:space="preserve"> sposób wykonywania prawa własności został jedynie ograniczony (art. 30 ust. 1 specustawy naftowej). Termin, o którym mowa w art. 8 ust. 1 pkt 12 specustawy naftowej, nie dotyczy bowiem działek przeznaczonych do ograniczenia w korzystaniu na mocy art. 30 ust. 1 specustawy naftowej. Natomiast zakresem niniejszej inwestycji, oprócz działek ograniczonych w korzystaniu, są również objęte działki wymienione w pkt VII i VIII decyzji Wojewody Pomorskiego, które podlegają skutkom wywłaszczeniowym określonym w art. 26 ust. 3, 6 i 7 specustawy naftowej. Termin wydania nieruchomości lub opróżnienia lokali i innych pomieszczeń, wynikający z art. 8 ust. 1 pkt 12 specustawy naftowej, dotyczy właśnie wyłącznie nieruchomości, co do których decyzja o ustaleniu lokalizacji inwestycji ma wywołać skutek zmiany stanu własnościowego (art. 26 ust. 3, 6 i 7 specustawy naftowej), a taki</w:t>
      </w:r>
      <w:r w:rsidR="00B36A1C">
        <w:rPr>
          <w:rFonts w:ascii="Lato" w:eastAsia="Times New Roman" w:hAnsi="Lato" w:cs="Arial"/>
          <w:bCs/>
          <w:iCs/>
          <w:color w:val="000000"/>
          <w:spacing w:val="4"/>
          <w:lang w:eastAsia="pl-PL"/>
        </w:rPr>
        <w:t>e</w:t>
      </w:r>
      <w:r w:rsidRPr="00C3321C">
        <w:rPr>
          <w:rFonts w:ascii="Lato" w:eastAsia="Times New Roman" w:hAnsi="Lato" w:cs="Arial"/>
          <w:bCs/>
          <w:iCs/>
          <w:color w:val="000000"/>
          <w:spacing w:val="4"/>
          <w:lang w:eastAsia="pl-PL"/>
        </w:rPr>
        <w:t xml:space="preserve"> nieruchomości, wbrew błędnemu </w:t>
      </w:r>
      <w:r w:rsidR="004A6DD2" w:rsidRPr="00C3321C">
        <w:rPr>
          <w:rFonts w:ascii="Lato" w:eastAsia="Times New Roman" w:hAnsi="Lato" w:cs="Arial"/>
          <w:bCs/>
          <w:iCs/>
          <w:color w:val="000000"/>
          <w:spacing w:val="4"/>
          <w:lang w:eastAsia="pl-PL"/>
        </w:rPr>
        <w:t>wskazaniu</w:t>
      </w:r>
      <w:r w:rsidRPr="00C3321C">
        <w:rPr>
          <w:rFonts w:ascii="Lato" w:eastAsia="Times New Roman" w:hAnsi="Lato" w:cs="Arial"/>
          <w:bCs/>
          <w:iCs/>
          <w:color w:val="000000"/>
          <w:spacing w:val="4"/>
          <w:lang w:eastAsia="pl-PL"/>
        </w:rPr>
        <w:t xml:space="preserve"> w pkt XII decyzji organu I instancji, </w:t>
      </w:r>
      <w:r w:rsidR="004A6DD2" w:rsidRPr="00C3321C">
        <w:rPr>
          <w:rFonts w:ascii="Lato" w:eastAsia="Times New Roman" w:hAnsi="Lato" w:cs="Arial"/>
          <w:bCs/>
          <w:iCs/>
          <w:color w:val="000000"/>
          <w:spacing w:val="4"/>
          <w:lang w:eastAsia="pl-PL"/>
        </w:rPr>
        <w:t>są objęte</w:t>
      </w:r>
      <w:r w:rsidRPr="00C3321C">
        <w:rPr>
          <w:rFonts w:ascii="Lato" w:eastAsia="Times New Roman" w:hAnsi="Lato" w:cs="Arial"/>
          <w:bCs/>
          <w:iCs/>
          <w:color w:val="000000"/>
          <w:spacing w:val="4"/>
          <w:lang w:eastAsia="pl-PL"/>
        </w:rPr>
        <w:t xml:space="preserve"> zakresem rzeczonej inwestycji (</w:t>
      </w:r>
      <w:r w:rsidR="00C77BAA">
        <w:rPr>
          <w:rFonts w:ascii="Lato" w:eastAsia="Times New Roman" w:hAnsi="Lato" w:cs="Arial"/>
          <w:bCs/>
          <w:iCs/>
          <w:color w:val="000000"/>
          <w:spacing w:val="4"/>
          <w:lang w:eastAsia="pl-PL"/>
        </w:rPr>
        <w:t xml:space="preserve">por. </w:t>
      </w:r>
      <w:r w:rsidR="004A6DD2" w:rsidRPr="00C3321C">
        <w:rPr>
          <w:rFonts w:ascii="Lato" w:eastAsia="Times New Roman" w:hAnsi="Lato" w:cs="Arial"/>
          <w:bCs/>
          <w:iCs/>
          <w:color w:val="000000"/>
          <w:spacing w:val="4"/>
          <w:lang w:eastAsia="pl-PL"/>
        </w:rPr>
        <w:t xml:space="preserve">pkt VII i pkt VIII decyzji organu I instancji). </w:t>
      </w:r>
    </w:p>
    <w:p w14:paraId="7DDA1FDF" w14:textId="49615F5E" w:rsidR="0028708C" w:rsidRPr="00C3321C" w:rsidRDefault="00D46882" w:rsidP="00C3321C">
      <w:pPr>
        <w:spacing w:after="240" w:line="240" w:lineRule="exact"/>
        <w:jc w:val="both"/>
        <w:outlineLvl w:val="0"/>
        <w:rPr>
          <w:rFonts w:ascii="Lato" w:eastAsia="Times New Roman" w:hAnsi="Lato" w:cs="Arial"/>
          <w:bCs/>
          <w:iCs/>
          <w:color w:val="000000"/>
          <w:spacing w:val="4"/>
          <w:lang w:eastAsia="pl-PL"/>
        </w:rPr>
      </w:pPr>
      <w:r w:rsidRPr="00C3321C">
        <w:rPr>
          <w:rFonts w:ascii="Lato" w:eastAsia="Times New Roman" w:hAnsi="Lato" w:cs="Arial"/>
          <w:bCs/>
          <w:iCs/>
          <w:color w:val="000000"/>
          <w:spacing w:val="4"/>
          <w:lang w:eastAsia="pl-PL"/>
        </w:rPr>
        <w:t xml:space="preserve">Prawidłowość powyższego stanowiska potwierdza orzecznictwo Naczelnego Sądu Administracyjnego dotyczące ustawy z dnia 24 lipca 2015 r. o przygotowaniu i realizacji strategicznych inwestycji w zakresie sieci przesyłowych (t.j. Dz.U. z 2024 r. poz. 1199), lecz w istotnym zakresie w pełni analogicznej do rozwiązań przyjętych w specustawie </w:t>
      </w:r>
      <w:r w:rsidR="004A6DD2" w:rsidRPr="00C3321C">
        <w:rPr>
          <w:rFonts w:ascii="Lato" w:eastAsia="Times New Roman" w:hAnsi="Lato" w:cs="Arial"/>
          <w:bCs/>
          <w:iCs/>
          <w:color w:val="000000"/>
          <w:spacing w:val="4"/>
          <w:lang w:eastAsia="pl-PL"/>
        </w:rPr>
        <w:t xml:space="preserve">naftowej </w:t>
      </w:r>
      <w:r w:rsidRPr="00C3321C">
        <w:rPr>
          <w:rFonts w:ascii="Lato" w:eastAsia="Times New Roman" w:hAnsi="Lato" w:cs="Arial"/>
          <w:bCs/>
          <w:iCs/>
          <w:color w:val="000000"/>
          <w:spacing w:val="4"/>
          <w:lang w:eastAsia="pl-PL"/>
        </w:rPr>
        <w:t xml:space="preserve">(por. wyroki z dnia 21 listopada 2017 r., sygn. akt II OSK 1956/17, z dnia 21 listopada 2017 r., sygn. akt II OSK 1928/17, z dnia 27 października 2017 r., sygn. akt </w:t>
      </w:r>
      <w:r w:rsidRPr="00C3321C">
        <w:rPr>
          <w:rFonts w:ascii="Lato" w:eastAsia="Times New Roman" w:hAnsi="Lato" w:cs="Arial"/>
          <w:bCs/>
          <w:iCs/>
          <w:color w:val="000000"/>
          <w:spacing w:val="4"/>
          <w:lang w:eastAsia="pl-PL"/>
        </w:rPr>
        <w:br/>
        <w:t xml:space="preserve">II OSK 1858/17 i z dnia 7 września 2017 r., sygn. akt II OSK 847/17, </w:t>
      </w:r>
      <w:proofErr w:type="spellStart"/>
      <w:r w:rsidRPr="00C3321C">
        <w:rPr>
          <w:rFonts w:ascii="Lato" w:eastAsia="Times New Roman" w:hAnsi="Lato" w:cs="Arial"/>
          <w:bCs/>
          <w:iCs/>
          <w:color w:val="000000"/>
          <w:spacing w:val="4"/>
          <w:lang w:eastAsia="pl-PL"/>
        </w:rPr>
        <w:t>opubl</w:t>
      </w:r>
      <w:proofErr w:type="spellEnd"/>
      <w:r w:rsidRPr="00C3321C">
        <w:rPr>
          <w:rFonts w:ascii="Lato" w:eastAsia="Times New Roman" w:hAnsi="Lato" w:cs="Arial"/>
          <w:bCs/>
          <w:iCs/>
          <w:color w:val="000000"/>
          <w:spacing w:val="4"/>
          <w:lang w:eastAsia="pl-PL"/>
        </w:rPr>
        <w:t xml:space="preserve">. Centralna Baza Orzeczeń Sądów Administracyjnych). Zauważyć przy tym należy, iż ustawodawca pozostawił uznaniu organu orzekającego w sprawie wydania decyzji o </w:t>
      </w:r>
      <w:r w:rsidR="004A6DD2" w:rsidRPr="00C3321C">
        <w:rPr>
          <w:rFonts w:ascii="Lato" w:eastAsia="Times New Roman" w:hAnsi="Lato" w:cs="Arial"/>
          <w:bCs/>
          <w:iCs/>
          <w:color w:val="000000"/>
          <w:spacing w:val="4"/>
          <w:lang w:eastAsia="pl-PL"/>
        </w:rPr>
        <w:t xml:space="preserve">ustaleniu lokalizacji strategicznej inwestycji w sektorze naftowym </w:t>
      </w:r>
      <w:r w:rsidRPr="00C3321C">
        <w:rPr>
          <w:rFonts w:ascii="Lato" w:eastAsia="Times New Roman" w:hAnsi="Lato" w:cs="Arial"/>
          <w:bCs/>
          <w:iCs/>
          <w:color w:val="000000"/>
          <w:spacing w:val="4"/>
          <w:lang w:eastAsia="pl-PL"/>
        </w:rPr>
        <w:t xml:space="preserve">określenie terminu, o którym mowa w art. </w:t>
      </w:r>
      <w:r w:rsidR="004A6DD2" w:rsidRPr="00C3321C">
        <w:rPr>
          <w:rFonts w:ascii="Lato" w:eastAsia="Times New Roman" w:hAnsi="Lato" w:cs="Arial"/>
          <w:bCs/>
          <w:iCs/>
          <w:color w:val="000000"/>
          <w:spacing w:val="4"/>
          <w:lang w:eastAsia="pl-PL"/>
        </w:rPr>
        <w:t>8</w:t>
      </w:r>
      <w:r w:rsidRPr="00C3321C">
        <w:rPr>
          <w:rFonts w:ascii="Lato" w:eastAsia="Times New Roman" w:hAnsi="Lato" w:cs="Arial"/>
          <w:bCs/>
          <w:iCs/>
          <w:color w:val="000000"/>
          <w:spacing w:val="4"/>
          <w:lang w:eastAsia="pl-PL"/>
        </w:rPr>
        <w:t xml:space="preserve"> ust. 1 pkt </w:t>
      </w:r>
      <w:r w:rsidR="004A6DD2" w:rsidRPr="00C3321C">
        <w:rPr>
          <w:rFonts w:ascii="Lato" w:eastAsia="Times New Roman" w:hAnsi="Lato" w:cs="Arial"/>
          <w:bCs/>
          <w:iCs/>
          <w:color w:val="000000"/>
          <w:spacing w:val="4"/>
          <w:lang w:eastAsia="pl-PL"/>
        </w:rPr>
        <w:t>12</w:t>
      </w:r>
      <w:r w:rsidRPr="00C3321C">
        <w:rPr>
          <w:rFonts w:ascii="Lato" w:eastAsia="Times New Roman" w:hAnsi="Lato" w:cs="Arial"/>
          <w:bCs/>
          <w:iCs/>
          <w:color w:val="000000"/>
          <w:spacing w:val="4"/>
          <w:lang w:eastAsia="pl-PL"/>
        </w:rPr>
        <w:t xml:space="preserve"> specustawy</w:t>
      </w:r>
      <w:r w:rsidR="004A6DD2" w:rsidRPr="00C3321C">
        <w:rPr>
          <w:rFonts w:ascii="Lato" w:eastAsia="Times New Roman" w:hAnsi="Lato" w:cs="Arial"/>
          <w:bCs/>
          <w:iCs/>
          <w:color w:val="000000"/>
          <w:spacing w:val="4"/>
          <w:lang w:eastAsia="pl-PL"/>
        </w:rPr>
        <w:t xml:space="preserve"> naftowej</w:t>
      </w:r>
      <w:r w:rsidRPr="00C3321C">
        <w:rPr>
          <w:rFonts w:ascii="Lato" w:eastAsia="Times New Roman" w:hAnsi="Lato" w:cs="Arial"/>
          <w:bCs/>
          <w:iCs/>
          <w:color w:val="000000"/>
          <w:spacing w:val="4"/>
          <w:lang w:eastAsia="pl-PL"/>
        </w:rPr>
        <w:t xml:space="preserve">, inaczej niż ma to miejsce w przypadku </w:t>
      </w:r>
      <w:r w:rsidR="00C77BAA">
        <w:rPr>
          <w:rFonts w:ascii="Lato" w:eastAsia="Times New Roman" w:hAnsi="Lato" w:cs="Arial"/>
          <w:bCs/>
          <w:iCs/>
          <w:color w:val="000000"/>
          <w:spacing w:val="4"/>
          <w:lang w:eastAsia="pl-PL"/>
        </w:rPr>
        <w:t xml:space="preserve">podobnego </w:t>
      </w:r>
      <w:r w:rsidRPr="00C3321C">
        <w:rPr>
          <w:rFonts w:ascii="Lato" w:eastAsia="Times New Roman" w:hAnsi="Lato" w:cs="Arial"/>
          <w:bCs/>
          <w:iCs/>
          <w:color w:val="000000"/>
          <w:spacing w:val="4"/>
          <w:lang w:eastAsia="pl-PL"/>
        </w:rPr>
        <w:t xml:space="preserve">przepisu zawartego w </w:t>
      </w:r>
      <w:r w:rsidR="00C77BAA">
        <w:rPr>
          <w:rFonts w:ascii="Lato" w:eastAsia="Times New Roman" w:hAnsi="Lato" w:cs="Arial"/>
          <w:bCs/>
          <w:iCs/>
          <w:color w:val="000000"/>
          <w:spacing w:val="4"/>
          <w:lang w:eastAsia="pl-PL"/>
        </w:rPr>
        <w:t xml:space="preserve">ww. </w:t>
      </w:r>
      <w:r w:rsidR="00C77BAA" w:rsidRPr="00C77BAA">
        <w:rPr>
          <w:rFonts w:ascii="Lato" w:eastAsia="Times New Roman" w:hAnsi="Lato" w:cs="Arial"/>
          <w:bCs/>
          <w:iCs/>
          <w:color w:val="000000"/>
          <w:spacing w:val="4"/>
          <w:lang w:eastAsia="pl-PL"/>
        </w:rPr>
        <w:t>ustaw</w:t>
      </w:r>
      <w:r w:rsidR="00C77BAA">
        <w:rPr>
          <w:rFonts w:ascii="Lato" w:eastAsia="Times New Roman" w:hAnsi="Lato" w:cs="Arial"/>
          <w:bCs/>
          <w:iCs/>
          <w:color w:val="000000"/>
          <w:spacing w:val="4"/>
          <w:lang w:eastAsia="pl-PL"/>
        </w:rPr>
        <w:t>ie</w:t>
      </w:r>
      <w:r w:rsidR="00C77BAA" w:rsidRPr="00C77BAA">
        <w:rPr>
          <w:rFonts w:ascii="Lato" w:eastAsia="Times New Roman" w:hAnsi="Lato" w:cs="Arial"/>
          <w:bCs/>
          <w:iCs/>
          <w:color w:val="000000"/>
          <w:spacing w:val="4"/>
          <w:lang w:eastAsia="pl-PL"/>
        </w:rPr>
        <w:t xml:space="preserve"> z dnia 24 lipca 2015 r. o przygotowaniu </w:t>
      </w:r>
      <w:r w:rsidR="00C77BAA">
        <w:rPr>
          <w:rFonts w:ascii="Lato" w:eastAsia="Times New Roman" w:hAnsi="Lato" w:cs="Arial"/>
          <w:bCs/>
          <w:iCs/>
          <w:color w:val="000000"/>
          <w:spacing w:val="4"/>
          <w:lang w:eastAsia="pl-PL"/>
        </w:rPr>
        <w:br/>
      </w:r>
      <w:r w:rsidR="00C77BAA" w:rsidRPr="00C77BAA">
        <w:rPr>
          <w:rFonts w:ascii="Lato" w:eastAsia="Times New Roman" w:hAnsi="Lato" w:cs="Arial"/>
          <w:bCs/>
          <w:iCs/>
          <w:color w:val="000000"/>
          <w:spacing w:val="4"/>
          <w:lang w:eastAsia="pl-PL"/>
        </w:rPr>
        <w:t>i realizacji strategicznych inwestycji w zakresie sieci przesyłowych</w:t>
      </w:r>
      <w:r w:rsidR="00C77BAA">
        <w:rPr>
          <w:rFonts w:ascii="Lato" w:eastAsia="Times New Roman" w:hAnsi="Lato" w:cs="Arial"/>
          <w:bCs/>
          <w:iCs/>
          <w:color w:val="000000"/>
          <w:spacing w:val="4"/>
          <w:lang w:eastAsia="pl-PL"/>
        </w:rPr>
        <w:t xml:space="preserve">, </w:t>
      </w:r>
      <w:r w:rsidRPr="00C3321C">
        <w:rPr>
          <w:rFonts w:ascii="Lato" w:eastAsia="Times New Roman" w:hAnsi="Lato" w:cs="Arial"/>
          <w:bCs/>
          <w:iCs/>
          <w:color w:val="000000"/>
          <w:spacing w:val="4"/>
          <w:lang w:eastAsia="pl-PL"/>
        </w:rPr>
        <w:t xml:space="preserve">gdzie ustawodawca wskazał, iż termin wydania nieruchomości </w:t>
      </w:r>
      <w:r w:rsidR="00C77BAA" w:rsidRPr="00C77BAA">
        <w:rPr>
          <w:rFonts w:ascii="Lato" w:eastAsia="Times New Roman" w:hAnsi="Lato" w:cs="Arial"/>
          <w:bCs/>
          <w:iCs/>
          <w:color w:val="000000"/>
          <w:spacing w:val="4"/>
          <w:lang w:eastAsia="pl-PL"/>
        </w:rPr>
        <w:t xml:space="preserve">lub opróżnienia lokali i innych pomieszczeń </w:t>
      </w:r>
      <w:r w:rsidRPr="00C3321C">
        <w:rPr>
          <w:rFonts w:ascii="Lato" w:eastAsia="Times New Roman" w:hAnsi="Lato" w:cs="Arial"/>
          <w:bCs/>
          <w:iCs/>
          <w:color w:val="000000"/>
          <w:spacing w:val="4"/>
          <w:lang w:eastAsia="pl-PL"/>
        </w:rPr>
        <w:t xml:space="preserve">nie może być krótszy niż 120 dni do dnia, w którym </w:t>
      </w:r>
      <w:r w:rsidR="00C77BAA">
        <w:rPr>
          <w:rFonts w:ascii="Lato" w:eastAsia="Times New Roman" w:hAnsi="Lato" w:cs="Arial"/>
          <w:bCs/>
          <w:iCs/>
          <w:color w:val="000000"/>
          <w:spacing w:val="4"/>
          <w:lang w:eastAsia="pl-PL"/>
        </w:rPr>
        <w:t xml:space="preserve">decyzja </w:t>
      </w:r>
      <w:r w:rsidR="00C77BAA" w:rsidRPr="00C77BAA">
        <w:rPr>
          <w:rFonts w:ascii="Lato" w:eastAsia="Times New Roman" w:hAnsi="Lato" w:cs="Arial"/>
          <w:bCs/>
          <w:iCs/>
          <w:color w:val="000000"/>
          <w:spacing w:val="4"/>
          <w:lang w:eastAsia="pl-PL"/>
        </w:rPr>
        <w:t>o ustaleniu lokalizacji strategicznej inwestycji w zakresie sieci przesyłowej stała się ostateczna</w:t>
      </w:r>
      <w:r w:rsidRPr="00C3321C">
        <w:rPr>
          <w:rFonts w:ascii="Lato" w:eastAsia="Times New Roman" w:hAnsi="Lato" w:cs="Arial"/>
          <w:bCs/>
          <w:iCs/>
          <w:color w:val="000000"/>
          <w:spacing w:val="4"/>
          <w:lang w:eastAsia="pl-PL"/>
        </w:rPr>
        <w:t>.</w:t>
      </w:r>
      <w:r w:rsidR="0028708C" w:rsidRPr="00C3321C">
        <w:rPr>
          <w:rFonts w:ascii="Lato" w:eastAsia="Times New Roman" w:hAnsi="Lato" w:cs="Arial"/>
          <w:bCs/>
          <w:iCs/>
          <w:color w:val="000000"/>
          <w:spacing w:val="4"/>
          <w:lang w:eastAsia="pl-PL"/>
        </w:rPr>
        <w:t xml:space="preserve"> </w:t>
      </w:r>
    </w:p>
    <w:p w14:paraId="0156B797" w14:textId="6DB864A8" w:rsidR="0028708C" w:rsidRPr="00C3321C" w:rsidRDefault="004A6DD2" w:rsidP="00C3321C">
      <w:pPr>
        <w:spacing w:after="240" w:line="240" w:lineRule="exact"/>
        <w:jc w:val="both"/>
        <w:outlineLvl w:val="0"/>
        <w:rPr>
          <w:rFonts w:ascii="Lato" w:eastAsia="Times New Roman" w:hAnsi="Lato" w:cs="Arial"/>
          <w:bCs/>
          <w:iCs/>
          <w:color w:val="000000"/>
          <w:spacing w:val="4"/>
          <w:lang w:eastAsia="pl-PL"/>
        </w:rPr>
      </w:pPr>
      <w:r w:rsidRPr="00C3321C">
        <w:rPr>
          <w:rFonts w:ascii="Lato" w:eastAsia="Times New Roman" w:hAnsi="Lato" w:cs="Arial"/>
          <w:bCs/>
          <w:iCs/>
          <w:color w:val="000000"/>
          <w:spacing w:val="4"/>
          <w:lang w:eastAsia="pl-PL"/>
        </w:rPr>
        <w:t>Konsekwencją opisanego powyżej błędu w zaskarżonej decyzji, jest dokonana</w:t>
      </w:r>
      <w:r w:rsidR="006F5B7A" w:rsidRPr="00C3321C">
        <w:rPr>
          <w:rFonts w:ascii="Lato" w:eastAsia="Times New Roman" w:hAnsi="Lato" w:cs="Arial"/>
          <w:bCs/>
          <w:iCs/>
          <w:color w:val="000000"/>
          <w:spacing w:val="4"/>
          <w:lang w:eastAsia="pl-PL"/>
        </w:rPr>
        <w:t xml:space="preserve"> - </w:t>
      </w:r>
      <w:r w:rsidRPr="00C3321C">
        <w:rPr>
          <w:rFonts w:ascii="Lato" w:eastAsia="Times New Roman" w:hAnsi="Lato" w:cs="Arial"/>
          <w:bCs/>
          <w:iCs/>
          <w:color w:val="000000"/>
          <w:spacing w:val="4"/>
          <w:lang w:eastAsia="pl-PL"/>
        </w:rPr>
        <w:t>na podstawie art. 138 § 1 pkt 2 kpa - zmiana w decyzji Wojewody Pomorskiego</w:t>
      </w:r>
      <w:r w:rsidR="006F5B7A" w:rsidRPr="00C3321C">
        <w:rPr>
          <w:rFonts w:ascii="Lato" w:eastAsia="Times New Roman" w:hAnsi="Lato" w:cs="Arial"/>
          <w:bCs/>
          <w:iCs/>
          <w:color w:val="000000"/>
          <w:spacing w:val="4"/>
          <w:lang w:eastAsia="pl-PL"/>
        </w:rPr>
        <w:t xml:space="preserve"> określona w pkt I niniejszej decyzji. </w:t>
      </w:r>
      <w:r w:rsidRPr="00C3321C">
        <w:rPr>
          <w:rFonts w:ascii="Lato" w:eastAsia="Times New Roman" w:hAnsi="Lato" w:cs="Arial"/>
          <w:bCs/>
          <w:iCs/>
          <w:color w:val="000000"/>
          <w:spacing w:val="4"/>
          <w:lang w:eastAsia="pl-PL" w:bidi="pl-PL"/>
        </w:rPr>
        <w:t xml:space="preserve">O powodach pozostałych korekt </w:t>
      </w:r>
      <w:r w:rsidR="006F5B7A" w:rsidRPr="00C3321C">
        <w:rPr>
          <w:rFonts w:ascii="Lato" w:eastAsia="Times New Roman" w:hAnsi="Lato" w:cs="Arial"/>
          <w:bCs/>
          <w:iCs/>
          <w:color w:val="000000"/>
          <w:spacing w:val="4"/>
          <w:lang w:eastAsia="pl-PL" w:bidi="pl-PL"/>
        </w:rPr>
        <w:t xml:space="preserve">w decyzji Wojewody Pomorskiego, </w:t>
      </w:r>
      <w:r w:rsidRPr="00C3321C">
        <w:rPr>
          <w:rFonts w:ascii="Lato" w:eastAsia="Times New Roman" w:hAnsi="Lato" w:cs="Arial"/>
          <w:bCs/>
          <w:iCs/>
          <w:color w:val="000000"/>
          <w:spacing w:val="4"/>
          <w:lang w:eastAsia="pl-PL" w:bidi="pl-PL"/>
        </w:rPr>
        <w:t>dokonanych przez Ministra</w:t>
      </w:r>
      <w:r w:rsidR="006F5B7A" w:rsidRPr="00C3321C">
        <w:rPr>
          <w:rFonts w:ascii="Lato" w:eastAsia="Times New Roman" w:hAnsi="Lato" w:cs="Arial"/>
          <w:bCs/>
          <w:iCs/>
          <w:color w:val="000000"/>
          <w:spacing w:val="4"/>
          <w:lang w:eastAsia="pl-PL" w:bidi="pl-PL"/>
        </w:rPr>
        <w:t xml:space="preserve"> w pkt I niniejszej decyzji,  </w:t>
      </w:r>
      <w:r w:rsidRPr="00C3321C">
        <w:rPr>
          <w:rFonts w:ascii="Lato" w:eastAsia="Times New Roman" w:hAnsi="Lato" w:cs="Arial"/>
          <w:bCs/>
          <w:iCs/>
          <w:color w:val="000000"/>
          <w:spacing w:val="4"/>
          <w:lang w:eastAsia="pl-PL" w:bidi="pl-PL"/>
        </w:rPr>
        <w:t xml:space="preserve">będzie mowa przy </w:t>
      </w:r>
      <w:r w:rsidRPr="00C3321C">
        <w:rPr>
          <w:rFonts w:ascii="Lato" w:eastAsia="Times New Roman" w:hAnsi="Lato" w:cs="Arial"/>
          <w:bCs/>
          <w:iCs/>
          <w:color w:val="000000"/>
          <w:spacing w:val="4"/>
          <w:lang w:eastAsia="pl-PL" w:bidi="pl-PL"/>
        </w:rPr>
        <w:lastRenderedPageBreak/>
        <w:t>rozpatrywaniu odwołania</w:t>
      </w:r>
      <w:r w:rsidR="006F5B7A" w:rsidRPr="00C3321C">
        <w:rPr>
          <w:rFonts w:ascii="Lato" w:eastAsia="Times New Roman" w:hAnsi="Lato" w:cs="Arial"/>
          <w:bCs/>
          <w:iCs/>
          <w:color w:val="000000"/>
          <w:spacing w:val="4"/>
          <w:lang w:eastAsia="pl-PL" w:bidi="pl-PL"/>
        </w:rPr>
        <w:t xml:space="preserve"> </w:t>
      </w:r>
      <w:r w:rsidR="00FA714C">
        <w:rPr>
          <w:rFonts w:ascii="Lato" w:eastAsia="Times New Roman" w:hAnsi="Lato" w:cs="Arial"/>
          <w:bCs/>
          <w:iCs/>
          <w:color w:val="000000"/>
          <w:spacing w:val="4"/>
          <w:lang w:eastAsia="pl-PL" w:bidi="pl-PL"/>
        </w:rPr>
        <w:t xml:space="preserve">(…) </w:t>
      </w:r>
      <w:r w:rsidR="006F5B7A" w:rsidRPr="00C3321C">
        <w:rPr>
          <w:rFonts w:ascii="Lato" w:eastAsia="Times New Roman" w:hAnsi="Lato" w:cs="Arial"/>
          <w:bCs/>
          <w:iCs/>
          <w:color w:val="000000"/>
          <w:spacing w:val="4"/>
          <w:lang w:eastAsia="pl-PL" w:bidi="pl-PL"/>
        </w:rPr>
        <w:t xml:space="preserve">. </w:t>
      </w:r>
      <w:r w:rsidR="006F5B7A" w:rsidRPr="00C3321C">
        <w:rPr>
          <w:rFonts w:ascii="Lato" w:eastAsia="Times New Roman" w:hAnsi="Lato" w:cs="Arial"/>
          <w:bCs/>
          <w:iCs/>
          <w:spacing w:val="4"/>
          <w:lang w:eastAsia="pl-PL"/>
        </w:rPr>
        <w:t xml:space="preserve">Badając zgodność z prawem pozostałej części zaskarżonej decyzji, organ odwoławczy stwierdził, że czyni ona zadość wymogom specustawy naftowej i dlatego – w pkt II niniejszej decyzji – w pozostałej części zaskarżona decyzja Wojewody Pomorskiego została utrzymana w mocy. </w:t>
      </w:r>
    </w:p>
    <w:p w14:paraId="45142133" w14:textId="15943034" w:rsidR="0009148A" w:rsidRPr="00C3321C" w:rsidRDefault="0009148A"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spacing w:val="4"/>
          <w:lang w:bidi="pl-PL"/>
        </w:rPr>
      </w:pPr>
      <w:r w:rsidRPr="00C3321C">
        <w:rPr>
          <w:rFonts w:ascii="Lato" w:eastAsia="Calibri" w:hAnsi="Lato" w:cs="Times New Roman"/>
          <w:bCs/>
          <w:spacing w:val="4"/>
          <w:lang w:bidi="pl-PL"/>
        </w:rPr>
        <w:t xml:space="preserve">Odnosząc się do odwołania </w:t>
      </w:r>
      <w:r w:rsidR="00FA714C">
        <w:rPr>
          <w:rFonts w:ascii="Lato" w:eastAsia="Times New Roman" w:hAnsi="Lato" w:cs="Arial"/>
          <w:bCs/>
          <w:iCs/>
          <w:color w:val="000000"/>
          <w:spacing w:val="4"/>
          <w:lang w:eastAsia="pl-PL" w:bidi="pl-PL"/>
        </w:rPr>
        <w:t>(…)</w:t>
      </w:r>
      <w:r w:rsidR="0032754C" w:rsidRPr="00C3321C">
        <w:rPr>
          <w:rFonts w:ascii="Lato" w:eastAsia="Calibri" w:hAnsi="Lato" w:cs="Times New Roman"/>
          <w:bCs/>
          <w:spacing w:val="4"/>
          <w:lang w:bidi="pl-PL"/>
        </w:rPr>
        <w:t xml:space="preserve">, </w:t>
      </w:r>
      <w:r w:rsidRPr="00C3321C">
        <w:rPr>
          <w:rFonts w:ascii="Lato" w:eastAsia="Calibri" w:hAnsi="Lato" w:cs="Times New Roman"/>
          <w:bCs/>
          <w:spacing w:val="4"/>
          <w:lang w:bidi="pl-PL"/>
        </w:rPr>
        <w:t xml:space="preserve">Minister stwierdził, co następuje. </w:t>
      </w:r>
    </w:p>
    <w:p w14:paraId="0119E844" w14:textId="675DCBDD" w:rsidR="00611824" w:rsidRPr="00C77BAA" w:rsidRDefault="0009148A"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iCs/>
          <w:spacing w:val="4"/>
          <w:lang w:bidi="pl-PL"/>
        </w:rPr>
      </w:pPr>
      <w:r w:rsidRPr="00C3321C">
        <w:rPr>
          <w:rFonts w:ascii="Lato" w:eastAsia="Calibri" w:hAnsi="Lato" w:cs="Times New Roman"/>
          <w:bCs/>
          <w:spacing w:val="4"/>
          <w:lang w:bidi="pl-PL"/>
        </w:rPr>
        <w:t xml:space="preserve">W odwołaniu </w:t>
      </w:r>
      <w:r w:rsidR="00FA714C">
        <w:rPr>
          <w:rFonts w:ascii="Lato" w:eastAsia="Times New Roman" w:hAnsi="Lato" w:cs="Arial"/>
          <w:bCs/>
          <w:iCs/>
          <w:color w:val="000000"/>
          <w:spacing w:val="4"/>
          <w:lang w:eastAsia="pl-PL" w:bidi="pl-PL"/>
        </w:rPr>
        <w:t>(…)</w:t>
      </w:r>
      <w:r w:rsidRPr="00C3321C">
        <w:rPr>
          <w:rFonts w:ascii="Lato" w:eastAsia="Calibri" w:hAnsi="Lato" w:cs="Times New Roman"/>
          <w:bCs/>
          <w:spacing w:val="4"/>
          <w:lang w:bidi="pl-PL"/>
        </w:rPr>
        <w:t>zarzuc</w:t>
      </w:r>
      <w:r w:rsidR="00C77BAA">
        <w:rPr>
          <w:rFonts w:ascii="Lato" w:eastAsia="Calibri" w:hAnsi="Lato" w:cs="Times New Roman"/>
          <w:bCs/>
          <w:spacing w:val="4"/>
          <w:lang w:bidi="pl-PL"/>
        </w:rPr>
        <w:t>iła</w:t>
      </w:r>
      <w:r w:rsidRPr="00C3321C">
        <w:rPr>
          <w:rFonts w:ascii="Lato" w:eastAsia="Calibri" w:hAnsi="Lato" w:cs="Times New Roman"/>
          <w:bCs/>
          <w:spacing w:val="4"/>
          <w:lang w:bidi="pl-PL"/>
        </w:rPr>
        <w:t xml:space="preserve"> naruszenie art. </w:t>
      </w:r>
      <w:r w:rsidR="00BF0AC4" w:rsidRPr="00C3321C">
        <w:rPr>
          <w:rFonts w:ascii="Lato" w:eastAsia="Calibri" w:hAnsi="Lato" w:cs="Times New Roman"/>
          <w:bCs/>
          <w:spacing w:val="4"/>
          <w:lang w:bidi="pl-PL"/>
        </w:rPr>
        <w:t>120</w:t>
      </w:r>
      <w:r w:rsidR="00BF0AC4" w:rsidRPr="00C3321C">
        <w:rPr>
          <w:rFonts w:ascii="Lato" w:eastAsia="@Arial Unicode MS" w:hAnsi="Lato" w:cs="Arial"/>
          <w:bCs/>
          <w:spacing w:val="4"/>
          <w:lang w:eastAsia="pl-PL" w:bidi="pl-PL"/>
        </w:rPr>
        <w:t xml:space="preserve"> </w:t>
      </w:r>
      <w:r w:rsidR="00BF0AC4" w:rsidRPr="00C3321C">
        <w:rPr>
          <w:rFonts w:ascii="Lato" w:eastAsia="Calibri" w:hAnsi="Lato" w:cs="Times New Roman"/>
          <w:bCs/>
          <w:spacing w:val="4"/>
          <w:lang w:bidi="pl-PL"/>
        </w:rPr>
        <w:t xml:space="preserve">ustawy z dnia 21 sierpnia 1997 r. o gospodarce nieruchomościami (t.j. Dz.U. z 2026 r. poz. 399), zwanej dalej „ugn”, w zw. z art. 8 ust. </w:t>
      </w:r>
      <w:r w:rsidR="00A80BC8" w:rsidRPr="00C3321C">
        <w:rPr>
          <w:rFonts w:ascii="Lato" w:eastAsia="Calibri" w:hAnsi="Lato" w:cs="Times New Roman"/>
          <w:bCs/>
          <w:spacing w:val="4"/>
          <w:lang w:bidi="pl-PL"/>
        </w:rPr>
        <w:t>1</w:t>
      </w:r>
      <w:r w:rsidR="00BF0AC4" w:rsidRPr="00C3321C">
        <w:rPr>
          <w:rFonts w:ascii="Lato" w:eastAsia="Calibri" w:hAnsi="Lato" w:cs="Times New Roman"/>
          <w:bCs/>
          <w:spacing w:val="4"/>
          <w:lang w:bidi="pl-PL"/>
        </w:rPr>
        <w:t xml:space="preserve"> pkt 5 </w:t>
      </w:r>
      <w:r w:rsidR="00A80BC8" w:rsidRPr="00C3321C">
        <w:rPr>
          <w:rFonts w:ascii="Lato" w:eastAsia="Calibri" w:hAnsi="Lato" w:cs="Times New Roman"/>
          <w:bCs/>
          <w:spacing w:val="4"/>
          <w:lang w:bidi="pl-PL"/>
        </w:rPr>
        <w:t>specustawy naftowej w zw. z art. 34 specustawy naftowej,</w:t>
      </w:r>
      <w:r w:rsidR="00C77BAA">
        <w:rPr>
          <w:rFonts w:ascii="Lato" w:eastAsia="Calibri" w:hAnsi="Lato" w:cs="Times New Roman"/>
          <w:bCs/>
          <w:spacing w:val="4"/>
          <w:lang w:bidi="pl-PL"/>
        </w:rPr>
        <w:t xml:space="preserve"> oraz naruszenie </w:t>
      </w:r>
      <w:r w:rsidR="00A80BC8" w:rsidRPr="00C3321C">
        <w:rPr>
          <w:rFonts w:ascii="Lato" w:eastAsia="Calibri" w:hAnsi="Lato" w:cs="Times New Roman"/>
          <w:bCs/>
          <w:spacing w:val="4"/>
          <w:lang w:bidi="pl-PL"/>
        </w:rPr>
        <w:t>art. 7</w:t>
      </w:r>
      <w:r w:rsidR="00CD5346">
        <w:rPr>
          <w:rFonts w:ascii="Lato" w:eastAsia="Calibri" w:hAnsi="Lato" w:cs="Times New Roman"/>
          <w:bCs/>
          <w:spacing w:val="4"/>
          <w:lang w:bidi="pl-PL"/>
        </w:rPr>
        <w:t xml:space="preserve"> kpa</w:t>
      </w:r>
      <w:r w:rsidR="00A80BC8" w:rsidRPr="00C3321C">
        <w:rPr>
          <w:rFonts w:ascii="Lato" w:eastAsia="Calibri" w:hAnsi="Lato" w:cs="Times New Roman"/>
          <w:bCs/>
          <w:spacing w:val="4"/>
          <w:lang w:bidi="pl-PL"/>
        </w:rPr>
        <w:t xml:space="preserve"> i art. 77 kpa</w:t>
      </w:r>
      <w:r w:rsidR="00C77BAA">
        <w:rPr>
          <w:rFonts w:ascii="Lato" w:eastAsia="Calibri" w:hAnsi="Lato" w:cs="Times New Roman"/>
          <w:bCs/>
          <w:spacing w:val="4"/>
          <w:lang w:bidi="pl-PL"/>
        </w:rPr>
        <w:t xml:space="preserve">, </w:t>
      </w:r>
      <w:r w:rsidR="00A80BC8" w:rsidRPr="00C3321C">
        <w:rPr>
          <w:rFonts w:ascii="Lato" w:eastAsia="Calibri" w:hAnsi="Lato" w:cs="Times New Roman"/>
          <w:bCs/>
          <w:spacing w:val="4"/>
          <w:lang w:bidi="pl-PL"/>
        </w:rPr>
        <w:t xml:space="preserve">poprzez </w:t>
      </w:r>
      <w:r w:rsidR="00731478" w:rsidRPr="00C3321C">
        <w:rPr>
          <w:rFonts w:ascii="Lato" w:eastAsia="Calibri" w:hAnsi="Lato" w:cs="Times New Roman"/>
          <w:bCs/>
          <w:spacing w:val="4"/>
          <w:lang w:bidi="pl-PL"/>
        </w:rPr>
        <w:t xml:space="preserve">brak ustanowienia </w:t>
      </w:r>
      <w:r w:rsidR="00A80BC8" w:rsidRPr="00C3321C">
        <w:rPr>
          <w:rFonts w:ascii="Lato" w:eastAsia="Calibri" w:hAnsi="Lato" w:cs="Times New Roman"/>
          <w:bCs/>
          <w:spacing w:val="4"/>
          <w:lang w:bidi="pl-PL"/>
        </w:rPr>
        <w:t>w decyzji Wojewody</w:t>
      </w:r>
      <w:r w:rsidR="00731478" w:rsidRPr="00C3321C">
        <w:rPr>
          <w:rFonts w:ascii="Lato" w:eastAsia="Calibri" w:hAnsi="Lato" w:cs="Times New Roman"/>
          <w:bCs/>
          <w:spacing w:val="4"/>
          <w:lang w:bidi="pl-PL"/>
        </w:rPr>
        <w:t xml:space="preserve"> Pomorskiego</w:t>
      </w:r>
      <w:r w:rsidR="00A80BC8" w:rsidRPr="00C3321C">
        <w:rPr>
          <w:rFonts w:ascii="Lato" w:eastAsia="Calibri" w:hAnsi="Lato" w:cs="Times New Roman"/>
          <w:bCs/>
          <w:spacing w:val="4"/>
          <w:lang w:bidi="pl-PL"/>
        </w:rPr>
        <w:t xml:space="preserve"> służebności przesyłu na rzecz </w:t>
      </w:r>
      <w:r w:rsidR="00FA714C">
        <w:rPr>
          <w:rFonts w:ascii="Lato" w:eastAsia="Times New Roman" w:hAnsi="Lato" w:cs="Arial"/>
          <w:bCs/>
          <w:iCs/>
          <w:color w:val="000000"/>
          <w:spacing w:val="4"/>
          <w:lang w:eastAsia="pl-PL" w:bidi="pl-PL"/>
        </w:rPr>
        <w:t>(…)</w:t>
      </w:r>
      <w:r w:rsidR="00C77BAA">
        <w:rPr>
          <w:rFonts w:ascii="Lato" w:eastAsia="Calibri" w:hAnsi="Lato" w:cs="Times New Roman"/>
          <w:bCs/>
          <w:spacing w:val="4"/>
          <w:lang w:bidi="pl-PL"/>
        </w:rPr>
        <w:t xml:space="preserve"> </w:t>
      </w:r>
      <w:r w:rsidR="00C77BAA" w:rsidRPr="00C77BAA">
        <w:rPr>
          <w:rFonts w:ascii="Lato" w:eastAsia="Calibri" w:hAnsi="Lato" w:cs="Times New Roman"/>
          <w:bCs/>
          <w:spacing w:val="4"/>
          <w:lang w:bidi="pl-PL"/>
        </w:rPr>
        <w:t>umożli</w:t>
      </w:r>
      <w:r w:rsidR="00C77BAA">
        <w:rPr>
          <w:rFonts w:ascii="Lato" w:eastAsia="Calibri" w:hAnsi="Lato" w:cs="Times New Roman"/>
          <w:bCs/>
          <w:spacing w:val="4"/>
          <w:lang w:bidi="pl-PL"/>
        </w:rPr>
        <w:t>wiającej</w:t>
      </w:r>
      <w:r w:rsidR="00C77BAA" w:rsidRPr="00C77BAA">
        <w:rPr>
          <w:rFonts w:ascii="Lato" w:eastAsia="Calibri" w:hAnsi="Lato" w:cs="Times New Roman"/>
          <w:bCs/>
          <w:spacing w:val="4"/>
          <w:lang w:bidi="pl-PL"/>
        </w:rPr>
        <w:t xml:space="preserve"> </w:t>
      </w:r>
      <w:r w:rsidR="00C77BAA" w:rsidRPr="00C77BAA">
        <w:rPr>
          <w:rFonts w:ascii="Lato" w:eastAsia="Calibri" w:hAnsi="Lato" w:cs="Times New Roman"/>
          <w:bCs/>
          <w:iCs/>
          <w:spacing w:val="4"/>
          <w:lang w:bidi="pl-PL"/>
        </w:rPr>
        <w:t>korzystani</w:t>
      </w:r>
      <w:r w:rsidR="00C77BAA">
        <w:rPr>
          <w:rFonts w:ascii="Lato" w:eastAsia="Calibri" w:hAnsi="Lato" w:cs="Times New Roman"/>
          <w:bCs/>
          <w:iCs/>
          <w:spacing w:val="4"/>
          <w:lang w:bidi="pl-PL"/>
        </w:rPr>
        <w:t>e</w:t>
      </w:r>
      <w:r w:rsidR="00C77BAA" w:rsidRPr="00C77BAA">
        <w:rPr>
          <w:rFonts w:ascii="Lato" w:eastAsia="Calibri" w:hAnsi="Lato" w:cs="Times New Roman"/>
          <w:bCs/>
          <w:iCs/>
          <w:spacing w:val="4"/>
          <w:lang w:bidi="pl-PL"/>
        </w:rPr>
        <w:t xml:space="preserve"> przez </w:t>
      </w:r>
      <w:r w:rsidR="00C77BAA">
        <w:rPr>
          <w:rFonts w:ascii="Lato" w:eastAsia="Calibri" w:hAnsi="Lato" w:cs="Times New Roman"/>
          <w:bCs/>
          <w:iCs/>
          <w:spacing w:val="4"/>
          <w:lang w:bidi="pl-PL"/>
        </w:rPr>
        <w:t xml:space="preserve">skarżącą spółkę z </w:t>
      </w:r>
      <w:r w:rsidR="00C77BAA" w:rsidRPr="00C77BAA">
        <w:rPr>
          <w:rFonts w:ascii="Lato" w:eastAsia="Calibri" w:hAnsi="Lato" w:cs="Times New Roman"/>
          <w:bCs/>
          <w:iCs/>
          <w:spacing w:val="4"/>
          <w:lang w:bidi="pl-PL"/>
        </w:rPr>
        <w:t xml:space="preserve">urządzeń </w:t>
      </w:r>
      <w:r w:rsidR="00871DBE">
        <w:rPr>
          <w:rFonts w:ascii="Lato" w:eastAsia="Calibri" w:hAnsi="Lato" w:cs="Times New Roman"/>
          <w:bCs/>
          <w:iCs/>
          <w:spacing w:val="4"/>
          <w:lang w:bidi="pl-PL"/>
        </w:rPr>
        <w:t xml:space="preserve">infrastruktury technicznej </w:t>
      </w:r>
      <w:r w:rsidR="00FA714C">
        <w:rPr>
          <w:rFonts w:ascii="Lato" w:eastAsia="Times New Roman" w:hAnsi="Lato" w:cs="Arial"/>
          <w:bCs/>
          <w:iCs/>
          <w:color w:val="000000"/>
          <w:spacing w:val="4"/>
          <w:lang w:eastAsia="pl-PL" w:bidi="pl-PL"/>
        </w:rPr>
        <w:t>(…)</w:t>
      </w:r>
      <w:r w:rsidR="00A80BC8" w:rsidRPr="00C3321C">
        <w:rPr>
          <w:rFonts w:ascii="Lato" w:eastAsia="Calibri" w:hAnsi="Lato" w:cs="Times New Roman"/>
          <w:bCs/>
          <w:spacing w:val="4"/>
          <w:lang w:bidi="pl-PL"/>
        </w:rPr>
        <w:t>znajdujących się na wywłaszczonym terenie działki nr 75/90, z obrębu 0300 w Gdańsku</w:t>
      </w:r>
      <w:r w:rsidR="00731478" w:rsidRPr="00C3321C">
        <w:rPr>
          <w:rFonts w:ascii="Lato" w:eastAsia="Calibri" w:hAnsi="Lato" w:cs="Times New Roman"/>
          <w:bCs/>
          <w:iCs/>
          <w:spacing w:val="4"/>
          <w:lang w:bidi="pl-PL"/>
        </w:rPr>
        <w:t xml:space="preserve">. </w:t>
      </w:r>
      <w:r w:rsidR="00D82A96" w:rsidRPr="00C3321C">
        <w:rPr>
          <w:rFonts w:ascii="Lato" w:eastAsia="Calibri" w:hAnsi="Lato" w:cs="Times New Roman"/>
          <w:bCs/>
          <w:iCs/>
          <w:spacing w:val="4"/>
          <w:lang w:bidi="pl-PL"/>
        </w:rPr>
        <w:t xml:space="preserve">W oparciu o podniesiony zarzut, </w:t>
      </w:r>
      <w:r w:rsidR="00FA714C">
        <w:rPr>
          <w:rFonts w:ascii="Lato" w:eastAsia="Times New Roman" w:hAnsi="Lato" w:cs="Arial"/>
          <w:bCs/>
          <w:iCs/>
          <w:color w:val="000000"/>
          <w:spacing w:val="4"/>
          <w:lang w:eastAsia="pl-PL" w:bidi="pl-PL"/>
        </w:rPr>
        <w:t>(…)</w:t>
      </w:r>
      <w:r w:rsidR="00D82A96" w:rsidRPr="00C3321C">
        <w:rPr>
          <w:rFonts w:ascii="Lato" w:eastAsia="Calibri" w:hAnsi="Lato" w:cs="Times New Roman"/>
          <w:bCs/>
          <w:iCs/>
          <w:spacing w:val="4"/>
          <w:lang w:bidi="pl-PL"/>
        </w:rPr>
        <w:t xml:space="preserve">wniosła o dokonanie przez organ odwoławczy korekty decyzji Wojewody Pomorskiego poprzez zawarcie </w:t>
      </w:r>
      <w:r w:rsidR="00871DBE">
        <w:rPr>
          <w:rFonts w:ascii="Lato" w:eastAsia="Calibri" w:hAnsi="Lato" w:cs="Times New Roman"/>
          <w:bCs/>
          <w:iCs/>
          <w:spacing w:val="4"/>
          <w:lang w:bidi="pl-PL"/>
        </w:rPr>
        <w:br/>
      </w:r>
      <w:r w:rsidR="00D82A96" w:rsidRPr="00C3321C">
        <w:rPr>
          <w:rFonts w:ascii="Lato" w:eastAsia="Calibri" w:hAnsi="Lato" w:cs="Times New Roman"/>
          <w:bCs/>
          <w:iCs/>
          <w:spacing w:val="4"/>
          <w:lang w:bidi="pl-PL"/>
        </w:rPr>
        <w:t>w niej zapisów o ustanowieni</w:t>
      </w:r>
      <w:r w:rsidR="00CD5346">
        <w:rPr>
          <w:rFonts w:ascii="Lato" w:eastAsia="Calibri" w:hAnsi="Lato" w:cs="Times New Roman"/>
          <w:bCs/>
          <w:iCs/>
          <w:spacing w:val="4"/>
          <w:lang w:bidi="pl-PL"/>
        </w:rPr>
        <w:t>u</w:t>
      </w:r>
      <w:r w:rsidR="00D82A96" w:rsidRPr="00C3321C">
        <w:rPr>
          <w:rFonts w:ascii="Lato" w:eastAsia="Calibri" w:hAnsi="Lato" w:cs="Times New Roman"/>
          <w:bCs/>
          <w:iCs/>
          <w:spacing w:val="4"/>
          <w:lang w:bidi="pl-PL"/>
        </w:rPr>
        <w:t xml:space="preserve"> służebności przesyłu na rzecz </w:t>
      </w:r>
      <w:r w:rsidR="00FA714C">
        <w:rPr>
          <w:rFonts w:ascii="Lato" w:eastAsia="Times New Roman" w:hAnsi="Lato" w:cs="Arial"/>
          <w:bCs/>
          <w:iCs/>
          <w:color w:val="000000"/>
          <w:spacing w:val="4"/>
          <w:lang w:eastAsia="pl-PL" w:bidi="pl-PL"/>
        </w:rPr>
        <w:t>(…)</w:t>
      </w:r>
      <w:r w:rsidR="00871DBE">
        <w:rPr>
          <w:rFonts w:ascii="Lato" w:eastAsia="Calibri" w:hAnsi="Lato" w:cs="Times New Roman"/>
          <w:bCs/>
          <w:iCs/>
          <w:spacing w:val="4"/>
          <w:lang w:bidi="pl-PL"/>
        </w:rPr>
        <w:br/>
      </w:r>
      <w:r w:rsidR="00D82A96" w:rsidRPr="00C3321C">
        <w:rPr>
          <w:rFonts w:ascii="Lato" w:eastAsia="Calibri" w:hAnsi="Lato" w:cs="Times New Roman"/>
          <w:bCs/>
          <w:iCs/>
          <w:spacing w:val="4"/>
          <w:lang w:bidi="pl-PL"/>
        </w:rPr>
        <w:t xml:space="preserve">w zakresie możliwości korzystania z urządzeń </w:t>
      </w:r>
      <w:r w:rsidR="00871DBE">
        <w:rPr>
          <w:rFonts w:ascii="Lato" w:eastAsia="Calibri" w:hAnsi="Lato" w:cs="Times New Roman"/>
          <w:bCs/>
          <w:iCs/>
          <w:spacing w:val="4"/>
          <w:lang w:bidi="pl-PL"/>
        </w:rPr>
        <w:t xml:space="preserve">infrastruktury technicznej </w:t>
      </w:r>
      <w:r w:rsidR="00D82A96" w:rsidRPr="00C3321C">
        <w:rPr>
          <w:rFonts w:ascii="Lato" w:eastAsia="Calibri" w:hAnsi="Lato" w:cs="Times New Roman"/>
          <w:bCs/>
          <w:iCs/>
          <w:spacing w:val="4"/>
          <w:lang w:bidi="pl-PL"/>
        </w:rPr>
        <w:t xml:space="preserve">położonych </w:t>
      </w:r>
      <w:r w:rsidR="00871DBE">
        <w:rPr>
          <w:rFonts w:ascii="Lato" w:eastAsia="Calibri" w:hAnsi="Lato" w:cs="Times New Roman"/>
          <w:bCs/>
          <w:iCs/>
          <w:spacing w:val="4"/>
          <w:lang w:bidi="pl-PL"/>
        </w:rPr>
        <w:br/>
      </w:r>
      <w:r w:rsidR="00D82A96" w:rsidRPr="00C3321C">
        <w:rPr>
          <w:rFonts w:ascii="Lato" w:eastAsia="Calibri" w:hAnsi="Lato" w:cs="Times New Roman"/>
          <w:bCs/>
          <w:iCs/>
          <w:spacing w:val="4"/>
          <w:lang w:bidi="pl-PL"/>
        </w:rPr>
        <w:t xml:space="preserve">na wywłaszczonym terenie działki nr 75/90. </w:t>
      </w:r>
    </w:p>
    <w:p w14:paraId="77D5B16C" w14:textId="74D35361" w:rsidR="00611824" w:rsidRPr="00C3321C" w:rsidRDefault="00CA30E2"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iCs/>
          <w:spacing w:val="4"/>
          <w:lang w:bidi="pl-PL"/>
        </w:rPr>
      </w:pPr>
      <w:r w:rsidRPr="00C3321C">
        <w:rPr>
          <w:rFonts w:ascii="Lato" w:eastAsia="Calibri" w:hAnsi="Lato" w:cs="Times New Roman"/>
          <w:bCs/>
          <w:iCs/>
          <w:spacing w:val="4"/>
          <w:lang w:bidi="pl-PL"/>
        </w:rPr>
        <w:t xml:space="preserve">W toku procedury odwoławczej </w:t>
      </w:r>
      <w:r w:rsidR="00FA714C">
        <w:rPr>
          <w:rFonts w:ascii="Lato" w:eastAsia="Times New Roman" w:hAnsi="Lato" w:cs="Arial"/>
          <w:bCs/>
          <w:iCs/>
          <w:color w:val="000000"/>
          <w:spacing w:val="4"/>
          <w:lang w:eastAsia="pl-PL" w:bidi="pl-PL"/>
        </w:rPr>
        <w:t>(…)</w:t>
      </w:r>
      <w:r w:rsidRPr="00C3321C">
        <w:rPr>
          <w:rFonts w:ascii="Lato" w:eastAsia="Calibri" w:hAnsi="Lato" w:cs="Times New Roman"/>
          <w:bCs/>
          <w:iCs/>
          <w:spacing w:val="4"/>
          <w:lang w:bidi="pl-PL"/>
        </w:rPr>
        <w:t xml:space="preserve">dodatkowo wniosła również o zmianę granic obszaru oznaczonego różowym szrafem w załączniku nr 1 ark. 1 do decyzji Wojewody Pomorskiego, w stosunku do którego </w:t>
      </w:r>
      <w:r w:rsidR="00E940E5">
        <w:rPr>
          <w:rFonts w:ascii="Lato" w:eastAsia="Calibri" w:hAnsi="Lato" w:cs="Times New Roman"/>
          <w:bCs/>
          <w:iCs/>
          <w:spacing w:val="4"/>
          <w:lang w:bidi="pl-PL"/>
        </w:rPr>
        <w:t xml:space="preserve">decyzja lokalizacyjna </w:t>
      </w:r>
      <w:r w:rsidR="00611824" w:rsidRPr="00C3321C">
        <w:rPr>
          <w:rFonts w:ascii="Lato" w:eastAsia="Calibri" w:hAnsi="Lato" w:cs="Times New Roman"/>
          <w:bCs/>
          <w:iCs/>
          <w:spacing w:val="4"/>
          <w:lang w:bidi="pl-PL"/>
        </w:rPr>
        <w:t>ma wywołać skutek, o którym mowa w art. 30 ust. 3 specustawy naftowej, tj. obszaru czasowego ograniczenia sposobu korzystania z działk</w:t>
      </w:r>
      <w:r w:rsidR="00E940E5">
        <w:rPr>
          <w:rFonts w:ascii="Lato" w:eastAsia="Calibri" w:hAnsi="Lato" w:cs="Times New Roman"/>
          <w:bCs/>
          <w:iCs/>
          <w:spacing w:val="4"/>
          <w:lang w:bidi="pl-PL"/>
        </w:rPr>
        <w:t>i</w:t>
      </w:r>
      <w:r w:rsidR="00611824" w:rsidRPr="00C3321C">
        <w:rPr>
          <w:rFonts w:ascii="Lato" w:eastAsia="Calibri" w:hAnsi="Lato" w:cs="Times New Roman"/>
          <w:bCs/>
          <w:iCs/>
          <w:spacing w:val="4"/>
          <w:lang w:bidi="pl-PL"/>
        </w:rPr>
        <w:t xml:space="preserve"> nr 75/9</w:t>
      </w:r>
      <w:r w:rsidR="00E940E5">
        <w:rPr>
          <w:rFonts w:ascii="Lato" w:eastAsia="Calibri" w:hAnsi="Lato" w:cs="Times New Roman"/>
          <w:bCs/>
          <w:iCs/>
          <w:spacing w:val="4"/>
          <w:lang w:bidi="pl-PL"/>
        </w:rPr>
        <w:t>2</w:t>
      </w:r>
      <w:r w:rsidR="00611824" w:rsidRPr="00C3321C">
        <w:rPr>
          <w:rFonts w:ascii="Lato" w:eastAsia="Calibri" w:hAnsi="Lato" w:cs="Times New Roman"/>
          <w:bCs/>
          <w:iCs/>
          <w:spacing w:val="4"/>
          <w:lang w:bidi="pl-PL"/>
        </w:rPr>
        <w:t xml:space="preserve"> (po</w:t>
      </w:r>
      <w:r w:rsidR="00E940E5">
        <w:rPr>
          <w:rFonts w:ascii="Lato" w:eastAsia="Calibri" w:hAnsi="Lato" w:cs="Times New Roman"/>
          <w:bCs/>
          <w:iCs/>
          <w:spacing w:val="4"/>
          <w:lang w:bidi="pl-PL"/>
        </w:rPr>
        <w:t xml:space="preserve">wstałej z podziału działki </w:t>
      </w:r>
      <w:r w:rsidR="00E940E5">
        <w:rPr>
          <w:rFonts w:ascii="Lato" w:eastAsia="Calibri" w:hAnsi="Lato" w:cs="Times New Roman"/>
          <w:bCs/>
          <w:iCs/>
          <w:spacing w:val="4"/>
          <w:lang w:bidi="pl-PL"/>
        </w:rPr>
        <w:br/>
        <w:t>nr 75/90)</w:t>
      </w:r>
      <w:r w:rsidR="00611824" w:rsidRPr="00C3321C">
        <w:rPr>
          <w:rFonts w:ascii="Lato" w:eastAsia="Calibri" w:hAnsi="Lato" w:cs="Times New Roman"/>
          <w:bCs/>
          <w:iCs/>
          <w:spacing w:val="4"/>
          <w:lang w:bidi="pl-PL"/>
        </w:rPr>
        <w:t xml:space="preserve">, poprzez jego zmniejszenie o fragment oznaczony kolorem żółtym na mapie dołączonej do pisma </w:t>
      </w:r>
      <w:r w:rsidR="0029222A" w:rsidRPr="00C3321C">
        <w:rPr>
          <w:rFonts w:ascii="Lato" w:eastAsia="Calibri" w:hAnsi="Lato" w:cs="Times New Roman"/>
          <w:bCs/>
          <w:iCs/>
          <w:spacing w:val="4"/>
          <w:lang w:bidi="pl-PL"/>
        </w:rPr>
        <w:t xml:space="preserve">skarżącej spółki </w:t>
      </w:r>
      <w:r w:rsidR="00611824" w:rsidRPr="00C3321C">
        <w:rPr>
          <w:rFonts w:ascii="Lato" w:eastAsia="Calibri" w:hAnsi="Lato" w:cs="Times New Roman"/>
          <w:bCs/>
          <w:iCs/>
          <w:spacing w:val="4"/>
          <w:lang w:bidi="pl-PL"/>
        </w:rPr>
        <w:t>z dnia 25 lutego 2026 r.</w:t>
      </w:r>
      <w:r w:rsidR="00E940E5">
        <w:rPr>
          <w:rFonts w:ascii="Lato" w:eastAsia="Calibri" w:hAnsi="Lato" w:cs="Times New Roman"/>
          <w:bCs/>
          <w:iCs/>
          <w:spacing w:val="4"/>
          <w:lang w:bidi="pl-PL"/>
        </w:rPr>
        <w:t xml:space="preserve"> (</w:t>
      </w:r>
      <w:r w:rsidR="00611824" w:rsidRPr="00C3321C">
        <w:rPr>
          <w:rFonts w:ascii="Lato" w:eastAsia="Calibri" w:hAnsi="Lato" w:cs="Times New Roman"/>
          <w:bCs/>
          <w:iCs/>
          <w:spacing w:val="4"/>
          <w:lang w:bidi="pl-PL"/>
        </w:rPr>
        <w:t>stanowiącego uzupełnienie odwołania</w:t>
      </w:r>
      <w:r w:rsidR="00E940E5">
        <w:rPr>
          <w:rFonts w:ascii="Lato" w:eastAsia="Calibri" w:hAnsi="Lato" w:cs="Times New Roman"/>
          <w:bCs/>
          <w:iCs/>
          <w:spacing w:val="4"/>
          <w:lang w:bidi="pl-PL"/>
        </w:rPr>
        <w:t>)</w:t>
      </w:r>
      <w:r w:rsidR="00611824" w:rsidRPr="00C3321C">
        <w:rPr>
          <w:rFonts w:ascii="Lato" w:eastAsia="Calibri" w:hAnsi="Lato" w:cs="Times New Roman"/>
          <w:bCs/>
          <w:iCs/>
          <w:spacing w:val="4"/>
          <w:lang w:bidi="pl-PL"/>
        </w:rPr>
        <w:t xml:space="preserve">. </w:t>
      </w:r>
      <w:r w:rsidR="00FA714C">
        <w:rPr>
          <w:rFonts w:ascii="Lato" w:eastAsia="Times New Roman" w:hAnsi="Lato" w:cs="Arial"/>
          <w:bCs/>
          <w:iCs/>
          <w:color w:val="000000"/>
          <w:spacing w:val="4"/>
          <w:lang w:eastAsia="pl-PL" w:bidi="pl-PL"/>
        </w:rPr>
        <w:t>(…)</w:t>
      </w:r>
      <w:r w:rsidR="00611824" w:rsidRPr="00C3321C">
        <w:rPr>
          <w:rFonts w:ascii="Lato" w:eastAsia="Calibri" w:hAnsi="Lato" w:cs="Times New Roman"/>
          <w:bCs/>
          <w:iCs/>
          <w:spacing w:val="4"/>
          <w:lang w:bidi="pl-PL"/>
        </w:rPr>
        <w:t xml:space="preserve">wskazała, że na dołączonym do decyzji lokalizacyjnej planie, PERN S.A. nie zaprojektowała żadnych elementów na obszarze, </w:t>
      </w:r>
      <w:r w:rsidR="00E940E5">
        <w:rPr>
          <w:rFonts w:ascii="Lato" w:eastAsia="Calibri" w:hAnsi="Lato" w:cs="Times New Roman"/>
          <w:bCs/>
          <w:iCs/>
          <w:spacing w:val="4"/>
          <w:lang w:bidi="pl-PL"/>
        </w:rPr>
        <w:br/>
      </w:r>
      <w:r w:rsidR="00611824" w:rsidRPr="00C3321C">
        <w:rPr>
          <w:rFonts w:ascii="Lato" w:eastAsia="Calibri" w:hAnsi="Lato" w:cs="Times New Roman"/>
          <w:bCs/>
          <w:iCs/>
          <w:spacing w:val="4"/>
          <w:lang w:bidi="pl-PL"/>
        </w:rPr>
        <w:t xml:space="preserve">o którego wyłączenie wnioskuje. Obszar ten ma zostać, według wiedzy </w:t>
      </w:r>
      <w:r w:rsidR="00FA714C">
        <w:rPr>
          <w:rFonts w:ascii="Lato" w:eastAsia="Times New Roman" w:hAnsi="Lato" w:cs="Arial"/>
          <w:bCs/>
          <w:iCs/>
          <w:color w:val="000000"/>
          <w:spacing w:val="4"/>
          <w:lang w:eastAsia="pl-PL" w:bidi="pl-PL"/>
        </w:rPr>
        <w:t>(…)</w:t>
      </w:r>
      <w:r w:rsidR="00611824" w:rsidRPr="00C3321C">
        <w:rPr>
          <w:rFonts w:ascii="Lato" w:eastAsia="Calibri" w:hAnsi="Lato" w:cs="Times New Roman"/>
          <w:bCs/>
          <w:iCs/>
          <w:spacing w:val="4"/>
          <w:lang w:bidi="pl-PL"/>
        </w:rPr>
        <w:t xml:space="preserve">, wykorzystany przez inwestora jedynie jako zaplecze budowy. </w:t>
      </w:r>
      <w:r w:rsidR="00FA714C">
        <w:rPr>
          <w:rFonts w:ascii="Lato" w:eastAsia="Times New Roman" w:hAnsi="Lato" w:cs="Arial"/>
          <w:bCs/>
          <w:iCs/>
          <w:color w:val="000000"/>
          <w:spacing w:val="4"/>
          <w:lang w:eastAsia="pl-PL" w:bidi="pl-PL"/>
        </w:rPr>
        <w:t>(…)</w:t>
      </w:r>
      <w:r w:rsidR="00611824" w:rsidRPr="00C3321C">
        <w:rPr>
          <w:rFonts w:ascii="Lato" w:eastAsia="Calibri" w:hAnsi="Lato" w:cs="Times New Roman"/>
          <w:bCs/>
          <w:iCs/>
          <w:spacing w:val="4"/>
          <w:lang w:bidi="pl-PL"/>
        </w:rPr>
        <w:t>podniosł</w:t>
      </w:r>
      <w:r w:rsidR="00E940E5">
        <w:rPr>
          <w:rFonts w:ascii="Lato" w:eastAsia="Calibri" w:hAnsi="Lato" w:cs="Times New Roman"/>
          <w:bCs/>
          <w:iCs/>
          <w:spacing w:val="4"/>
          <w:lang w:bidi="pl-PL"/>
        </w:rPr>
        <w:t>a</w:t>
      </w:r>
      <w:r w:rsidR="00611824" w:rsidRPr="00C3321C">
        <w:rPr>
          <w:rFonts w:ascii="Lato" w:eastAsia="Calibri" w:hAnsi="Lato" w:cs="Times New Roman"/>
          <w:bCs/>
          <w:iCs/>
          <w:spacing w:val="4"/>
          <w:lang w:bidi="pl-PL"/>
        </w:rPr>
        <w:t xml:space="preserve">, że na przedmiotowym obszarze planuje na lata 2028-2030 realizację projektu pn. „Nowa pompownia wody pożarowej zasilana z Martwej Wisły”, którego realizacja stanowi kluczowy element podniesienia poziomu bezpieczeństwa procesowego oraz ochrony życia i zdrowia pracowników na terenie </w:t>
      </w:r>
      <w:r w:rsidR="00FA714C">
        <w:rPr>
          <w:rFonts w:ascii="Lato" w:eastAsia="Times New Roman" w:hAnsi="Lato" w:cs="Arial"/>
          <w:bCs/>
          <w:iCs/>
          <w:color w:val="000000"/>
          <w:spacing w:val="4"/>
          <w:lang w:eastAsia="pl-PL" w:bidi="pl-PL"/>
        </w:rPr>
        <w:t>(…)</w:t>
      </w:r>
      <w:r w:rsidR="00611824" w:rsidRPr="00C3321C">
        <w:rPr>
          <w:rFonts w:ascii="Lato" w:eastAsia="Calibri" w:hAnsi="Lato" w:cs="Times New Roman"/>
          <w:bCs/>
          <w:iCs/>
          <w:spacing w:val="4"/>
          <w:lang w:bidi="pl-PL"/>
        </w:rPr>
        <w:t xml:space="preserve">. Biorąc pod uwagę możliwe wystąpienie kolizji czasowej planowanej przez </w:t>
      </w:r>
      <w:r w:rsidR="00FA714C">
        <w:rPr>
          <w:rFonts w:ascii="Lato" w:eastAsia="Times New Roman" w:hAnsi="Lato" w:cs="Arial"/>
          <w:bCs/>
          <w:iCs/>
          <w:color w:val="000000"/>
          <w:spacing w:val="4"/>
          <w:lang w:eastAsia="pl-PL" w:bidi="pl-PL"/>
        </w:rPr>
        <w:t>(…)</w:t>
      </w:r>
      <w:r w:rsidR="00611824" w:rsidRPr="00C3321C">
        <w:rPr>
          <w:rFonts w:ascii="Lato" w:eastAsia="Calibri" w:hAnsi="Lato" w:cs="Times New Roman"/>
          <w:bCs/>
          <w:iCs/>
          <w:spacing w:val="4"/>
          <w:lang w:bidi="pl-PL"/>
        </w:rPr>
        <w:t xml:space="preserve"> inwestycji oraz będącej przedmiotem decyzji Wojewody Pomorskiego inwestycji PERN</w:t>
      </w:r>
      <w:r w:rsidR="00E9746F" w:rsidRPr="00C3321C">
        <w:rPr>
          <w:rFonts w:ascii="Lato" w:eastAsia="Calibri" w:hAnsi="Lato" w:cs="Times New Roman"/>
          <w:bCs/>
          <w:iCs/>
          <w:spacing w:val="4"/>
          <w:lang w:bidi="pl-PL"/>
        </w:rPr>
        <w:t xml:space="preserve"> S.A.</w:t>
      </w:r>
      <w:r w:rsidR="00611824" w:rsidRPr="00C3321C">
        <w:rPr>
          <w:rFonts w:ascii="Lato" w:eastAsia="Calibri" w:hAnsi="Lato" w:cs="Times New Roman"/>
          <w:bCs/>
          <w:iCs/>
          <w:spacing w:val="4"/>
          <w:lang w:bidi="pl-PL"/>
        </w:rPr>
        <w:t>, a także konieczność uzyskania przez</w:t>
      </w:r>
      <w:r w:rsidR="00E9746F" w:rsidRPr="00C3321C">
        <w:rPr>
          <w:rFonts w:ascii="Lato" w:eastAsia="Calibri" w:hAnsi="Lato" w:cs="Times New Roman"/>
          <w:bCs/>
          <w:iCs/>
          <w:spacing w:val="4"/>
          <w:lang w:bidi="pl-PL"/>
        </w:rPr>
        <w:t xml:space="preserve"> </w:t>
      </w:r>
      <w:r w:rsidR="00FA714C">
        <w:rPr>
          <w:rFonts w:ascii="Lato" w:eastAsia="Times New Roman" w:hAnsi="Lato" w:cs="Arial"/>
          <w:bCs/>
          <w:iCs/>
          <w:color w:val="000000"/>
          <w:spacing w:val="4"/>
          <w:lang w:eastAsia="pl-PL" w:bidi="pl-PL"/>
        </w:rPr>
        <w:t>(…)</w:t>
      </w:r>
      <w:r w:rsidR="00FA714C">
        <w:rPr>
          <w:rFonts w:ascii="Lato" w:eastAsia="Times New Roman" w:hAnsi="Lato" w:cs="Arial"/>
          <w:bCs/>
          <w:iCs/>
          <w:color w:val="000000"/>
          <w:spacing w:val="4"/>
          <w:lang w:eastAsia="pl-PL" w:bidi="pl-PL"/>
        </w:rPr>
        <w:t xml:space="preserve"> </w:t>
      </w:r>
      <w:r w:rsidR="00611824" w:rsidRPr="00C3321C">
        <w:rPr>
          <w:rFonts w:ascii="Lato" w:eastAsia="Calibri" w:hAnsi="Lato" w:cs="Times New Roman"/>
          <w:bCs/>
          <w:iCs/>
          <w:spacing w:val="4"/>
          <w:lang w:bidi="pl-PL"/>
        </w:rPr>
        <w:t>na wcześniejszym etapie inwestycyjnym niezbędnych decyzji i pozwoleń, zmiana</w:t>
      </w:r>
      <w:r w:rsidR="00E9746F" w:rsidRPr="00C3321C">
        <w:rPr>
          <w:rFonts w:ascii="Lato" w:eastAsia="Calibri" w:hAnsi="Lato" w:cs="Times New Roman"/>
          <w:bCs/>
          <w:iCs/>
          <w:spacing w:val="4"/>
          <w:lang w:bidi="pl-PL"/>
        </w:rPr>
        <w:t xml:space="preserve"> </w:t>
      </w:r>
      <w:r w:rsidR="00611824" w:rsidRPr="00C3321C">
        <w:rPr>
          <w:rFonts w:ascii="Lato" w:eastAsia="Calibri" w:hAnsi="Lato" w:cs="Times New Roman"/>
          <w:bCs/>
          <w:iCs/>
          <w:spacing w:val="4"/>
          <w:lang w:bidi="pl-PL"/>
        </w:rPr>
        <w:t xml:space="preserve">granic obszaru czasowego ograniczenia korzystania </w:t>
      </w:r>
      <w:r w:rsidR="00E940E5">
        <w:rPr>
          <w:rFonts w:ascii="Lato" w:eastAsia="Calibri" w:hAnsi="Lato" w:cs="Times New Roman"/>
          <w:bCs/>
          <w:iCs/>
          <w:spacing w:val="4"/>
          <w:lang w:bidi="pl-PL"/>
        </w:rPr>
        <w:t xml:space="preserve">z części ww. działki nr </w:t>
      </w:r>
      <w:r w:rsidR="00E940E5" w:rsidRPr="00E940E5">
        <w:rPr>
          <w:rFonts w:ascii="Lato" w:eastAsia="Calibri" w:hAnsi="Lato" w:cs="Times New Roman"/>
          <w:bCs/>
          <w:iCs/>
          <w:spacing w:val="4"/>
          <w:lang w:bidi="pl-PL"/>
        </w:rPr>
        <w:t>75/92</w:t>
      </w:r>
      <w:r w:rsidR="00611824" w:rsidRPr="00C3321C">
        <w:rPr>
          <w:rFonts w:ascii="Lato" w:eastAsia="Calibri" w:hAnsi="Lato" w:cs="Times New Roman"/>
          <w:bCs/>
          <w:iCs/>
          <w:spacing w:val="4"/>
          <w:lang w:bidi="pl-PL"/>
        </w:rPr>
        <w:t>, który ma stanowić dla</w:t>
      </w:r>
      <w:r w:rsidR="00E9746F" w:rsidRPr="00C3321C">
        <w:rPr>
          <w:rFonts w:ascii="Lato" w:eastAsia="Calibri" w:hAnsi="Lato" w:cs="Times New Roman"/>
          <w:bCs/>
          <w:iCs/>
          <w:spacing w:val="4"/>
          <w:lang w:bidi="pl-PL"/>
        </w:rPr>
        <w:t xml:space="preserve"> PERN S.A. </w:t>
      </w:r>
      <w:r w:rsidR="00611824" w:rsidRPr="00C3321C">
        <w:rPr>
          <w:rFonts w:ascii="Lato" w:eastAsia="Calibri" w:hAnsi="Lato" w:cs="Times New Roman"/>
          <w:bCs/>
          <w:iCs/>
          <w:spacing w:val="4"/>
          <w:lang w:bidi="pl-PL"/>
        </w:rPr>
        <w:t>jedynie zaplecze budowy, wydaje się</w:t>
      </w:r>
      <w:r w:rsidR="00E9746F" w:rsidRPr="00C3321C">
        <w:rPr>
          <w:rFonts w:ascii="Lato" w:eastAsia="Calibri" w:hAnsi="Lato" w:cs="Times New Roman"/>
          <w:bCs/>
          <w:iCs/>
          <w:spacing w:val="4"/>
          <w:lang w:bidi="pl-PL"/>
        </w:rPr>
        <w:t xml:space="preserve"> - w ocenie skarżącej spółki - </w:t>
      </w:r>
      <w:r w:rsidR="00611824" w:rsidRPr="00C3321C">
        <w:rPr>
          <w:rFonts w:ascii="Lato" w:eastAsia="Calibri" w:hAnsi="Lato" w:cs="Times New Roman"/>
          <w:bCs/>
          <w:iCs/>
          <w:spacing w:val="4"/>
          <w:lang w:bidi="pl-PL"/>
        </w:rPr>
        <w:t>w pełni uzasadnione.</w:t>
      </w:r>
      <w:r w:rsidR="00E9746F" w:rsidRPr="00C3321C">
        <w:rPr>
          <w:rFonts w:ascii="Lato" w:eastAsia="Calibri" w:hAnsi="Lato" w:cs="Times New Roman"/>
          <w:bCs/>
          <w:iCs/>
          <w:spacing w:val="4"/>
          <w:lang w:bidi="pl-PL"/>
        </w:rPr>
        <w:t xml:space="preserve"> </w:t>
      </w:r>
      <w:r w:rsidR="00FA714C">
        <w:rPr>
          <w:rFonts w:ascii="Lato" w:eastAsia="Times New Roman" w:hAnsi="Lato" w:cs="Arial"/>
          <w:bCs/>
          <w:iCs/>
          <w:color w:val="000000"/>
          <w:spacing w:val="4"/>
          <w:lang w:eastAsia="pl-PL" w:bidi="pl-PL"/>
        </w:rPr>
        <w:t>(…)</w:t>
      </w:r>
      <w:r w:rsidR="00E9746F" w:rsidRPr="00C3321C">
        <w:rPr>
          <w:rFonts w:ascii="Lato" w:eastAsia="Calibri" w:hAnsi="Lato" w:cs="Times New Roman"/>
          <w:bCs/>
          <w:iCs/>
          <w:spacing w:val="4"/>
          <w:lang w:bidi="pl-PL"/>
        </w:rPr>
        <w:t>wskazał</w:t>
      </w:r>
      <w:r w:rsidR="00E3291F">
        <w:rPr>
          <w:rFonts w:ascii="Lato" w:eastAsia="Calibri" w:hAnsi="Lato" w:cs="Times New Roman"/>
          <w:bCs/>
          <w:iCs/>
          <w:spacing w:val="4"/>
          <w:lang w:bidi="pl-PL"/>
        </w:rPr>
        <w:t>a</w:t>
      </w:r>
      <w:r w:rsidR="00E9746F" w:rsidRPr="00C3321C">
        <w:rPr>
          <w:rFonts w:ascii="Lato" w:eastAsia="Calibri" w:hAnsi="Lato" w:cs="Times New Roman"/>
          <w:bCs/>
          <w:iCs/>
          <w:spacing w:val="4"/>
          <w:lang w:bidi="pl-PL"/>
        </w:rPr>
        <w:t xml:space="preserve">, że podjęła w zakresie tego obszaru rozmowy z PERN S.A., która nie sprzeciwia się </w:t>
      </w:r>
      <w:r w:rsidR="00E940E5">
        <w:rPr>
          <w:rFonts w:ascii="Lato" w:eastAsia="Calibri" w:hAnsi="Lato" w:cs="Times New Roman"/>
          <w:bCs/>
          <w:iCs/>
          <w:spacing w:val="4"/>
          <w:lang w:bidi="pl-PL"/>
        </w:rPr>
        <w:t xml:space="preserve">jego </w:t>
      </w:r>
      <w:r w:rsidR="00E9746F" w:rsidRPr="00C3321C">
        <w:rPr>
          <w:rFonts w:ascii="Lato" w:eastAsia="Calibri" w:hAnsi="Lato" w:cs="Times New Roman"/>
          <w:bCs/>
          <w:iCs/>
          <w:spacing w:val="4"/>
          <w:lang w:bidi="pl-PL"/>
        </w:rPr>
        <w:t xml:space="preserve">zmniejszeniu. Jednocześnie </w:t>
      </w:r>
      <w:r w:rsidR="00FA714C">
        <w:rPr>
          <w:rFonts w:ascii="Lato" w:eastAsia="Times New Roman" w:hAnsi="Lato" w:cs="Arial"/>
          <w:bCs/>
          <w:iCs/>
          <w:color w:val="000000"/>
          <w:spacing w:val="4"/>
          <w:lang w:eastAsia="pl-PL" w:bidi="pl-PL"/>
        </w:rPr>
        <w:t>(…)</w:t>
      </w:r>
      <w:r w:rsidR="00E9746F" w:rsidRPr="00C3321C">
        <w:rPr>
          <w:rFonts w:ascii="Lato" w:eastAsia="Calibri" w:hAnsi="Lato" w:cs="Times New Roman"/>
          <w:bCs/>
          <w:iCs/>
          <w:spacing w:val="4"/>
          <w:lang w:bidi="pl-PL"/>
        </w:rPr>
        <w:t>oświadczyła, że w ramach bieżącej współpracy z PERN S.A. uzgodni obszar niezbędny dla PERN S.A. do czasowego korzystania pod zaplecz</w:t>
      </w:r>
      <w:r w:rsidR="00E940E5">
        <w:rPr>
          <w:rFonts w:ascii="Lato" w:eastAsia="Calibri" w:hAnsi="Lato" w:cs="Times New Roman"/>
          <w:bCs/>
          <w:iCs/>
          <w:spacing w:val="4"/>
          <w:lang w:bidi="pl-PL"/>
        </w:rPr>
        <w:t>e</w:t>
      </w:r>
      <w:r w:rsidR="00E9746F" w:rsidRPr="00C3321C">
        <w:rPr>
          <w:rFonts w:ascii="Lato" w:eastAsia="Calibri" w:hAnsi="Lato" w:cs="Times New Roman"/>
          <w:bCs/>
          <w:iCs/>
          <w:spacing w:val="4"/>
          <w:lang w:bidi="pl-PL"/>
        </w:rPr>
        <w:t xml:space="preserve"> budowy, tak, aby obie inwestycje nie kolidowały ze sobą.</w:t>
      </w:r>
    </w:p>
    <w:p w14:paraId="226BE3A1" w14:textId="06C99019" w:rsidR="002A155F" w:rsidRPr="00C3321C" w:rsidRDefault="00E9746F" w:rsidP="00C3321C">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iCs/>
          <w:spacing w:val="4"/>
          <w:lang w:bidi="pl-PL"/>
        </w:rPr>
      </w:pPr>
      <w:r w:rsidRPr="00C3321C">
        <w:rPr>
          <w:rFonts w:ascii="Lato" w:eastAsia="Calibri" w:hAnsi="Lato" w:cs="Times New Roman"/>
          <w:bCs/>
          <w:iCs/>
          <w:spacing w:val="4"/>
          <w:lang w:bidi="pl-PL"/>
        </w:rPr>
        <w:t>Mając powyższe na uwadze, wskazać należy, że w</w:t>
      </w:r>
      <w:r w:rsidR="00731478" w:rsidRPr="00C3321C">
        <w:rPr>
          <w:rFonts w:ascii="Lato" w:eastAsia="Calibri" w:hAnsi="Lato" w:cs="Times New Roman"/>
          <w:bCs/>
          <w:iCs/>
          <w:spacing w:val="4"/>
          <w:lang w:bidi="pl-PL"/>
        </w:rPr>
        <w:t xml:space="preserve"> decyzji Wojewody Pomorskiego </w:t>
      </w:r>
      <w:r w:rsidR="00D760E0" w:rsidRPr="00C3321C">
        <w:rPr>
          <w:rFonts w:ascii="Lato" w:eastAsia="Calibri" w:hAnsi="Lato" w:cs="Times New Roman"/>
          <w:bCs/>
          <w:iCs/>
          <w:spacing w:val="4"/>
          <w:lang w:bidi="pl-PL"/>
        </w:rPr>
        <w:br/>
      </w:r>
      <w:r w:rsidR="00731478" w:rsidRPr="00C3321C">
        <w:rPr>
          <w:rFonts w:ascii="Lato" w:eastAsia="Calibri" w:hAnsi="Lato" w:cs="Times New Roman"/>
          <w:bCs/>
          <w:iCs/>
          <w:spacing w:val="4"/>
          <w:lang w:bidi="pl-PL"/>
        </w:rPr>
        <w:t xml:space="preserve">działka nr 75/90, z obrębu 0300 w Gdańsku (będąca własnością Skarbu Państwa </w:t>
      </w:r>
      <w:r w:rsidR="00D760E0" w:rsidRPr="00C3321C">
        <w:rPr>
          <w:rFonts w:ascii="Lato" w:eastAsia="Calibri" w:hAnsi="Lato" w:cs="Times New Roman"/>
          <w:bCs/>
          <w:iCs/>
          <w:spacing w:val="4"/>
          <w:lang w:bidi="pl-PL"/>
        </w:rPr>
        <w:br/>
      </w:r>
      <w:r w:rsidR="00731478" w:rsidRPr="00C3321C">
        <w:rPr>
          <w:rFonts w:ascii="Lato" w:eastAsia="Calibri" w:hAnsi="Lato" w:cs="Times New Roman"/>
          <w:bCs/>
          <w:iCs/>
          <w:spacing w:val="4"/>
          <w:lang w:bidi="pl-PL"/>
        </w:rPr>
        <w:t xml:space="preserve">w użytkowaniu wieczystym </w:t>
      </w:r>
      <w:r w:rsidR="00FA714C">
        <w:rPr>
          <w:rFonts w:ascii="Lato" w:eastAsia="Times New Roman" w:hAnsi="Lato" w:cs="Arial"/>
          <w:bCs/>
          <w:iCs/>
          <w:color w:val="000000"/>
          <w:spacing w:val="4"/>
          <w:lang w:eastAsia="pl-PL" w:bidi="pl-PL"/>
        </w:rPr>
        <w:t>(…)</w:t>
      </w:r>
      <w:r w:rsidR="00731478" w:rsidRPr="00C3321C">
        <w:rPr>
          <w:rFonts w:ascii="Lato" w:eastAsia="Calibri" w:hAnsi="Lato" w:cs="Times New Roman"/>
          <w:bCs/>
          <w:iCs/>
          <w:spacing w:val="4"/>
          <w:lang w:bidi="pl-PL"/>
        </w:rPr>
        <w:t>)</w:t>
      </w:r>
      <w:r w:rsidR="00800E08" w:rsidRPr="00C3321C">
        <w:rPr>
          <w:rFonts w:ascii="Lato" w:eastAsia="Calibri" w:hAnsi="Lato" w:cs="Times New Roman"/>
          <w:bCs/>
          <w:iCs/>
          <w:spacing w:val="4"/>
          <w:lang w:bidi="pl-PL"/>
        </w:rPr>
        <w:t xml:space="preserve"> ulega podziałowi na działkę nr 75/91 (podlegającą skutkom z art. 26 ust. 7 w zw. z art. 26 ust. 12 specustawy naftowej)</w:t>
      </w:r>
      <w:r w:rsidR="00E940E5">
        <w:rPr>
          <w:rFonts w:ascii="Lato" w:eastAsia="Calibri" w:hAnsi="Lato" w:cs="Times New Roman"/>
          <w:bCs/>
          <w:iCs/>
          <w:spacing w:val="4"/>
          <w:lang w:bidi="pl-PL"/>
        </w:rPr>
        <w:t xml:space="preserve"> </w:t>
      </w:r>
      <w:r w:rsidR="00800E08" w:rsidRPr="00C3321C">
        <w:rPr>
          <w:rFonts w:ascii="Lato" w:eastAsia="Calibri" w:hAnsi="Lato" w:cs="Times New Roman"/>
          <w:bCs/>
          <w:iCs/>
          <w:spacing w:val="4"/>
          <w:lang w:bidi="pl-PL"/>
        </w:rPr>
        <w:t xml:space="preserve"> przechodzącą w użytkowanie wieczyste inwestora (PERN S.A.), i działkę nr 75/92</w:t>
      </w:r>
      <w:r w:rsidR="002A155F" w:rsidRPr="00C3321C">
        <w:rPr>
          <w:rFonts w:ascii="Lato" w:eastAsia="Calibri" w:hAnsi="Lato" w:cs="Times New Roman"/>
          <w:bCs/>
          <w:iCs/>
          <w:spacing w:val="4"/>
          <w:lang w:bidi="pl-PL"/>
        </w:rPr>
        <w:t xml:space="preserve"> (</w:t>
      </w:r>
      <w:r w:rsidR="00800E08" w:rsidRPr="00C3321C">
        <w:rPr>
          <w:rFonts w:ascii="Lato" w:eastAsia="Calibri" w:hAnsi="Lato" w:cs="Times New Roman"/>
          <w:bCs/>
          <w:iCs/>
          <w:spacing w:val="4"/>
          <w:lang w:bidi="pl-PL"/>
        </w:rPr>
        <w:t xml:space="preserve">pozostającą w użytkowaniu wieczystym </w:t>
      </w:r>
      <w:r w:rsidR="00FA714C">
        <w:rPr>
          <w:rFonts w:ascii="Lato" w:eastAsia="Times New Roman" w:hAnsi="Lato" w:cs="Arial"/>
          <w:bCs/>
          <w:iCs/>
          <w:color w:val="000000"/>
          <w:spacing w:val="4"/>
          <w:lang w:eastAsia="pl-PL" w:bidi="pl-PL"/>
        </w:rPr>
        <w:t>(…)</w:t>
      </w:r>
      <w:r w:rsidR="002A155F" w:rsidRPr="00C3321C">
        <w:rPr>
          <w:rFonts w:ascii="Lato" w:eastAsia="Calibri" w:hAnsi="Lato" w:cs="Times New Roman"/>
          <w:bCs/>
          <w:iCs/>
          <w:spacing w:val="4"/>
          <w:lang w:bidi="pl-PL"/>
        </w:rPr>
        <w:t xml:space="preserve">), ale ograniczoną w sposobie korzystania na podstawie art. 30 ust. 1 </w:t>
      </w:r>
      <w:r w:rsidRPr="00C3321C">
        <w:rPr>
          <w:rFonts w:ascii="Lato" w:eastAsia="Calibri" w:hAnsi="Lato" w:cs="Times New Roman"/>
          <w:bCs/>
          <w:iCs/>
          <w:spacing w:val="4"/>
          <w:lang w:bidi="pl-PL"/>
        </w:rPr>
        <w:t xml:space="preserve">w zw. ust. 3 </w:t>
      </w:r>
      <w:r w:rsidR="002A155F" w:rsidRPr="00C3321C">
        <w:rPr>
          <w:rFonts w:ascii="Lato" w:eastAsia="Calibri" w:hAnsi="Lato" w:cs="Times New Roman"/>
          <w:bCs/>
          <w:iCs/>
          <w:spacing w:val="4"/>
          <w:lang w:bidi="pl-PL"/>
        </w:rPr>
        <w:t xml:space="preserve">specustawy naftowej. </w:t>
      </w:r>
    </w:p>
    <w:p w14:paraId="679084DE" w14:textId="06AE5C58" w:rsidR="005729FD" w:rsidRPr="00C3321C" w:rsidRDefault="005729FD" w:rsidP="00767B6A">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iCs/>
          <w:spacing w:val="4"/>
          <w:lang w:bidi="pl-PL"/>
        </w:rPr>
      </w:pPr>
      <w:r w:rsidRPr="00C3321C">
        <w:rPr>
          <w:rFonts w:ascii="Lato" w:eastAsia="Calibri" w:hAnsi="Lato" w:cs="Times New Roman"/>
          <w:bCs/>
          <w:iCs/>
          <w:spacing w:val="4"/>
          <w:lang w:bidi="pl-PL"/>
        </w:rPr>
        <w:lastRenderedPageBreak/>
        <w:t>Jednocześnie wyjaśnić należy, że w decyzji o ustaleniu lokalizacji strategicznej inwestycji w sektorze naftowym</w:t>
      </w:r>
      <w:r w:rsidR="00767B6A">
        <w:rPr>
          <w:rFonts w:ascii="Lato" w:eastAsia="Calibri" w:hAnsi="Lato" w:cs="Times New Roman"/>
          <w:bCs/>
          <w:iCs/>
          <w:spacing w:val="4"/>
          <w:lang w:bidi="pl-PL"/>
        </w:rPr>
        <w:t xml:space="preserve"> </w:t>
      </w:r>
      <w:r w:rsidRPr="00C3321C">
        <w:rPr>
          <w:rFonts w:ascii="Lato" w:eastAsia="Calibri" w:hAnsi="Lato" w:cs="Times New Roman"/>
          <w:bCs/>
          <w:iCs/>
          <w:spacing w:val="4"/>
          <w:lang w:bidi="pl-PL"/>
        </w:rPr>
        <w:t>wydawanej na podstawie specustawy naftowej, nie ma możliwości ustanowienia służebności przesył</w:t>
      </w:r>
      <w:r w:rsidR="003246BE">
        <w:rPr>
          <w:rFonts w:ascii="Lato" w:eastAsia="Calibri" w:hAnsi="Lato" w:cs="Times New Roman"/>
          <w:bCs/>
          <w:iCs/>
          <w:spacing w:val="4"/>
          <w:lang w:bidi="pl-PL"/>
        </w:rPr>
        <w:t>u</w:t>
      </w:r>
      <w:r w:rsidRPr="00C3321C">
        <w:rPr>
          <w:rFonts w:ascii="Lato" w:eastAsia="Calibri" w:hAnsi="Lato" w:cs="Times New Roman"/>
          <w:bCs/>
          <w:iCs/>
          <w:spacing w:val="4"/>
          <w:lang w:bidi="pl-PL"/>
        </w:rPr>
        <w:t>. Wydawana na podstawie specustawy naftowej decyzja lokalizacyjna nie dotyczy bowiem cywilnoprawnej kwestii służebności przesyłu. Służebność przesyłu jest instytucją prawa rzeczowego uregulowaną przepisami kodeksu cywilnego. Ustanowienie służebności przesyłu odbywa się na drodze cywilnej, a nie administracyjnej. Natomiast w sytuacji, gdy na skutek nabycia nieruchomości bądź jej części na podstawie decyzji o ustaleniu lokalizacji strategicznej inwestycji w sektorze naftowym, właściciel nieruchomości (użytkownik wieczysty) doznaje np. niedogodności, odpowiednie zastosowanie - z mocy art. 34 specustawy naftowej – znajduje art. 120 ugn, normujący ustanowienie niezbędnych służebności. Zgodnie z art. 120 ugn</w:t>
      </w:r>
      <w:r w:rsidRPr="00C3321C">
        <w:rPr>
          <w:rFonts w:ascii="Lato" w:eastAsia="Calibri" w:hAnsi="Lato" w:cs="Times New Roman"/>
          <w:bCs/>
          <w:i/>
          <w:iCs/>
          <w:spacing w:val="4"/>
          <w:lang w:bidi="pl-PL"/>
        </w:rPr>
        <w:t xml:space="preserve">, </w:t>
      </w:r>
      <w:r w:rsidRPr="00C3321C">
        <w:rPr>
          <w:rFonts w:ascii="Lato" w:eastAsia="Calibri" w:hAnsi="Lato" w:cs="Times New Roman"/>
          <w:bCs/>
          <w:iCs/>
          <w:spacing w:val="4"/>
          <w:lang w:bidi="pl-PL"/>
        </w:rPr>
        <w:t xml:space="preserve">jeżeli zachodzi potrzeba zapobieżenia niebezpieczeństwu, wystąpieniu szkody lub niedogodnościom, jakie mogą powstać dla właścicieli albo użytkowników wieczystych nieruchomości sąsiednich wskutek wywłaszczenia lub innego niż dotychczas zagospodarowania wywłaszczonej nieruchomości, w decyzji o wywłaszczeniu ustanawia się niezbędne służebności oraz ustala obowiązek budowy i utrzymania odpowiednich urządzeń zapobiegających tym zdarzeniom lub okolicznościom. Obowiązek budowy i utrzymania odpowiednich urządzeń ciąży na występującym z wnioskiem o wywłaszczenie. Przepis art. 120 ugn stanowi swoiste uzupełnienie art. 119 ugn i przesądza o konieczności zamieszczenia dodatkowych elementów w decyzji o wywłaszczeniu, gdy wywłaszczenie nieruchomości ujemnie oddziałuje na nieruchomości sąsiednie. </w:t>
      </w:r>
    </w:p>
    <w:p w14:paraId="29D6CFF5" w14:textId="17C45AA9" w:rsidR="00767B6A" w:rsidRDefault="003405EA" w:rsidP="00767B6A">
      <w:pPr>
        <w:tabs>
          <w:tab w:val="left" w:pos="-1843"/>
          <w:tab w:val="left" w:pos="-993"/>
          <w:tab w:val="left" w:pos="4678"/>
          <w:tab w:val="left" w:pos="5387"/>
          <w:tab w:val="right" w:pos="5812"/>
        </w:tabs>
        <w:spacing w:after="240" w:line="240" w:lineRule="exact"/>
        <w:jc w:val="both"/>
        <w:outlineLvl w:val="0"/>
        <w:rPr>
          <w:rFonts w:ascii="Lato" w:eastAsia="@Arial Unicode MS" w:hAnsi="Lato" w:cs="Arial"/>
          <w:spacing w:val="4"/>
          <w:lang w:eastAsia="pl-PL"/>
        </w:rPr>
      </w:pPr>
      <w:r w:rsidRPr="00CF0A97">
        <w:rPr>
          <w:rFonts w:ascii="Lato" w:eastAsia="Calibri" w:hAnsi="Lato" w:cs="Times New Roman"/>
          <w:bCs/>
          <w:iCs/>
          <w:spacing w:val="4"/>
          <w:lang w:bidi="pl-PL"/>
        </w:rPr>
        <w:t xml:space="preserve">W wyniku </w:t>
      </w:r>
      <w:r w:rsidR="00CA30E2" w:rsidRPr="00CF0A97">
        <w:rPr>
          <w:rFonts w:ascii="Lato" w:eastAsia="Calibri" w:hAnsi="Lato" w:cs="Times New Roman"/>
          <w:bCs/>
          <w:iCs/>
          <w:spacing w:val="4"/>
          <w:lang w:bidi="pl-PL"/>
        </w:rPr>
        <w:t xml:space="preserve">przeprowadzonego przez Ministra postępowania wyjaśniającego na podstawie art. 136 § 1 kpa (korespondencja organu odwoławczego z </w:t>
      </w:r>
      <w:r w:rsidR="00CA30E2" w:rsidRPr="00CF0A97">
        <w:rPr>
          <w:rFonts w:ascii="Lato" w:eastAsia="Calibri" w:hAnsi="Lato" w:cs="Times New Roman"/>
          <w:bCs/>
          <w:spacing w:val="4"/>
          <w:lang w:bidi="pl-PL"/>
        </w:rPr>
        <w:t>inwestorem</w:t>
      </w:r>
      <w:r w:rsidR="00CA30E2" w:rsidRPr="00CF0A97">
        <w:rPr>
          <w:rFonts w:ascii="Lato" w:eastAsia="Calibri" w:hAnsi="Lato" w:cs="Times New Roman"/>
          <w:bCs/>
          <w:iCs/>
          <w:spacing w:val="4"/>
          <w:lang w:bidi="pl-PL"/>
        </w:rPr>
        <w:t xml:space="preserve">), jak również </w:t>
      </w:r>
      <w:r w:rsidRPr="00CF0A97">
        <w:rPr>
          <w:rFonts w:ascii="Lato" w:eastAsia="Calibri" w:hAnsi="Lato" w:cs="Times New Roman"/>
          <w:bCs/>
          <w:iCs/>
          <w:spacing w:val="4"/>
          <w:lang w:bidi="pl-PL"/>
        </w:rPr>
        <w:br/>
      </w:r>
      <w:r w:rsidR="00767B6A">
        <w:rPr>
          <w:rFonts w:ascii="Lato" w:eastAsia="Calibri" w:hAnsi="Lato" w:cs="Times New Roman"/>
          <w:bCs/>
          <w:iCs/>
          <w:spacing w:val="4"/>
          <w:lang w:bidi="pl-PL"/>
        </w:rPr>
        <w:t xml:space="preserve">w efekcie </w:t>
      </w:r>
      <w:r w:rsidR="00CA30E2" w:rsidRPr="00CF0A97">
        <w:rPr>
          <w:rFonts w:ascii="Lato" w:eastAsia="Calibri" w:hAnsi="Lato" w:cs="Times New Roman"/>
          <w:bCs/>
          <w:iCs/>
          <w:spacing w:val="4"/>
          <w:lang w:bidi="pl-PL"/>
        </w:rPr>
        <w:t>uzgodnień prowadzonych między obiema spółkami poza postępowaniem administracyjnym</w:t>
      </w:r>
      <w:r w:rsidRPr="00CF0A97">
        <w:rPr>
          <w:rFonts w:ascii="Lato" w:eastAsia="Calibri" w:hAnsi="Lato" w:cs="Times New Roman"/>
          <w:bCs/>
          <w:iCs/>
          <w:spacing w:val="4"/>
          <w:lang w:bidi="pl-PL"/>
        </w:rPr>
        <w:t xml:space="preserve"> </w:t>
      </w:r>
      <w:r w:rsidR="00767B6A" w:rsidRPr="00767B6A">
        <w:rPr>
          <w:rFonts w:ascii="Lato" w:eastAsia="Calibri" w:hAnsi="Lato" w:cs="Times New Roman"/>
          <w:bCs/>
          <w:iCs/>
          <w:spacing w:val="4"/>
          <w:lang w:bidi="pl-PL"/>
        </w:rPr>
        <w:t>(co wynika z dokumentów przekładanych do akt sprawy)</w:t>
      </w:r>
      <w:r w:rsidR="00767B6A">
        <w:rPr>
          <w:rFonts w:ascii="Lato" w:eastAsia="Calibri" w:hAnsi="Lato" w:cs="Times New Roman"/>
          <w:bCs/>
          <w:iCs/>
          <w:spacing w:val="4"/>
          <w:lang w:bidi="pl-PL"/>
        </w:rPr>
        <w:t xml:space="preserve">, </w:t>
      </w:r>
      <w:r w:rsidRPr="00CF0A97">
        <w:rPr>
          <w:rFonts w:ascii="Lato" w:eastAsia="Calibri" w:hAnsi="Lato" w:cs="Times New Roman"/>
          <w:bCs/>
          <w:iCs/>
          <w:spacing w:val="4"/>
          <w:lang w:bidi="pl-PL"/>
        </w:rPr>
        <w:t>i</w:t>
      </w:r>
      <w:r w:rsidR="007904A6" w:rsidRPr="00CF0A97">
        <w:rPr>
          <w:rFonts w:ascii="Lato" w:eastAsia="Calibri" w:hAnsi="Lato" w:cs="Times New Roman"/>
          <w:bCs/>
          <w:iCs/>
          <w:spacing w:val="4"/>
          <w:lang w:bidi="pl-PL"/>
        </w:rPr>
        <w:t>nwestor</w:t>
      </w:r>
      <w:r w:rsidR="00767B6A">
        <w:rPr>
          <w:rFonts w:ascii="Lato" w:eastAsia="Calibri" w:hAnsi="Lato" w:cs="Times New Roman"/>
          <w:bCs/>
          <w:iCs/>
          <w:spacing w:val="4"/>
          <w:lang w:bidi="pl-PL"/>
        </w:rPr>
        <w:t xml:space="preserve"> </w:t>
      </w:r>
      <w:r w:rsidR="00E3291F">
        <w:rPr>
          <w:rFonts w:ascii="Lato" w:eastAsia="Calibri" w:hAnsi="Lato" w:cs="Times New Roman"/>
          <w:bCs/>
          <w:iCs/>
          <w:spacing w:val="4"/>
          <w:lang w:bidi="pl-PL"/>
        </w:rPr>
        <w:t>(</w:t>
      </w:r>
      <w:r w:rsidR="00767B6A" w:rsidRPr="00767B6A">
        <w:rPr>
          <w:rFonts w:ascii="Lato" w:eastAsia="Calibri" w:hAnsi="Lato" w:cs="Times New Roman"/>
          <w:bCs/>
          <w:iCs/>
          <w:spacing w:val="4"/>
          <w:lang w:bidi="pl-PL"/>
        </w:rPr>
        <w:t>PERN S.A.</w:t>
      </w:r>
      <w:r w:rsidR="00E3291F">
        <w:rPr>
          <w:rFonts w:ascii="Lato" w:eastAsia="Calibri" w:hAnsi="Lato" w:cs="Times New Roman"/>
          <w:bCs/>
          <w:iCs/>
          <w:spacing w:val="4"/>
          <w:lang w:bidi="pl-PL"/>
        </w:rPr>
        <w:t>)</w:t>
      </w:r>
      <w:r w:rsidR="00767B6A">
        <w:rPr>
          <w:rFonts w:ascii="Lato" w:eastAsia="Calibri" w:hAnsi="Lato" w:cs="Times New Roman"/>
          <w:bCs/>
          <w:iCs/>
          <w:spacing w:val="4"/>
          <w:lang w:bidi="pl-PL"/>
        </w:rPr>
        <w:t xml:space="preserve"> </w:t>
      </w:r>
      <w:r w:rsidR="007904A6" w:rsidRPr="00CF0A97">
        <w:rPr>
          <w:rFonts w:ascii="Lato" w:eastAsia="Calibri" w:hAnsi="Lato" w:cs="Times New Roman"/>
          <w:bCs/>
          <w:iCs/>
          <w:spacing w:val="4"/>
          <w:lang w:bidi="pl-PL"/>
        </w:rPr>
        <w:t xml:space="preserve">przychylił się </w:t>
      </w:r>
      <w:r w:rsidR="007904A6" w:rsidRPr="00CF0A97">
        <w:rPr>
          <w:rFonts w:ascii="Lato" w:eastAsia="@Arial Unicode MS" w:hAnsi="Lato" w:cs="Arial"/>
          <w:spacing w:val="4"/>
          <w:lang w:eastAsia="pl-PL"/>
        </w:rPr>
        <w:t xml:space="preserve">do odwołania </w:t>
      </w:r>
      <w:r w:rsidR="00FA714C">
        <w:rPr>
          <w:rFonts w:ascii="Lato" w:eastAsia="Times New Roman" w:hAnsi="Lato" w:cs="Arial"/>
          <w:bCs/>
          <w:iCs/>
          <w:color w:val="000000"/>
          <w:spacing w:val="4"/>
          <w:lang w:eastAsia="pl-PL" w:bidi="pl-PL"/>
        </w:rPr>
        <w:t>(…)</w:t>
      </w:r>
      <w:r w:rsidR="00FA714C">
        <w:rPr>
          <w:rFonts w:ascii="Lato" w:eastAsia="Times New Roman" w:hAnsi="Lato" w:cs="Arial"/>
          <w:bCs/>
          <w:iCs/>
          <w:color w:val="000000"/>
          <w:spacing w:val="4"/>
          <w:lang w:eastAsia="pl-PL" w:bidi="pl-PL"/>
        </w:rPr>
        <w:t xml:space="preserve"> </w:t>
      </w:r>
      <w:r w:rsidR="007904A6" w:rsidRPr="00CF0A97">
        <w:rPr>
          <w:rFonts w:ascii="Lato" w:eastAsia="@Arial Unicode MS" w:hAnsi="Lato" w:cs="Arial"/>
          <w:spacing w:val="4"/>
          <w:lang w:eastAsia="pl-PL"/>
        </w:rPr>
        <w:t>i wyra</w:t>
      </w:r>
      <w:r w:rsidR="005729FD" w:rsidRPr="00CF0A97">
        <w:rPr>
          <w:rFonts w:ascii="Lato" w:eastAsia="@Arial Unicode MS" w:hAnsi="Lato" w:cs="Arial"/>
          <w:spacing w:val="4"/>
          <w:lang w:eastAsia="pl-PL"/>
        </w:rPr>
        <w:t>ził</w:t>
      </w:r>
      <w:r w:rsidR="007904A6" w:rsidRPr="00CF0A97">
        <w:rPr>
          <w:rFonts w:ascii="Lato" w:eastAsia="@Arial Unicode MS" w:hAnsi="Lato" w:cs="Arial"/>
          <w:spacing w:val="4"/>
          <w:lang w:eastAsia="pl-PL"/>
        </w:rPr>
        <w:t xml:space="preserve"> zgodę na obciążenie oddanej w </w:t>
      </w:r>
      <w:r w:rsidR="00767B6A">
        <w:rPr>
          <w:rFonts w:ascii="Lato" w:eastAsia="@Arial Unicode MS" w:hAnsi="Lato" w:cs="Arial"/>
          <w:spacing w:val="4"/>
          <w:lang w:eastAsia="pl-PL"/>
        </w:rPr>
        <w:t xml:space="preserve">jego </w:t>
      </w:r>
      <w:r w:rsidR="007904A6" w:rsidRPr="00CF0A97">
        <w:rPr>
          <w:rFonts w:ascii="Lato" w:eastAsia="@Arial Unicode MS" w:hAnsi="Lato" w:cs="Arial"/>
          <w:spacing w:val="4"/>
          <w:lang w:eastAsia="pl-PL"/>
        </w:rPr>
        <w:t xml:space="preserve">użytkowanie wieczyste </w:t>
      </w:r>
      <w:r w:rsidR="005729FD" w:rsidRPr="00CF0A97">
        <w:rPr>
          <w:rFonts w:ascii="Lato" w:eastAsia="@Arial Unicode MS" w:hAnsi="Lato" w:cs="Arial"/>
          <w:spacing w:val="4"/>
          <w:lang w:eastAsia="pl-PL"/>
        </w:rPr>
        <w:t xml:space="preserve">działki nr 75/91 (powstałej z podziału działki </w:t>
      </w:r>
      <w:r w:rsidR="00767B6A">
        <w:rPr>
          <w:rFonts w:ascii="Lato" w:eastAsia="@Arial Unicode MS" w:hAnsi="Lato" w:cs="Arial"/>
          <w:spacing w:val="4"/>
          <w:lang w:eastAsia="pl-PL"/>
        </w:rPr>
        <w:br/>
      </w:r>
      <w:r w:rsidR="005729FD" w:rsidRPr="00CF0A97">
        <w:rPr>
          <w:rFonts w:ascii="Lato" w:eastAsia="@Arial Unicode MS" w:hAnsi="Lato" w:cs="Arial"/>
          <w:spacing w:val="4"/>
          <w:lang w:eastAsia="pl-PL"/>
        </w:rPr>
        <w:t>nr 75/90)</w:t>
      </w:r>
      <w:r w:rsidR="0086450C" w:rsidRPr="00CF0A97">
        <w:rPr>
          <w:rFonts w:ascii="Lato" w:eastAsia="@Arial Unicode MS" w:hAnsi="Lato" w:cs="Arial"/>
          <w:spacing w:val="4"/>
          <w:lang w:eastAsia="pl-PL"/>
        </w:rPr>
        <w:t xml:space="preserve">, </w:t>
      </w:r>
      <w:r w:rsidR="007904A6" w:rsidRPr="00CF0A97">
        <w:rPr>
          <w:rFonts w:ascii="Lato" w:eastAsia="@Arial Unicode MS" w:hAnsi="Lato" w:cs="Arial"/>
          <w:spacing w:val="4"/>
          <w:lang w:eastAsia="pl-PL"/>
        </w:rPr>
        <w:t xml:space="preserve">służebnością </w:t>
      </w:r>
      <w:r w:rsidR="0086450C" w:rsidRPr="00CF0A97">
        <w:rPr>
          <w:rFonts w:ascii="Lato" w:eastAsia="@Arial Unicode MS" w:hAnsi="Lato" w:cs="Arial"/>
          <w:spacing w:val="4"/>
          <w:lang w:eastAsia="pl-PL"/>
        </w:rPr>
        <w:t xml:space="preserve">na rzecz </w:t>
      </w:r>
      <w:r w:rsidR="00FA714C">
        <w:rPr>
          <w:rFonts w:ascii="Lato" w:eastAsia="Times New Roman" w:hAnsi="Lato" w:cs="Arial"/>
          <w:bCs/>
          <w:iCs/>
          <w:color w:val="000000"/>
          <w:spacing w:val="4"/>
          <w:lang w:eastAsia="pl-PL" w:bidi="pl-PL"/>
        </w:rPr>
        <w:t>(…)</w:t>
      </w:r>
      <w:r w:rsidR="0086450C" w:rsidRPr="00CF0A97">
        <w:rPr>
          <w:rFonts w:ascii="Lato" w:eastAsia="@Arial Unicode MS" w:hAnsi="Lato" w:cs="Arial"/>
          <w:spacing w:val="4"/>
          <w:lang w:eastAsia="pl-PL"/>
        </w:rPr>
        <w:t>, jak również wyraził zgodę zmniejszenie zakresu czasowego ograniczenia w korzystaniu z działki nr 75/92 (powstałej z podziału działki nr 75/90), o którym mowa w art. 30 ust. 3 specustawy naftowej</w:t>
      </w:r>
      <w:r w:rsidRPr="00CF0A97">
        <w:rPr>
          <w:rFonts w:ascii="Lato" w:eastAsia="@Arial Unicode MS" w:hAnsi="Lato" w:cs="Arial"/>
          <w:spacing w:val="4"/>
          <w:lang w:eastAsia="pl-PL"/>
        </w:rPr>
        <w:t xml:space="preserve">. </w:t>
      </w:r>
    </w:p>
    <w:p w14:paraId="2E2EF95F" w14:textId="25E052D7" w:rsidR="00731478" w:rsidRPr="00CF0A97" w:rsidRDefault="00CA30E2" w:rsidP="00E3291F">
      <w:pPr>
        <w:tabs>
          <w:tab w:val="left" w:pos="-1843"/>
          <w:tab w:val="left" w:pos="-993"/>
          <w:tab w:val="left" w:pos="4678"/>
          <w:tab w:val="left" w:pos="5387"/>
          <w:tab w:val="right" w:pos="5812"/>
        </w:tabs>
        <w:spacing w:after="120" w:line="240" w:lineRule="exact"/>
        <w:jc w:val="both"/>
        <w:outlineLvl w:val="0"/>
        <w:rPr>
          <w:rFonts w:ascii="Lato" w:eastAsia="Calibri" w:hAnsi="Lato" w:cs="Times New Roman"/>
          <w:bCs/>
          <w:iCs/>
          <w:spacing w:val="4"/>
          <w:lang w:bidi="pl-PL"/>
        </w:rPr>
      </w:pPr>
      <w:r w:rsidRPr="00CF0A97">
        <w:rPr>
          <w:rFonts w:ascii="Lato" w:eastAsia="Calibri" w:hAnsi="Lato" w:cs="Times New Roman"/>
          <w:bCs/>
          <w:iCs/>
          <w:spacing w:val="4"/>
          <w:lang w:bidi="pl-PL"/>
        </w:rPr>
        <w:t>Finalnie przy piśmie z dnia</w:t>
      </w:r>
      <w:r w:rsidR="003405EA" w:rsidRPr="00CF0A97">
        <w:rPr>
          <w:rFonts w:ascii="Lato" w:eastAsia="Calibri" w:hAnsi="Lato" w:cs="Times New Roman"/>
          <w:bCs/>
          <w:iCs/>
          <w:spacing w:val="4"/>
          <w:lang w:bidi="pl-PL"/>
        </w:rPr>
        <w:t xml:space="preserve"> 8 lipca 2026 r., znak: </w:t>
      </w:r>
      <w:r w:rsidR="00CF0A97" w:rsidRPr="00CF0A97">
        <w:rPr>
          <w:rFonts w:ascii="Lato" w:eastAsia="Calibri" w:hAnsi="Lato" w:cs="Times New Roman"/>
          <w:bCs/>
          <w:iCs/>
          <w:spacing w:val="4"/>
          <w:lang w:bidi="pl-PL"/>
        </w:rPr>
        <w:t>487/</w:t>
      </w:r>
      <w:proofErr w:type="spellStart"/>
      <w:r w:rsidR="00CF0A97" w:rsidRPr="00CF0A97">
        <w:rPr>
          <w:rFonts w:ascii="Lato" w:eastAsia="Calibri" w:hAnsi="Lato" w:cs="Times New Roman"/>
          <w:bCs/>
          <w:iCs/>
          <w:spacing w:val="4"/>
          <w:lang w:bidi="pl-PL"/>
        </w:rPr>
        <w:t>AKs</w:t>
      </w:r>
      <w:proofErr w:type="spellEnd"/>
      <w:r w:rsidR="00CF0A97" w:rsidRPr="00CF0A97">
        <w:rPr>
          <w:rFonts w:ascii="Lato" w:eastAsia="Calibri" w:hAnsi="Lato" w:cs="Times New Roman"/>
          <w:bCs/>
          <w:iCs/>
          <w:spacing w:val="4"/>
          <w:lang w:bidi="pl-PL"/>
        </w:rPr>
        <w:t xml:space="preserve">/26 </w:t>
      </w:r>
      <w:r w:rsidRPr="00CF0A97">
        <w:rPr>
          <w:rFonts w:ascii="Lato" w:eastAsia="Calibri" w:hAnsi="Lato" w:cs="Times New Roman"/>
          <w:bCs/>
          <w:iCs/>
          <w:spacing w:val="4"/>
          <w:lang w:bidi="pl-PL"/>
        </w:rPr>
        <w:t xml:space="preserve">- stanowiącym odpowiedź </w:t>
      </w:r>
      <w:r w:rsidR="003405EA" w:rsidRPr="00CF0A97">
        <w:rPr>
          <w:rFonts w:ascii="Lato" w:eastAsia="Calibri" w:hAnsi="Lato" w:cs="Times New Roman"/>
          <w:bCs/>
          <w:iCs/>
          <w:spacing w:val="4"/>
          <w:lang w:bidi="pl-PL"/>
        </w:rPr>
        <w:t xml:space="preserve">na wezwanie Ministra z dnia 19 czerwca 2026 r., znak: DLI-II.7620.2.2026.JK.6 </w:t>
      </w:r>
      <w:r w:rsidR="00CF0A97" w:rsidRPr="00CF0A97">
        <w:rPr>
          <w:rFonts w:ascii="Lato" w:eastAsia="Calibri" w:hAnsi="Lato" w:cs="Times New Roman"/>
          <w:bCs/>
          <w:iCs/>
          <w:spacing w:val="4"/>
          <w:lang w:bidi="pl-PL"/>
        </w:rPr>
        <w:t>–</w:t>
      </w:r>
      <w:r w:rsidR="003405EA" w:rsidRPr="00CF0A97">
        <w:rPr>
          <w:rFonts w:ascii="Lato" w:eastAsia="Calibri" w:hAnsi="Lato" w:cs="Times New Roman"/>
          <w:bCs/>
          <w:iCs/>
          <w:spacing w:val="4"/>
          <w:lang w:bidi="pl-PL"/>
        </w:rPr>
        <w:t xml:space="preserve"> </w:t>
      </w:r>
      <w:r w:rsidR="00CF0A97" w:rsidRPr="00CF0A97">
        <w:rPr>
          <w:rFonts w:ascii="Lato" w:eastAsia="Calibri" w:hAnsi="Lato" w:cs="Times New Roman"/>
          <w:bCs/>
          <w:iCs/>
          <w:spacing w:val="4"/>
          <w:lang w:bidi="pl-PL"/>
        </w:rPr>
        <w:t>inwestor:</w:t>
      </w:r>
    </w:p>
    <w:p w14:paraId="18C4F982" w14:textId="2530694B" w:rsidR="00F3002C" w:rsidRPr="00F3002C" w:rsidRDefault="00CF0A97" w:rsidP="00E3291F">
      <w:pPr>
        <w:numPr>
          <w:ilvl w:val="0"/>
          <w:numId w:val="21"/>
        </w:numPr>
        <w:tabs>
          <w:tab w:val="left" w:pos="0"/>
        </w:tabs>
        <w:spacing w:after="120" w:line="240" w:lineRule="exact"/>
        <w:jc w:val="both"/>
        <w:rPr>
          <w:rFonts w:ascii="Lato" w:eastAsia="Times New Roman" w:hAnsi="Lato" w:cs="Arial"/>
          <w:spacing w:val="4"/>
          <w:lang w:eastAsia="pl-PL"/>
        </w:rPr>
      </w:pPr>
      <w:r w:rsidRPr="00CF0A97">
        <w:rPr>
          <w:rFonts w:ascii="Lato" w:eastAsia="Times New Roman" w:hAnsi="Lato" w:cs="Arial"/>
          <w:spacing w:val="4"/>
          <w:lang w:eastAsia="pl-PL"/>
        </w:rPr>
        <w:t>przedstawi</w:t>
      </w:r>
      <w:r>
        <w:rPr>
          <w:rFonts w:ascii="Lato" w:eastAsia="Times New Roman" w:hAnsi="Lato" w:cs="Arial"/>
          <w:spacing w:val="4"/>
          <w:lang w:eastAsia="pl-PL"/>
        </w:rPr>
        <w:t>ł</w:t>
      </w:r>
      <w:r w:rsidRPr="00CF0A97">
        <w:rPr>
          <w:rFonts w:ascii="Lato" w:eastAsia="Times New Roman" w:hAnsi="Lato" w:cs="Arial"/>
          <w:spacing w:val="4"/>
          <w:lang w:eastAsia="pl-PL"/>
        </w:rPr>
        <w:t xml:space="preserve"> opis służebności </w:t>
      </w:r>
      <w:r w:rsidRPr="00CF0A97">
        <w:rPr>
          <w:rFonts w:ascii="Lato" w:eastAsia="Times New Roman" w:hAnsi="Lato" w:cs="Arial"/>
          <w:iCs/>
          <w:spacing w:val="4"/>
          <w:lang w:eastAsia="pl-PL" w:bidi="pl-PL"/>
        </w:rPr>
        <w:t xml:space="preserve">korzystania z </w:t>
      </w:r>
      <w:r w:rsidRPr="00CF0A97">
        <w:rPr>
          <w:rFonts w:ascii="Lato" w:eastAsia="Times New Roman" w:hAnsi="Lato" w:cs="Arial"/>
          <w:spacing w:val="4"/>
          <w:lang w:eastAsia="pl-PL"/>
        </w:rPr>
        <w:t xml:space="preserve">działki nr 75/91 (powstałej z podziału działki nr 75/90), jaka ma zostać ustanowiona na rzecz Rafinerii Gdańskiej w decyzji </w:t>
      </w:r>
      <w:r w:rsidRPr="00CF0A97">
        <w:rPr>
          <w:rFonts w:ascii="Lato" w:hAnsi="Lato" w:cs="Arial"/>
          <w:bCs/>
          <w:spacing w:val="4"/>
        </w:rPr>
        <w:t>o ustaleniu lokalizacji strategicznej inwestycji w sektorze naftowym</w:t>
      </w:r>
      <w:r w:rsidRPr="00CF0A97">
        <w:rPr>
          <w:rFonts w:ascii="Lato" w:eastAsia="Times New Roman" w:hAnsi="Lato" w:cs="Arial"/>
          <w:spacing w:val="4"/>
          <w:lang w:eastAsia="pl-PL"/>
        </w:rPr>
        <w:t>,</w:t>
      </w:r>
      <w:r>
        <w:rPr>
          <w:rFonts w:ascii="Lato" w:eastAsia="Times New Roman" w:hAnsi="Lato" w:cs="Arial"/>
          <w:spacing w:val="4"/>
          <w:lang w:eastAsia="pl-PL"/>
        </w:rPr>
        <w:t xml:space="preserve"> wskazując jednocześnie na konieczność uzupełnienia zapisu pkt II decyzji </w:t>
      </w:r>
      <w:r w:rsidR="00F3002C">
        <w:rPr>
          <w:rFonts w:ascii="Lato" w:eastAsia="Times New Roman" w:hAnsi="Lato" w:cs="Arial"/>
          <w:spacing w:val="4"/>
          <w:lang w:eastAsia="pl-PL"/>
        </w:rPr>
        <w:t>Wojewody</w:t>
      </w:r>
      <w:r>
        <w:rPr>
          <w:rFonts w:ascii="Lato" w:eastAsia="Times New Roman" w:hAnsi="Lato" w:cs="Arial"/>
          <w:spacing w:val="4"/>
          <w:lang w:eastAsia="pl-PL"/>
        </w:rPr>
        <w:t xml:space="preserve"> Pomorskiego </w:t>
      </w:r>
      <w:r w:rsidR="00F3002C">
        <w:rPr>
          <w:rFonts w:ascii="Lato" w:eastAsia="Times New Roman" w:hAnsi="Lato" w:cs="Arial"/>
          <w:spacing w:val="4"/>
          <w:lang w:eastAsia="pl-PL"/>
        </w:rPr>
        <w:t>pn.: „</w:t>
      </w:r>
      <w:r w:rsidR="00F3002C" w:rsidRPr="00F3002C">
        <w:rPr>
          <w:rFonts w:ascii="Lato" w:eastAsia="Times New Roman" w:hAnsi="Lato" w:cs="Arial"/>
          <w:spacing w:val="4"/>
          <w:lang w:eastAsia="pl-PL"/>
        </w:rPr>
        <w:t>Charakterystyka inwestycji. Warunki techniczne realizacji inwestycji.</w:t>
      </w:r>
      <w:r w:rsidR="00F3002C">
        <w:rPr>
          <w:rFonts w:ascii="Lato" w:eastAsia="Times New Roman" w:hAnsi="Lato" w:cs="Arial"/>
          <w:spacing w:val="4"/>
          <w:lang w:eastAsia="pl-PL"/>
        </w:rPr>
        <w:t>”,</w:t>
      </w:r>
    </w:p>
    <w:p w14:paraId="1037A67C" w14:textId="58DD7D66" w:rsidR="00CF0A97" w:rsidRPr="00CF0A97" w:rsidRDefault="00CF0A97" w:rsidP="00E3291F">
      <w:pPr>
        <w:numPr>
          <w:ilvl w:val="0"/>
          <w:numId w:val="21"/>
        </w:numPr>
        <w:tabs>
          <w:tab w:val="left" w:pos="0"/>
        </w:tabs>
        <w:spacing w:after="120" w:line="240" w:lineRule="exact"/>
        <w:jc w:val="both"/>
        <w:rPr>
          <w:rFonts w:ascii="Lato" w:eastAsia="Times New Roman" w:hAnsi="Lato" w:cs="Arial"/>
          <w:spacing w:val="4"/>
          <w:lang w:eastAsia="pl-PL"/>
        </w:rPr>
      </w:pPr>
      <w:r w:rsidRPr="00CF0A97">
        <w:rPr>
          <w:rFonts w:ascii="Lato" w:eastAsia="Times New Roman" w:hAnsi="Lato" w:cs="Arial"/>
          <w:spacing w:val="4"/>
          <w:lang w:eastAsia="pl-PL"/>
        </w:rPr>
        <w:t>przedło</w:t>
      </w:r>
      <w:r w:rsidR="00F3002C">
        <w:rPr>
          <w:rFonts w:ascii="Lato" w:eastAsia="Times New Roman" w:hAnsi="Lato" w:cs="Arial"/>
          <w:spacing w:val="4"/>
          <w:lang w:eastAsia="pl-PL"/>
        </w:rPr>
        <w:t>żył</w:t>
      </w:r>
      <w:r w:rsidR="00D760E0">
        <w:rPr>
          <w:rFonts w:ascii="Lato" w:eastAsia="Times New Roman" w:hAnsi="Lato" w:cs="Arial"/>
          <w:spacing w:val="4"/>
          <w:lang w:eastAsia="pl-PL"/>
        </w:rPr>
        <w:t xml:space="preserve"> </w:t>
      </w:r>
      <w:r w:rsidRPr="00CF0A97">
        <w:rPr>
          <w:rFonts w:ascii="Lato" w:eastAsia="Times New Roman" w:hAnsi="Lato" w:cs="Arial"/>
          <w:spacing w:val="4"/>
          <w:lang w:eastAsia="pl-PL"/>
        </w:rPr>
        <w:t>3</w:t>
      </w:r>
      <w:r w:rsidR="00D760E0">
        <w:rPr>
          <w:rFonts w:ascii="Lato" w:eastAsia="Times New Roman" w:hAnsi="Lato" w:cs="Arial"/>
          <w:spacing w:val="4"/>
          <w:lang w:eastAsia="pl-PL"/>
        </w:rPr>
        <w:t xml:space="preserve"> </w:t>
      </w:r>
      <w:r w:rsidRPr="00CF0A97">
        <w:rPr>
          <w:rFonts w:ascii="Lato" w:eastAsia="Times New Roman" w:hAnsi="Lato" w:cs="Arial"/>
          <w:spacing w:val="4"/>
          <w:lang w:eastAsia="pl-PL"/>
        </w:rPr>
        <w:t>egzemplarz</w:t>
      </w:r>
      <w:r w:rsidR="00F3002C">
        <w:rPr>
          <w:rFonts w:ascii="Lato" w:eastAsia="Times New Roman" w:hAnsi="Lato" w:cs="Arial"/>
          <w:spacing w:val="4"/>
          <w:lang w:eastAsia="pl-PL"/>
        </w:rPr>
        <w:t>e</w:t>
      </w:r>
      <w:r w:rsidRPr="00CF0A97">
        <w:rPr>
          <w:rFonts w:ascii="Lato" w:eastAsia="Times New Roman" w:hAnsi="Lato" w:cs="Arial"/>
          <w:spacing w:val="4"/>
          <w:lang w:eastAsia="pl-PL"/>
        </w:rPr>
        <w:t xml:space="preserve"> opracowania graficznego sporządzonego przez uprawnionego geodetę przedstawiającego w sposób graficzny zakres służebności </w:t>
      </w:r>
      <w:r w:rsidR="00E3291F">
        <w:rPr>
          <w:rFonts w:ascii="Lato" w:eastAsia="Times New Roman" w:hAnsi="Lato" w:cs="Arial"/>
          <w:spacing w:val="4"/>
          <w:lang w:eastAsia="pl-PL"/>
        </w:rPr>
        <w:br/>
      </w:r>
      <w:r w:rsidRPr="00CF0A97">
        <w:rPr>
          <w:rFonts w:ascii="Lato" w:eastAsia="Times New Roman" w:hAnsi="Lato" w:cs="Arial"/>
          <w:spacing w:val="4"/>
          <w:lang w:eastAsia="pl-PL"/>
        </w:rPr>
        <w:t>na ww. działce nr 75/91,</w:t>
      </w:r>
    </w:p>
    <w:p w14:paraId="41FAA50F" w14:textId="6E5AD0F2" w:rsidR="00CF0A97" w:rsidRDefault="00CF0A97" w:rsidP="00E3291F">
      <w:pPr>
        <w:numPr>
          <w:ilvl w:val="0"/>
          <w:numId w:val="21"/>
        </w:numPr>
        <w:tabs>
          <w:tab w:val="left" w:pos="0"/>
        </w:tabs>
        <w:spacing w:after="240" w:line="240" w:lineRule="exact"/>
        <w:ind w:left="357" w:hanging="357"/>
        <w:jc w:val="both"/>
        <w:rPr>
          <w:rFonts w:ascii="Lato" w:eastAsia="Times New Roman" w:hAnsi="Lato" w:cs="Arial"/>
          <w:spacing w:val="4"/>
          <w:lang w:eastAsia="pl-PL"/>
        </w:rPr>
      </w:pPr>
      <w:r w:rsidRPr="00CF0A97">
        <w:rPr>
          <w:rFonts w:ascii="Lato" w:eastAsia="Times New Roman" w:hAnsi="Lato" w:cs="Arial"/>
          <w:spacing w:val="4"/>
          <w:lang w:eastAsia="pl-PL"/>
        </w:rPr>
        <w:t>przedłoż</w:t>
      </w:r>
      <w:r w:rsidR="00554FC4">
        <w:rPr>
          <w:rFonts w:ascii="Lato" w:eastAsia="Times New Roman" w:hAnsi="Lato" w:cs="Arial"/>
          <w:spacing w:val="4"/>
          <w:lang w:eastAsia="pl-PL"/>
        </w:rPr>
        <w:t>ył</w:t>
      </w:r>
      <w:r w:rsidRPr="00CF0A97">
        <w:rPr>
          <w:rFonts w:ascii="Lato" w:eastAsia="Times New Roman" w:hAnsi="Lato" w:cs="Arial"/>
          <w:spacing w:val="4"/>
          <w:lang w:eastAsia="pl-PL"/>
        </w:rPr>
        <w:t xml:space="preserve"> 3 egzemplarz</w:t>
      </w:r>
      <w:r w:rsidR="00554FC4">
        <w:rPr>
          <w:rFonts w:ascii="Lato" w:eastAsia="Times New Roman" w:hAnsi="Lato" w:cs="Arial"/>
          <w:spacing w:val="4"/>
          <w:lang w:eastAsia="pl-PL"/>
        </w:rPr>
        <w:t>e</w:t>
      </w:r>
      <w:r w:rsidR="00F3002C">
        <w:rPr>
          <w:rFonts w:ascii="Lato" w:eastAsia="Times New Roman" w:hAnsi="Lato" w:cs="Arial"/>
          <w:spacing w:val="4"/>
          <w:lang w:eastAsia="pl-PL"/>
        </w:rPr>
        <w:t xml:space="preserve"> skorygowanego załącznika</w:t>
      </w:r>
      <w:r w:rsidR="00554FC4">
        <w:rPr>
          <w:rFonts w:ascii="Lato" w:eastAsia="Times New Roman" w:hAnsi="Lato" w:cs="Arial"/>
          <w:spacing w:val="4"/>
          <w:lang w:eastAsia="pl-PL"/>
        </w:rPr>
        <w:t xml:space="preserve"> nr 1 ark. 1 do decyzji Wojewody Pomorskiego (</w:t>
      </w:r>
      <w:r w:rsidRPr="00554FC4">
        <w:rPr>
          <w:rFonts w:ascii="Lato" w:eastAsia="Times New Roman" w:hAnsi="Lato" w:cs="Arial"/>
          <w:spacing w:val="4"/>
          <w:lang w:eastAsia="pl-PL"/>
        </w:rPr>
        <w:t>opracowani</w:t>
      </w:r>
      <w:r w:rsidR="00554FC4">
        <w:rPr>
          <w:rFonts w:ascii="Lato" w:eastAsia="Times New Roman" w:hAnsi="Lato" w:cs="Arial"/>
          <w:spacing w:val="4"/>
          <w:lang w:eastAsia="pl-PL"/>
        </w:rPr>
        <w:t>e</w:t>
      </w:r>
      <w:r w:rsidRPr="00554FC4">
        <w:rPr>
          <w:rFonts w:ascii="Lato" w:eastAsia="Times New Roman" w:hAnsi="Lato" w:cs="Arial"/>
          <w:spacing w:val="4"/>
          <w:lang w:eastAsia="pl-PL"/>
        </w:rPr>
        <w:t xml:space="preserve"> pn.: „Teren zamknięty – Rafineria w Gdańsku Plan Sytuacyjny skala 1:500”</w:t>
      </w:r>
      <w:r w:rsidR="00554FC4">
        <w:rPr>
          <w:rFonts w:ascii="Lato" w:eastAsia="Times New Roman" w:hAnsi="Lato" w:cs="Arial"/>
          <w:spacing w:val="4"/>
          <w:lang w:eastAsia="pl-PL"/>
        </w:rPr>
        <w:t xml:space="preserve">) </w:t>
      </w:r>
      <w:r w:rsidRPr="00554FC4">
        <w:rPr>
          <w:rFonts w:ascii="Lato" w:eastAsia="Times New Roman" w:hAnsi="Lato" w:cs="Arial"/>
          <w:spacing w:val="4"/>
          <w:lang w:eastAsia="pl-PL"/>
        </w:rPr>
        <w:t xml:space="preserve">uwzględniającego zmniejszenie zakresu ograniczenia </w:t>
      </w:r>
      <w:r w:rsidR="00656D8C">
        <w:rPr>
          <w:rFonts w:ascii="Lato" w:eastAsia="Times New Roman" w:hAnsi="Lato" w:cs="Arial"/>
          <w:spacing w:val="4"/>
          <w:lang w:eastAsia="pl-PL"/>
        </w:rPr>
        <w:br/>
      </w:r>
      <w:r w:rsidRPr="00554FC4">
        <w:rPr>
          <w:rFonts w:ascii="Lato" w:eastAsia="Times New Roman" w:hAnsi="Lato" w:cs="Arial"/>
          <w:spacing w:val="4"/>
          <w:lang w:eastAsia="pl-PL"/>
        </w:rPr>
        <w:t>w korzystaniu z</w:t>
      </w:r>
      <w:r w:rsidRPr="00554FC4">
        <w:rPr>
          <w:rFonts w:ascii="Lato" w:eastAsia="Times New Roman" w:hAnsi="Lato" w:cs="Arial"/>
          <w:iCs/>
          <w:spacing w:val="4"/>
          <w:lang w:eastAsia="pl-PL" w:bidi="pl-PL"/>
        </w:rPr>
        <w:t xml:space="preserve"> </w:t>
      </w:r>
      <w:r w:rsidRPr="00554FC4">
        <w:rPr>
          <w:rFonts w:ascii="Lato" w:eastAsia="Times New Roman" w:hAnsi="Lato" w:cs="Arial"/>
          <w:spacing w:val="4"/>
          <w:lang w:eastAsia="pl-PL"/>
        </w:rPr>
        <w:t>działki nr 75/92 (powstałej z podziału działki nr 75/90), o którym mowa w art. 30 ust. 3 specustawy naftowej</w:t>
      </w:r>
      <w:r w:rsidR="00E3291F">
        <w:rPr>
          <w:rFonts w:ascii="Lato" w:eastAsia="Times New Roman" w:hAnsi="Lato" w:cs="Arial"/>
          <w:spacing w:val="4"/>
          <w:lang w:eastAsia="pl-PL"/>
        </w:rPr>
        <w:t xml:space="preserve">, tj. zmniejszenie powierzchni pasa budowlano-montażowego na tej działce. </w:t>
      </w:r>
    </w:p>
    <w:p w14:paraId="5D7836A3" w14:textId="06F17531" w:rsidR="00A91BE1" w:rsidRPr="00E3291F" w:rsidRDefault="00554FC4" w:rsidP="00C3321C">
      <w:pPr>
        <w:tabs>
          <w:tab w:val="left" w:pos="0"/>
        </w:tabs>
        <w:spacing w:after="240" w:line="240" w:lineRule="exact"/>
        <w:jc w:val="both"/>
        <w:rPr>
          <w:rFonts w:ascii="Lato" w:eastAsia="Times New Roman" w:hAnsi="Lato" w:cs="Arial"/>
          <w:spacing w:val="4"/>
          <w:lang w:eastAsia="pl-PL"/>
        </w:rPr>
      </w:pPr>
      <w:r>
        <w:rPr>
          <w:rFonts w:ascii="Lato" w:eastAsia="Times New Roman" w:hAnsi="Lato" w:cs="Arial"/>
          <w:spacing w:val="4"/>
          <w:lang w:eastAsia="pl-PL"/>
        </w:rPr>
        <w:t>W piśmie z dnia 10 lipca 2026 r., znak: RG/2026/29/ZM/MS</w:t>
      </w:r>
      <w:r w:rsidR="00E3291F">
        <w:rPr>
          <w:rFonts w:ascii="Lato" w:eastAsia="Times New Roman" w:hAnsi="Lato" w:cs="Arial"/>
          <w:spacing w:val="4"/>
          <w:lang w:eastAsia="pl-PL"/>
        </w:rPr>
        <w:t xml:space="preserve"> (wpływ do Ministerstwa Rozwoju i Technologii w dniu 21 lipca 2026 r.), </w:t>
      </w:r>
      <w:r w:rsidR="00FA714C">
        <w:rPr>
          <w:rFonts w:ascii="Lato" w:eastAsia="Times New Roman" w:hAnsi="Lato" w:cs="Arial"/>
          <w:bCs/>
          <w:iCs/>
          <w:color w:val="000000"/>
          <w:spacing w:val="4"/>
          <w:lang w:eastAsia="pl-PL" w:bidi="pl-PL"/>
        </w:rPr>
        <w:t>(…)</w:t>
      </w:r>
      <w:r w:rsidR="00FA714C">
        <w:rPr>
          <w:rFonts w:ascii="Lato" w:eastAsia="Times New Roman" w:hAnsi="Lato" w:cs="Arial"/>
          <w:bCs/>
          <w:iCs/>
          <w:color w:val="000000"/>
          <w:spacing w:val="4"/>
          <w:lang w:eastAsia="pl-PL" w:bidi="pl-PL"/>
        </w:rPr>
        <w:t xml:space="preserve"> </w:t>
      </w:r>
      <w:r>
        <w:rPr>
          <w:rFonts w:ascii="Lato" w:eastAsia="Times New Roman" w:hAnsi="Lato" w:cs="Arial"/>
          <w:bCs/>
          <w:iCs/>
          <w:spacing w:val="4"/>
          <w:lang w:eastAsia="pl-PL" w:bidi="pl-PL"/>
        </w:rPr>
        <w:t>wskazał</w:t>
      </w:r>
      <w:r w:rsidR="00A91BE1">
        <w:rPr>
          <w:rFonts w:ascii="Lato" w:eastAsia="Times New Roman" w:hAnsi="Lato" w:cs="Arial"/>
          <w:bCs/>
          <w:iCs/>
          <w:spacing w:val="4"/>
          <w:lang w:eastAsia="pl-PL" w:bidi="pl-PL"/>
        </w:rPr>
        <w:t>a</w:t>
      </w:r>
      <w:r>
        <w:rPr>
          <w:rFonts w:ascii="Lato" w:eastAsia="Times New Roman" w:hAnsi="Lato" w:cs="Arial"/>
          <w:bCs/>
          <w:iCs/>
          <w:spacing w:val="4"/>
          <w:lang w:eastAsia="pl-PL" w:bidi="pl-PL"/>
        </w:rPr>
        <w:t xml:space="preserve">, </w:t>
      </w:r>
      <w:r w:rsidR="00E3291F">
        <w:rPr>
          <w:rFonts w:ascii="Lato" w:eastAsia="Times New Roman" w:hAnsi="Lato" w:cs="Arial"/>
          <w:bCs/>
          <w:iCs/>
          <w:spacing w:val="4"/>
          <w:lang w:eastAsia="pl-PL" w:bidi="pl-PL"/>
        </w:rPr>
        <w:br/>
      </w:r>
      <w:r>
        <w:rPr>
          <w:rFonts w:ascii="Lato" w:eastAsia="Times New Roman" w:hAnsi="Lato" w:cs="Arial"/>
          <w:bCs/>
          <w:iCs/>
          <w:spacing w:val="4"/>
          <w:lang w:eastAsia="pl-PL" w:bidi="pl-PL"/>
        </w:rPr>
        <w:lastRenderedPageBreak/>
        <w:t xml:space="preserve">że </w:t>
      </w:r>
      <w:r w:rsidRPr="00554FC4">
        <w:rPr>
          <w:rFonts w:ascii="Lato" w:eastAsia="Times New Roman" w:hAnsi="Lato" w:cs="Arial"/>
          <w:bCs/>
          <w:iCs/>
          <w:spacing w:val="4"/>
          <w:lang w:eastAsia="pl-PL" w:bidi="pl-PL"/>
        </w:rPr>
        <w:t xml:space="preserve">stanowisko </w:t>
      </w:r>
      <w:r>
        <w:rPr>
          <w:rFonts w:ascii="Lato" w:eastAsia="Times New Roman" w:hAnsi="Lato" w:cs="Arial"/>
          <w:bCs/>
          <w:iCs/>
          <w:spacing w:val="4"/>
          <w:lang w:eastAsia="pl-PL" w:bidi="pl-PL"/>
        </w:rPr>
        <w:t xml:space="preserve">inwestora </w:t>
      </w:r>
      <w:r w:rsidRPr="00554FC4">
        <w:rPr>
          <w:rFonts w:ascii="Lato" w:eastAsia="Times New Roman" w:hAnsi="Lato" w:cs="Arial"/>
          <w:bCs/>
          <w:iCs/>
          <w:spacing w:val="4"/>
          <w:lang w:eastAsia="pl-PL" w:bidi="pl-PL"/>
        </w:rPr>
        <w:t xml:space="preserve">przedstawione w </w:t>
      </w:r>
      <w:r>
        <w:rPr>
          <w:rFonts w:ascii="Lato" w:eastAsia="Times New Roman" w:hAnsi="Lato" w:cs="Arial"/>
          <w:bCs/>
          <w:iCs/>
          <w:spacing w:val="4"/>
          <w:lang w:eastAsia="pl-PL" w:bidi="pl-PL"/>
        </w:rPr>
        <w:t xml:space="preserve">ww. </w:t>
      </w:r>
      <w:r w:rsidRPr="00554FC4">
        <w:rPr>
          <w:rFonts w:ascii="Lato" w:eastAsia="Times New Roman" w:hAnsi="Lato" w:cs="Arial"/>
          <w:bCs/>
          <w:iCs/>
          <w:spacing w:val="4"/>
          <w:lang w:eastAsia="pl-PL" w:bidi="pl-PL"/>
        </w:rPr>
        <w:t>piśmie z dnia 8 lipca 2026 r., znak: 487/</w:t>
      </w:r>
      <w:proofErr w:type="spellStart"/>
      <w:r w:rsidRPr="00554FC4">
        <w:rPr>
          <w:rFonts w:ascii="Lato" w:eastAsia="Times New Roman" w:hAnsi="Lato" w:cs="Arial"/>
          <w:bCs/>
          <w:iCs/>
          <w:spacing w:val="4"/>
          <w:lang w:eastAsia="pl-PL" w:bidi="pl-PL"/>
        </w:rPr>
        <w:t>AKs</w:t>
      </w:r>
      <w:proofErr w:type="spellEnd"/>
      <w:r w:rsidRPr="00554FC4">
        <w:rPr>
          <w:rFonts w:ascii="Lato" w:eastAsia="Times New Roman" w:hAnsi="Lato" w:cs="Arial"/>
          <w:bCs/>
          <w:iCs/>
          <w:spacing w:val="4"/>
          <w:lang w:eastAsia="pl-PL" w:bidi="pl-PL"/>
        </w:rPr>
        <w:t>/26</w:t>
      </w:r>
      <w:r>
        <w:rPr>
          <w:rFonts w:ascii="Lato" w:eastAsia="Times New Roman" w:hAnsi="Lato" w:cs="Arial"/>
          <w:bCs/>
          <w:iCs/>
          <w:spacing w:val="4"/>
          <w:lang w:eastAsia="pl-PL" w:bidi="pl-PL"/>
        </w:rPr>
        <w:t>,</w:t>
      </w:r>
      <w:r w:rsidRPr="00554FC4">
        <w:rPr>
          <w:rFonts w:ascii="Lato" w:eastAsia="Times New Roman" w:hAnsi="Lato" w:cs="Arial"/>
          <w:bCs/>
          <w:iCs/>
          <w:spacing w:val="4"/>
          <w:lang w:eastAsia="pl-PL" w:bidi="pl-PL"/>
        </w:rPr>
        <w:t xml:space="preserve"> jest w zbieżne </w:t>
      </w:r>
      <w:r>
        <w:rPr>
          <w:rFonts w:ascii="Lato" w:eastAsia="Times New Roman" w:hAnsi="Lato" w:cs="Arial"/>
          <w:bCs/>
          <w:iCs/>
          <w:spacing w:val="4"/>
          <w:lang w:eastAsia="pl-PL" w:bidi="pl-PL"/>
        </w:rPr>
        <w:t xml:space="preserve">z jej </w:t>
      </w:r>
      <w:r w:rsidRPr="00554FC4">
        <w:rPr>
          <w:rFonts w:ascii="Lato" w:eastAsia="Times New Roman" w:hAnsi="Lato" w:cs="Arial"/>
          <w:bCs/>
          <w:iCs/>
          <w:spacing w:val="4"/>
          <w:lang w:eastAsia="pl-PL" w:bidi="pl-PL"/>
        </w:rPr>
        <w:t>oczekiwaniami</w:t>
      </w:r>
      <w:r>
        <w:rPr>
          <w:rFonts w:ascii="Lato" w:eastAsia="Times New Roman" w:hAnsi="Lato" w:cs="Arial"/>
          <w:bCs/>
          <w:iCs/>
          <w:spacing w:val="4"/>
          <w:lang w:eastAsia="pl-PL" w:bidi="pl-PL"/>
        </w:rPr>
        <w:t xml:space="preserve"> </w:t>
      </w:r>
      <w:r w:rsidRPr="00554FC4">
        <w:rPr>
          <w:rFonts w:ascii="Lato" w:eastAsia="Times New Roman" w:hAnsi="Lato" w:cs="Arial"/>
          <w:bCs/>
          <w:iCs/>
          <w:spacing w:val="4"/>
          <w:lang w:eastAsia="pl-PL" w:bidi="pl-PL"/>
        </w:rPr>
        <w:t>i nie zgłasza uwag do jego treści.</w:t>
      </w:r>
    </w:p>
    <w:p w14:paraId="27C4ECD9" w14:textId="1D14B96F" w:rsidR="00135594" w:rsidRDefault="007E4753" w:rsidP="00C3321C">
      <w:pPr>
        <w:tabs>
          <w:tab w:val="left" w:pos="0"/>
        </w:tabs>
        <w:spacing w:after="240" w:line="240" w:lineRule="exact"/>
        <w:jc w:val="both"/>
        <w:rPr>
          <w:rFonts w:ascii="Lato" w:hAnsi="Lato" w:cs="Arial"/>
          <w:bCs/>
          <w:iCs/>
          <w:spacing w:val="4"/>
        </w:rPr>
      </w:pPr>
      <w:r>
        <w:rPr>
          <w:rFonts w:ascii="Lato" w:eastAsia="Times New Roman" w:hAnsi="Lato" w:cs="Arial"/>
          <w:bCs/>
          <w:iCs/>
          <w:spacing w:val="4"/>
          <w:lang w:eastAsia="pl-PL" w:bidi="pl-PL"/>
        </w:rPr>
        <w:t xml:space="preserve">Jak już to zostało wyjaśnione w niniejszej decyzji, </w:t>
      </w:r>
      <w:r w:rsidR="007E4DF7" w:rsidRPr="007E4DF7">
        <w:rPr>
          <w:rFonts w:ascii="Lato" w:eastAsia="Calibri" w:hAnsi="Lato" w:cs="Times New Roman"/>
          <w:bCs/>
          <w:iCs/>
          <w:spacing w:val="4"/>
          <w:lang w:bidi="pl-PL"/>
        </w:rPr>
        <w:t xml:space="preserve">przepis art. 138 § 1 pkt 2 kpa umożliwia organowi odwoławczemu korektę zaskarżonej decyzji przez jej uchylenie w części </w:t>
      </w:r>
      <w:r w:rsidR="00D760E0">
        <w:rPr>
          <w:rFonts w:ascii="Lato" w:eastAsia="Calibri" w:hAnsi="Lato" w:cs="Times New Roman"/>
          <w:bCs/>
          <w:iCs/>
          <w:spacing w:val="4"/>
          <w:lang w:bidi="pl-PL"/>
        </w:rPr>
        <w:br/>
      </w:r>
      <w:r w:rsidR="007E4DF7" w:rsidRPr="007E4DF7">
        <w:rPr>
          <w:rFonts w:ascii="Lato" w:eastAsia="Calibri" w:hAnsi="Lato" w:cs="Times New Roman"/>
          <w:bCs/>
          <w:iCs/>
          <w:spacing w:val="4"/>
          <w:lang w:bidi="pl-PL"/>
        </w:rPr>
        <w:t>i orzeczenie w tym zakresie co do istoty sprawy.</w:t>
      </w:r>
      <w:r w:rsidR="007E4DF7">
        <w:rPr>
          <w:rFonts w:ascii="Lato" w:eastAsia="Calibri" w:hAnsi="Lato" w:cs="Times New Roman"/>
          <w:bCs/>
          <w:iCs/>
          <w:spacing w:val="4"/>
          <w:lang w:bidi="pl-PL"/>
        </w:rPr>
        <w:t xml:space="preserve"> </w:t>
      </w:r>
      <w:r w:rsidR="009D508F">
        <w:rPr>
          <w:rFonts w:ascii="Lato" w:hAnsi="Lato" w:cs="Arial"/>
          <w:bCs/>
          <w:iCs/>
          <w:spacing w:val="4"/>
        </w:rPr>
        <w:t xml:space="preserve">Minister </w:t>
      </w:r>
      <w:r w:rsidR="00595105">
        <w:rPr>
          <w:rFonts w:ascii="Lato" w:hAnsi="Lato" w:cs="Arial"/>
          <w:bCs/>
          <w:iCs/>
          <w:spacing w:val="4"/>
        </w:rPr>
        <w:t xml:space="preserve">dokonał odpowiednich korekt w decyzji Wojewody Pomorskiego związanych z </w:t>
      </w:r>
      <w:r w:rsidR="00175037" w:rsidRPr="00175037">
        <w:rPr>
          <w:rFonts w:ascii="Lato" w:hAnsi="Lato" w:cs="Arial"/>
          <w:bCs/>
          <w:iCs/>
          <w:spacing w:val="4"/>
          <w:lang w:bidi="pl-PL"/>
        </w:rPr>
        <w:t>ustal</w:t>
      </w:r>
      <w:r w:rsidR="00595105">
        <w:rPr>
          <w:rFonts w:ascii="Lato" w:hAnsi="Lato" w:cs="Arial"/>
          <w:bCs/>
          <w:iCs/>
          <w:spacing w:val="4"/>
          <w:lang w:bidi="pl-PL"/>
        </w:rPr>
        <w:t>eniem</w:t>
      </w:r>
      <w:r w:rsidR="007B6B3B">
        <w:rPr>
          <w:rFonts w:ascii="Lato" w:hAnsi="Lato" w:cs="Arial"/>
          <w:bCs/>
          <w:iCs/>
          <w:spacing w:val="4"/>
          <w:lang w:bidi="pl-PL"/>
        </w:rPr>
        <w:t xml:space="preserve"> </w:t>
      </w:r>
      <w:r w:rsidR="00175037" w:rsidRPr="00175037">
        <w:rPr>
          <w:rFonts w:ascii="Lato" w:hAnsi="Lato" w:cs="Arial"/>
          <w:bCs/>
          <w:iCs/>
          <w:spacing w:val="4"/>
          <w:lang w:bidi="pl-PL"/>
        </w:rPr>
        <w:t xml:space="preserve">na rzecz </w:t>
      </w:r>
      <w:r w:rsidR="00FA714C">
        <w:rPr>
          <w:rFonts w:ascii="Lato" w:eastAsia="Times New Roman" w:hAnsi="Lato" w:cs="Arial"/>
          <w:bCs/>
          <w:iCs/>
          <w:color w:val="000000"/>
          <w:spacing w:val="4"/>
          <w:lang w:eastAsia="pl-PL" w:bidi="pl-PL"/>
        </w:rPr>
        <w:t>(…)</w:t>
      </w:r>
      <w:r w:rsidR="00135594">
        <w:rPr>
          <w:rFonts w:ascii="Lato" w:hAnsi="Lato" w:cs="Arial"/>
          <w:bCs/>
          <w:iCs/>
          <w:spacing w:val="4"/>
          <w:lang w:bidi="pl-PL"/>
        </w:rPr>
        <w:t xml:space="preserve"> </w:t>
      </w:r>
      <w:r w:rsidR="00175037" w:rsidRPr="00175037">
        <w:rPr>
          <w:rFonts w:ascii="Lato" w:hAnsi="Lato" w:cs="Arial"/>
          <w:bCs/>
          <w:iCs/>
          <w:spacing w:val="4"/>
          <w:lang w:bidi="pl-PL"/>
        </w:rPr>
        <w:t>służebnoś</w:t>
      </w:r>
      <w:r w:rsidR="00A91BE1">
        <w:rPr>
          <w:rFonts w:ascii="Lato" w:hAnsi="Lato" w:cs="Arial"/>
          <w:bCs/>
          <w:iCs/>
          <w:spacing w:val="4"/>
          <w:lang w:bidi="pl-PL"/>
        </w:rPr>
        <w:t>ci</w:t>
      </w:r>
      <w:r w:rsidR="00175037" w:rsidRPr="00175037">
        <w:rPr>
          <w:rFonts w:ascii="Lato" w:hAnsi="Lato" w:cs="Arial"/>
          <w:bCs/>
          <w:iCs/>
          <w:spacing w:val="4"/>
          <w:lang w:bidi="pl-PL"/>
        </w:rPr>
        <w:t xml:space="preserve"> </w:t>
      </w:r>
      <w:r w:rsidR="007B6B3B" w:rsidRPr="007B6B3B">
        <w:rPr>
          <w:rFonts w:ascii="Lato" w:hAnsi="Lato" w:cs="Arial"/>
          <w:bCs/>
          <w:iCs/>
          <w:spacing w:val="4"/>
          <w:lang w:bidi="pl-PL"/>
        </w:rPr>
        <w:t>umożliwiają</w:t>
      </w:r>
      <w:r w:rsidR="00E038CD">
        <w:rPr>
          <w:rFonts w:ascii="Lato" w:hAnsi="Lato" w:cs="Arial"/>
          <w:bCs/>
          <w:iCs/>
          <w:spacing w:val="4"/>
          <w:lang w:bidi="pl-PL"/>
        </w:rPr>
        <w:t>c</w:t>
      </w:r>
      <w:r w:rsidR="00A91BE1">
        <w:rPr>
          <w:rFonts w:ascii="Lato" w:hAnsi="Lato" w:cs="Arial"/>
          <w:bCs/>
          <w:iCs/>
          <w:spacing w:val="4"/>
          <w:lang w:bidi="pl-PL"/>
        </w:rPr>
        <w:t>ej</w:t>
      </w:r>
      <w:r w:rsidR="007B6B3B" w:rsidRPr="007B6B3B">
        <w:rPr>
          <w:rFonts w:ascii="Lato" w:hAnsi="Lato" w:cs="Arial"/>
          <w:bCs/>
          <w:iCs/>
          <w:spacing w:val="4"/>
          <w:lang w:bidi="pl-PL"/>
        </w:rPr>
        <w:t xml:space="preserve"> </w:t>
      </w:r>
      <w:r w:rsidR="007B6B3B">
        <w:rPr>
          <w:rFonts w:ascii="Lato" w:hAnsi="Lato" w:cs="Arial"/>
          <w:bCs/>
          <w:iCs/>
          <w:spacing w:val="4"/>
          <w:lang w:bidi="pl-PL"/>
        </w:rPr>
        <w:t>korzystanie i eksploatację</w:t>
      </w:r>
      <w:r w:rsidR="00BB2410">
        <w:rPr>
          <w:rFonts w:ascii="Lato" w:hAnsi="Lato" w:cs="Arial"/>
          <w:bCs/>
          <w:iCs/>
          <w:spacing w:val="4"/>
          <w:lang w:bidi="pl-PL"/>
        </w:rPr>
        <w:t xml:space="preserve"> </w:t>
      </w:r>
      <w:r w:rsidR="00A91BE1">
        <w:rPr>
          <w:rFonts w:ascii="Lato" w:hAnsi="Lato" w:cs="Arial"/>
          <w:bCs/>
          <w:iCs/>
          <w:spacing w:val="4"/>
          <w:lang w:bidi="pl-PL"/>
        </w:rPr>
        <w:t xml:space="preserve">ze </w:t>
      </w:r>
      <w:r w:rsidR="007B6B3B">
        <w:rPr>
          <w:rFonts w:ascii="Lato" w:hAnsi="Lato" w:cs="Arial"/>
          <w:bCs/>
          <w:iCs/>
          <w:spacing w:val="4"/>
          <w:lang w:bidi="pl-PL"/>
        </w:rPr>
        <w:t>znajdując</w:t>
      </w:r>
      <w:r w:rsidR="00A91BE1">
        <w:rPr>
          <w:rFonts w:ascii="Lato" w:hAnsi="Lato" w:cs="Arial"/>
          <w:bCs/>
          <w:iCs/>
          <w:spacing w:val="4"/>
          <w:lang w:bidi="pl-PL"/>
        </w:rPr>
        <w:t>ych</w:t>
      </w:r>
      <w:r w:rsidR="007B6B3B">
        <w:rPr>
          <w:rFonts w:ascii="Lato" w:hAnsi="Lato" w:cs="Arial"/>
          <w:bCs/>
          <w:iCs/>
          <w:spacing w:val="4"/>
          <w:lang w:bidi="pl-PL"/>
        </w:rPr>
        <w:t xml:space="preserve"> się na </w:t>
      </w:r>
      <w:r w:rsidR="000469C1" w:rsidRPr="000469C1">
        <w:rPr>
          <w:rFonts w:ascii="Lato" w:hAnsi="Lato" w:cs="Arial"/>
          <w:bCs/>
          <w:iCs/>
          <w:spacing w:val="4"/>
          <w:lang w:bidi="pl-PL"/>
        </w:rPr>
        <w:t xml:space="preserve">działce </w:t>
      </w:r>
      <w:r w:rsidR="00E3291F">
        <w:rPr>
          <w:rFonts w:ascii="Lato" w:hAnsi="Lato" w:cs="Arial"/>
          <w:bCs/>
          <w:iCs/>
          <w:spacing w:val="4"/>
          <w:lang w:bidi="pl-PL"/>
        </w:rPr>
        <w:br/>
      </w:r>
      <w:r w:rsidR="000469C1" w:rsidRPr="000469C1">
        <w:rPr>
          <w:rFonts w:ascii="Lato" w:hAnsi="Lato" w:cs="Arial"/>
          <w:bCs/>
          <w:iCs/>
          <w:spacing w:val="4"/>
          <w:lang w:bidi="pl-PL"/>
        </w:rPr>
        <w:t xml:space="preserve">nr </w:t>
      </w:r>
      <w:r w:rsidR="00135594" w:rsidRPr="00135594">
        <w:rPr>
          <w:rFonts w:ascii="Lato" w:hAnsi="Lato" w:cs="Arial"/>
          <w:bCs/>
          <w:iCs/>
          <w:spacing w:val="4"/>
          <w:lang w:bidi="pl-PL"/>
        </w:rPr>
        <w:t>75/91</w:t>
      </w:r>
      <w:r w:rsidR="00A91BE1">
        <w:rPr>
          <w:rFonts w:ascii="Lato" w:hAnsi="Lato" w:cs="Arial"/>
          <w:bCs/>
          <w:iCs/>
          <w:spacing w:val="4"/>
          <w:lang w:bidi="pl-PL"/>
        </w:rPr>
        <w:t xml:space="preserve"> </w:t>
      </w:r>
      <w:r w:rsidR="00135594" w:rsidRPr="00135594">
        <w:rPr>
          <w:rFonts w:ascii="Lato" w:hAnsi="Lato" w:cs="Arial"/>
          <w:bCs/>
          <w:iCs/>
          <w:spacing w:val="4"/>
          <w:lang w:bidi="pl-PL"/>
        </w:rPr>
        <w:t>sie</w:t>
      </w:r>
      <w:r w:rsidR="00A91BE1">
        <w:rPr>
          <w:rFonts w:ascii="Lato" w:hAnsi="Lato" w:cs="Arial"/>
          <w:bCs/>
          <w:iCs/>
          <w:spacing w:val="4"/>
          <w:lang w:bidi="pl-PL"/>
        </w:rPr>
        <w:t>ci</w:t>
      </w:r>
      <w:r w:rsidR="00135594" w:rsidRPr="00135594">
        <w:rPr>
          <w:rFonts w:ascii="Lato" w:hAnsi="Lato" w:cs="Arial"/>
          <w:bCs/>
          <w:iCs/>
          <w:spacing w:val="4"/>
          <w:lang w:bidi="pl-PL"/>
        </w:rPr>
        <w:t xml:space="preserve"> elektroenergetyczn</w:t>
      </w:r>
      <w:r w:rsidR="00135594">
        <w:rPr>
          <w:rFonts w:ascii="Lato" w:hAnsi="Lato" w:cs="Arial"/>
          <w:bCs/>
          <w:iCs/>
          <w:spacing w:val="4"/>
          <w:lang w:bidi="pl-PL"/>
        </w:rPr>
        <w:t>ej</w:t>
      </w:r>
      <w:r w:rsidR="00135594" w:rsidRPr="00135594">
        <w:rPr>
          <w:rFonts w:ascii="Lato" w:hAnsi="Lato" w:cs="Arial"/>
          <w:bCs/>
          <w:iCs/>
          <w:spacing w:val="4"/>
          <w:lang w:bidi="pl-PL"/>
        </w:rPr>
        <w:t xml:space="preserve"> </w:t>
      </w:r>
      <w:r w:rsidR="00135594">
        <w:rPr>
          <w:rFonts w:ascii="Lato" w:hAnsi="Lato" w:cs="Arial"/>
          <w:bCs/>
          <w:iCs/>
          <w:spacing w:val="4"/>
          <w:lang w:bidi="pl-PL"/>
        </w:rPr>
        <w:t>i</w:t>
      </w:r>
      <w:r w:rsidR="00A91BE1">
        <w:rPr>
          <w:rFonts w:ascii="Lato" w:hAnsi="Lato" w:cs="Arial"/>
          <w:bCs/>
          <w:iCs/>
          <w:spacing w:val="4"/>
          <w:lang w:bidi="pl-PL"/>
        </w:rPr>
        <w:t xml:space="preserve"> </w:t>
      </w:r>
      <w:r w:rsidR="00135594" w:rsidRPr="00135594">
        <w:rPr>
          <w:rFonts w:ascii="Lato" w:hAnsi="Lato" w:cs="Arial"/>
          <w:bCs/>
          <w:iCs/>
          <w:spacing w:val="4"/>
          <w:lang w:bidi="pl-PL"/>
        </w:rPr>
        <w:t>teletechniczn</w:t>
      </w:r>
      <w:r w:rsidR="00135594">
        <w:rPr>
          <w:rFonts w:ascii="Lato" w:hAnsi="Lato" w:cs="Arial"/>
          <w:bCs/>
          <w:iCs/>
          <w:spacing w:val="4"/>
          <w:lang w:bidi="pl-PL"/>
        </w:rPr>
        <w:t>ej</w:t>
      </w:r>
      <w:r w:rsidR="007B6B3B">
        <w:rPr>
          <w:rFonts w:ascii="Lato" w:hAnsi="Lato" w:cs="Arial"/>
          <w:bCs/>
          <w:iCs/>
          <w:spacing w:val="4"/>
          <w:lang w:bidi="pl-PL"/>
        </w:rPr>
        <w:t xml:space="preserve">. </w:t>
      </w:r>
      <w:r w:rsidR="00E038CD">
        <w:rPr>
          <w:rFonts w:ascii="Lato" w:hAnsi="Lato" w:cs="Arial"/>
          <w:bCs/>
          <w:iCs/>
          <w:spacing w:val="4"/>
          <w:lang w:bidi="pl-PL"/>
        </w:rPr>
        <w:t>Konsekwencj</w:t>
      </w:r>
      <w:r w:rsidR="00AA5C24">
        <w:rPr>
          <w:rFonts w:ascii="Lato" w:hAnsi="Lato" w:cs="Arial"/>
          <w:bCs/>
          <w:iCs/>
          <w:spacing w:val="4"/>
          <w:lang w:bidi="pl-PL"/>
        </w:rPr>
        <w:t>ą</w:t>
      </w:r>
      <w:r w:rsidR="00E038CD">
        <w:rPr>
          <w:rFonts w:ascii="Lato" w:hAnsi="Lato" w:cs="Arial"/>
          <w:bCs/>
          <w:iCs/>
          <w:spacing w:val="4"/>
          <w:lang w:bidi="pl-PL"/>
        </w:rPr>
        <w:t xml:space="preserve"> tego było zatwierdzenie </w:t>
      </w:r>
      <w:r w:rsidR="00E038CD" w:rsidRPr="00E038CD">
        <w:rPr>
          <w:rFonts w:ascii="Lato" w:hAnsi="Lato" w:cs="Arial"/>
          <w:bCs/>
          <w:iCs/>
          <w:spacing w:val="4"/>
          <w:lang w:bidi="pl-PL"/>
        </w:rPr>
        <w:t xml:space="preserve">mapy przedstawiającej zakres służebności na działce nr </w:t>
      </w:r>
      <w:r w:rsidR="00135594" w:rsidRPr="00135594">
        <w:rPr>
          <w:rFonts w:ascii="Lato" w:hAnsi="Lato" w:cs="Arial"/>
          <w:bCs/>
          <w:iCs/>
          <w:spacing w:val="4"/>
          <w:lang w:bidi="pl-PL"/>
        </w:rPr>
        <w:t>75/91</w:t>
      </w:r>
      <w:r w:rsidR="00135594">
        <w:rPr>
          <w:rFonts w:ascii="Lato" w:hAnsi="Lato" w:cs="Arial"/>
          <w:bCs/>
          <w:iCs/>
          <w:spacing w:val="4"/>
          <w:lang w:bidi="pl-PL"/>
        </w:rPr>
        <w:t xml:space="preserve"> </w:t>
      </w:r>
      <w:r w:rsidR="00E038CD" w:rsidRPr="00A64EFD">
        <w:rPr>
          <w:rFonts w:ascii="Lato" w:hAnsi="Lato" w:cs="Arial"/>
          <w:bCs/>
          <w:iCs/>
          <w:spacing w:val="4"/>
          <w:lang w:bidi="pl-PL"/>
        </w:rPr>
        <w:t>ustanowion</w:t>
      </w:r>
      <w:r w:rsidR="00E038CD">
        <w:rPr>
          <w:rFonts w:ascii="Lato" w:hAnsi="Lato" w:cs="Arial"/>
          <w:bCs/>
          <w:iCs/>
          <w:spacing w:val="4"/>
          <w:lang w:bidi="pl-PL"/>
        </w:rPr>
        <w:t>ej</w:t>
      </w:r>
      <w:r w:rsidR="00E038CD" w:rsidRPr="00A64EFD">
        <w:rPr>
          <w:rFonts w:ascii="Lato" w:hAnsi="Lato" w:cs="Arial"/>
          <w:bCs/>
          <w:iCs/>
          <w:spacing w:val="4"/>
          <w:lang w:bidi="pl-PL"/>
        </w:rPr>
        <w:t xml:space="preserve"> na rzecz </w:t>
      </w:r>
      <w:r w:rsidR="00FA714C">
        <w:rPr>
          <w:rFonts w:ascii="Lato" w:eastAsia="Times New Roman" w:hAnsi="Lato" w:cs="Arial"/>
          <w:bCs/>
          <w:iCs/>
          <w:color w:val="000000"/>
          <w:spacing w:val="4"/>
          <w:lang w:eastAsia="pl-PL" w:bidi="pl-PL"/>
        </w:rPr>
        <w:t>(…)</w:t>
      </w:r>
      <w:r w:rsidR="00135594">
        <w:rPr>
          <w:rFonts w:ascii="Lato" w:hAnsi="Lato" w:cs="Arial"/>
          <w:bCs/>
          <w:iCs/>
          <w:spacing w:val="4"/>
          <w:lang w:bidi="pl-PL"/>
        </w:rPr>
        <w:t>. Ponadto Minister dokonał korekt</w:t>
      </w:r>
      <w:r w:rsidR="00595105">
        <w:rPr>
          <w:rFonts w:ascii="Lato" w:hAnsi="Lato" w:cs="Arial"/>
          <w:bCs/>
          <w:iCs/>
          <w:spacing w:val="4"/>
          <w:lang w:bidi="pl-PL"/>
        </w:rPr>
        <w:t>y</w:t>
      </w:r>
      <w:r w:rsidR="00135594">
        <w:rPr>
          <w:rFonts w:ascii="Lato" w:hAnsi="Lato" w:cs="Arial"/>
          <w:bCs/>
          <w:iCs/>
          <w:spacing w:val="4"/>
          <w:lang w:bidi="pl-PL"/>
        </w:rPr>
        <w:t xml:space="preserve"> załącznik</w:t>
      </w:r>
      <w:r w:rsidR="00595105">
        <w:rPr>
          <w:rFonts w:ascii="Lato" w:hAnsi="Lato" w:cs="Arial"/>
          <w:bCs/>
          <w:iCs/>
          <w:spacing w:val="4"/>
          <w:lang w:bidi="pl-PL"/>
        </w:rPr>
        <w:t>a</w:t>
      </w:r>
      <w:r w:rsidR="00135594">
        <w:rPr>
          <w:rFonts w:ascii="Lato" w:hAnsi="Lato" w:cs="Arial"/>
          <w:bCs/>
          <w:iCs/>
          <w:spacing w:val="4"/>
          <w:lang w:bidi="pl-PL"/>
        </w:rPr>
        <w:t xml:space="preserve"> nr 1 </w:t>
      </w:r>
      <w:r w:rsidR="00135594" w:rsidRPr="00135594">
        <w:rPr>
          <w:rFonts w:ascii="Lato" w:hAnsi="Lato" w:cs="Arial"/>
          <w:bCs/>
          <w:iCs/>
          <w:spacing w:val="4"/>
          <w:lang w:bidi="pl-PL"/>
        </w:rPr>
        <w:t>ark. 1 do zaskarżonej decyzji</w:t>
      </w:r>
      <w:r w:rsidR="00E3291F">
        <w:rPr>
          <w:rFonts w:ascii="Lato" w:hAnsi="Lato" w:cs="Arial"/>
          <w:bCs/>
          <w:iCs/>
          <w:spacing w:val="4"/>
          <w:lang w:bidi="pl-PL"/>
        </w:rPr>
        <w:t xml:space="preserve">, </w:t>
      </w:r>
      <w:r w:rsidR="00A91BE1" w:rsidRPr="00A91BE1">
        <w:rPr>
          <w:rFonts w:ascii="Lato" w:hAnsi="Lato" w:cs="Arial"/>
          <w:bCs/>
          <w:iCs/>
          <w:spacing w:val="4"/>
          <w:lang w:bidi="pl-PL"/>
        </w:rPr>
        <w:t>określające</w:t>
      </w:r>
      <w:r w:rsidR="00A91BE1">
        <w:rPr>
          <w:rFonts w:ascii="Lato" w:hAnsi="Lato" w:cs="Arial"/>
          <w:bCs/>
          <w:iCs/>
          <w:spacing w:val="4"/>
          <w:lang w:bidi="pl-PL"/>
        </w:rPr>
        <w:t>go</w:t>
      </w:r>
      <w:r w:rsidR="00A91BE1" w:rsidRPr="00A91BE1">
        <w:rPr>
          <w:rFonts w:ascii="Lato" w:hAnsi="Lato" w:cs="Arial"/>
          <w:bCs/>
          <w:iCs/>
          <w:spacing w:val="4"/>
          <w:lang w:bidi="pl-PL"/>
        </w:rPr>
        <w:t xml:space="preserve"> granice terenu objętego inwestycją,</w:t>
      </w:r>
      <w:r w:rsidR="00135594">
        <w:rPr>
          <w:rFonts w:ascii="Lato" w:hAnsi="Lato" w:cs="Arial"/>
          <w:bCs/>
          <w:iCs/>
          <w:spacing w:val="4"/>
          <w:lang w:bidi="pl-PL"/>
        </w:rPr>
        <w:t xml:space="preserve"> poprzez zatwierdzenie </w:t>
      </w:r>
      <w:r w:rsidR="00135594" w:rsidRPr="00135594">
        <w:rPr>
          <w:rFonts w:ascii="Lato" w:hAnsi="Lato" w:cs="Arial"/>
          <w:bCs/>
          <w:iCs/>
          <w:spacing w:val="4"/>
          <w:lang w:bidi="pl-PL"/>
        </w:rPr>
        <w:t>zamiennej mapy pn.: „Teren zamknięty – Rafineria w Gdańsku Plan Sytuacyjny skala 1:500”</w:t>
      </w:r>
      <w:r w:rsidR="00A91BE1">
        <w:rPr>
          <w:rFonts w:ascii="Lato" w:hAnsi="Lato" w:cs="Arial"/>
          <w:bCs/>
          <w:iCs/>
          <w:spacing w:val="4"/>
          <w:lang w:bidi="pl-PL"/>
        </w:rPr>
        <w:t xml:space="preserve"> </w:t>
      </w:r>
      <w:r w:rsidR="00135594">
        <w:rPr>
          <w:rFonts w:ascii="Lato" w:hAnsi="Lato" w:cs="Arial"/>
          <w:bCs/>
          <w:iCs/>
          <w:spacing w:val="4"/>
          <w:lang w:bidi="pl-PL"/>
        </w:rPr>
        <w:t xml:space="preserve">w zakresie zmniejszenia obszaru </w:t>
      </w:r>
      <w:r w:rsidR="00135594" w:rsidRPr="00135594">
        <w:rPr>
          <w:rFonts w:ascii="Lato" w:hAnsi="Lato" w:cs="Arial"/>
          <w:bCs/>
          <w:iCs/>
          <w:spacing w:val="4"/>
          <w:lang w:bidi="pl-PL"/>
        </w:rPr>
        <w:t>pas</w:t>
      </w:r>
      <w:r w:rsidR="00135594">
        <w:rPr>
          <w:rFonts w:ascii="Lato" w:hAnsi="Lato" w:cs="Arial"/>
          <w:bCs/>
          <w:iCs/>
          <w:spacing w:val="4"/>
          <w:lang w:bidi="pl-PL"/>
        </w:rPr>
        <w:t>a</w:t>
      </w:r>
      <w:r w:rsidR="00135594" w:rsidRPr="00135594">
        <w:rPr>
          <w:rFonts w:ascii="Lato" w:hAnsi="Lato" w:cs="Arial"/>
          <w:bCs/>
          <w:iCs/>
          <w:spacing w:val="4"/>
          <w:lang w:bidi="pl-PL"/>
        </w:rPr>
        <w:t xml:space="preserve"> budowlano-montażow</w:t>
      </w:r>
      <w:r w:rsidR="00135594">
        <w:rPr>
          <w:rFonts w:ascii="Lato" w:hAnsi="Lato" w:cs="Arial"/>
          <w:bCs/>
          <w:iCs/>
          <w:spacing w:val="4"/>
          <w:lang w:bidi="pl-PL"/>
        </w:rPr>
        <w:t xml:space="preserve">ego </w:t>
      </w:r>
      <w:r w:rsidR="00135594" w:rsidRPr="00135594">
        <w:rPr>
          <w:rFonts w:ascii="Lato" w:hAnsi="Lato" w:cs="Arial"/>
          <w:bCs/>
          <w:iCs/>
          <w:spacing w:val="4"/>
          <w:lang w:bidi="pl-PL"/>
        </w:rPr>
        <w:t>na działce nr 75/92</w:t>
      </w:r>
      <w:r w:rsidR="00A91BE1">
        <w:rPr>
          <w:rFonts w:ascii="Lato" w:hAnsi="Lato" w:cs="Arial"/>
          <w:bCs/>
          <w:iCs/>
          <w:spacing w:val="4"/>
          <w:lang w:bidi="pl-PL"/>
        </w:rPr>
        <w:t>,</w:t>
      </w:r>
      <w:r w:rsidR="00135594" w:rsidRPr="00135594">
        <w:rPr>
          <w:rFonts w:ascii="Lato" w:hAnsi="Lato" w:cs="Arial"/>
          <w:bCs/>
          <w:iCs/>
          <w:spacing w:val="4"/>
          <w:lang w:bidi="pl-PL"/>
        </w:rPr>
        <w:t xml:space="preserve"> </w:t>
      </w:r>
      <w:r w:rsidR="00135594">
        <w:rPr>
          <w:rFonts w:ascii="Lato" w:hAnsi="Lato" w:cs="Arial"/>
          <w:bCs/>
          <w:iCs/>
          <w:spacing w:val="4"/>
          <w:lang w:bidi="pl-PL"/>
        </w:rPr>
        <w:t xml:space="preserve">tj. zmniejszenia na tej działce obszaru </w:t>
      </w:r>
      <w:r w:rsidR="00135594" w:rsidRPr="00135594">
        <w:rPr>
          <w:rFonts w:ascii="Lato" w:hAnsi="Lato" w:cs="Arial"/>
          <w:bCs/>
          <w:iCs/>
          <w:spacing w:val="4"/>
          <w:lang w:bidi="pl-PL"/>
        </w:rPr>
        <w:t xml:space="preserve">w stosunku </w:t>
      </w:r>
      <w:r w:rsidR="00E3291F">
        <w:rPr>
          <w:rFonts w:ascii="Lato" w:hAnsi="Lato" w:cs="Arial"/>
          <w:bCs/>
          <w:iCs/>
          <w:spacing w:val="4"/>
          <w:lang w:bidi="pl-PL"/>
        </w:rPr>
        <w:br/>
      </w:r>
      <w:r w:rsidR="00135594" w:rsidRPr="00135594">
        <w:rPr>
          <w:rFonts w:ascii="Lato" w:hAnsi="Lato" w:cs="Arial"/>
          <w:bCs/>
          <w:iCs/>
          <w:spacing w:val="4"/>
          <w:lang w:bidi="pl-PL"/>
        </w:rPr>
        <w:t xml:space="preserve">do którego decyzja o ustaleniu lokalizacji strategicznej inwestycji w sektorze naftowym ma wywołać skutek, o którym mowa w art. 30 ust. 3 </w:t>
      </w:r>
      <w:r w:rsidR="00135594">
        <w:rPr>
          <w:rFonts w:ascii="Lato" w:hAnsi="Lato" w:cs="Arial"/>
          <w:bCs/>
          <w:iCs/>
          <w:spacing w:val="4"/>
          <w:lang w:bidi="pl-PL"/>
        </w:rPr>
        <w:t>spec</w:t>
      </w:r>
      <w:r w:rsidR="00135594" w:rsidRPr="00135594">
        <w:rPr>
          <w:rFonts w:ascii="Lato" w:hAnsi="Lato" w:cs="Arial"/>
          <w:bCs/>
          <w:iCs/>
          <w:spacing w:val="4"/>
          <w:lang w:bidi="pl-PL"/>
        </w:rPr>
        <w:t>ustawy</w:t>
      </w:r>
      <w:r w:rsidR="00135594">
        <w:rPr>
          <w:rFonts w:ascii="Lato" w:hAnsi="Lato" w:cs="Arial"/>
          <w:bCs/>
          <w:iCs/>
          <w:spacing w:val="4"/>
          <w:lang w:bidi="pl-PL"/>
        </w:rPr>
        <w:t xml:space="preserve"> naftowej</w:t>
      </w:r>
      <w:r w:rsidR="00A91BE1">
        <w:rPr>
          <w:rFonts w:ascii="Lato" w:hAnsi="Lato" w:cs="Arial"/>
          <w:bCs/>
          <w:iCs/>
          <w:spacing w:val="4"/>
          <w:lang w:bidi="pl-PL"/>
        </w:rPr>
        <w:t xml:space="preserve"> (ograniczenie </w:t>
      </w:r>
      <w:r w:rsidR="00A91BE1">
        <w:rPr>
          <w:rFonts w:ascii="Lato" w:hAnsi="Lato" w:cs="Arial"/>
          <w:bCs/>
          <w:iCs/>
          <w:spacing w:val="4"/>
          <w:lang w:bidi="pl-PL"/>
        </w:rPr>
        <w:br/>
        <w:t xml:space="preserve">w korzystaniu </w:t>
      </w:r>
      <w:r w:rsidR="00A91BE1" w:rsidRPr="00A91BE1">
        <w:rPr>
          <w:rFonts w:ascii="Lato" w:hAnsi="Lato" w:cs="Arial"/>
          <w:bCs/>
          <w:iCs/>
          <w:spacing w:val="4"/>
          <w:lang w:bidi="pl-PL"/>
        </w:rPr>
        <w:t>na czas określony</w:t>
      </w:r>
      <w:r w:rsidR="00A91BE1">
        <w:rPr>
          <w:rFonts w:ascii="Lato" w:hAnsi="Lato" w:cs="Arial"/>
          <w:bCs/>
          <w:iCs/>
          <w:spacing w:val="4"/>
          <w:lang w:bidi="pl-PL"/>
        </w:rPr>
        <w:t xml:space="preserve">). </w:t>
      </w:r>
    </w:p>
    <w:p w14:paraId="1950788D" w14:textId="6680AB83" w:rsidR="00595105" w:rsidRPr="00595105" w:rsidRDefault="00595105" w:rsidP="00C3321C">
      <w:pPr>
        <w:spacing w:after="240" w:line="240" w:lineRule="exact"/>
        <w:jc w:val="both"/>
        <w:outlineLvl w:val="0"/>
        <w:rPr>
          <w:rFonts w:ascii="Lato" w:eastAsia="Times New Roman" w:hAnsi="Lato" w:cs="Arial"/>
          <w:bCs/>
          <w:iCs/>
          <w:spacing w:val="4"/>
          <w:lang w:eastAsia="pl-PL"/>
        </w:rPr>
      </w:pPr>
      <w:r w:rsidRPr="00174CF1">
        <w:rPr>
          <w:rFonts w:ascii="Lato" w:eastAsia="Times New Roman" w:hAnsi="Lato" w:cs="Arial"/>
          <w:bCs/>
          <w:iCs/>
          <w:spacing w:val="4"/>
          <w:lang w:eastAsia="pl-PL"/>
        </w:rPr>
        <w:t xml:space="preserve">Organ odwoławczy dokonując </w:t>
      </w:r>
      <w:r>
        <w:rPr>
          <w:rFonts w:ascii="Lato" w:eastAsia="Times New Roman" w:hAnsi="Lato" w:cs="Arial"/>
          <w:bCs/>
          <w:iCs/>
          <w:spacing w:val="4"/>
          <w:lang w:eastAsia="pl-PL"/>
        </w:rPr>
        <w:t>powyższych zmian w decyzji Wojewody Pomorskiego, jak i wcześniej opisanej korekty dotyczącej pkt XII decyzji organu I instancji</w:t>
      </w:r>
      <w:r w:rsidRPr="00174CF1">
        <w:rPr>
          <w:rFonts w:ascii="Lato" w:eastAsia="Times New Roman" w:hAnsi="Lato" w:cs="Arial"/>
          <w:bCs/>
          <w:iCs/>
          <w:spacing w:val="4"/>
          <w:lang w:eastAsia="pl-PL"/>
        </w:rPr>
        <w:t xml:space="preserve">, uznał, że nie naruszają one zasady dwuinstancyjności postępowania, o której mowa w art. 15 kpa. </w:t>
      </w:r>
      <w:r w:rsidRPr="0028708C">
        <w:rPr>
          <w:rFonts w:ascii="Lato" w:eastAsia="Times New Roman" w:hAnsi="Lato" w:cs="Arial"/>
          <w:bCs/>
          <w:iCs/>
          <w:spacing w:val="4"/>
          <w:lang w:eastAsia="pl-PL" w:bidi="pl-PL"/>
        </w:rPr>
        <w:t xml:space="preserve">Model dwuinstancyjności postępowania administracyjnego wymaga, by rozpatrując odwołanie organ drugiej instancji ponownie rozpoznawał sprawę administracyjną. Organ ten nie tylko dokonuje kontroli wydanej wcześniej w pierwszej instancji decyzji, lecz </w:t>
      </w:r>
      <w:r>
        <w:rPr>
          <w:rFonts w:ascii="Lato" w:eastAsia="Times New Roman" w:hAnsi="Lato" w:cs="Arial"/>
          <w:bCs/>
          <w:iCs/>
          <w:spacing w:val="4"/>
          <w:lang w:eastAsia="pl-PL" w:bidi="pl-PL"/>
        </w:rPr>
        <w:br/>
      </w:r>
      <w:r w:rsidRPr="0028708C">
        <w:rPr>
          <w:rFonts w:ascii="Lato" w:eastAsia="Times New Roman" w:hAnsi="Lato" w:cs="Arial"/>
          <w:bCs/>
          <w:iCs/>
          <w:spacing w:val="4"/>
          <w:lang w:eastAsia="pl-PL" w:bidi="pl-PL"/>
        </w:rPr>
        <w:t xml:space="preserve">w pełni i na nowo ustala stan faktyczny oraz dokonuje jego subsumcji do obowiązujących norm prawnych. Oznacza to, że organ odwoławczy zobowiązany jest rozpoznać sprawę merytorycznie w jej całokształcie. Konieczność przeprowadzenia dowodu, uzupełnienia w dopełniającym zakresie postępowania lub uzupełnienia/korekty rozstrzygnięcia mieści się w kompetencjach organu odwoławczego do uzupełnienia postępowania wyjaśniającego w granicach art. 136 § 1 kpa. Przepisy kpa w istotnym stopniu preferują merytoryczne zakończenie sprawy na etapie odwoławczym, dążąc do tego, aby organ drugiej instancji rozstrzygnął sprawę co do istoty (zasada </w:t>
      </w:r>
      <w:proofErr w:type="spellStart"/>
      <w:r w:rsidRPr="0028708C">
        <w:rPr>
          <w:rFonts w:ascii="Lato" w:eastAsia="Times New Roman" w:hAnsi="Lato" w:cs="Arial"/>
          <w:bCs/>
          <w:iCs/>
          <w:spacing w:val="4"/>
          <w:lang w:eastAsia="pl-PL" w:bidi="pl-PL"/>
        </w:rPr>
        <w:t>reformatoryjności</w:t>
      </w:r>
      <w:proofErr w:type="spellEnd"/>
      <w:r w:rsidRPr="0028708C">
        <w:rPr>
          <w:rFonts w:ascii="Lato" w:eastAsia="Times New Roman" w:hAnsi="Lato" w:cs="Arial"/>
          <w:bCs/>
          <w:iCs/>
          <w:spacing w:val="4"/>
          <w:lang w:eastAsia="pl-PL" w:bidi="pl-PL"/>
        </w:rPr>
        <w:t xml:space="preserve">) (por. wyroki Naczelnego Sądu Administracyjnego z dnia 14 stycznia 2025 r., sygn. akt II OSK 2665/24, z dnia 16 września 2025 r., sygn. akt III OSK 2282/22, z dnia 5 marca 2024 r., sygn. akt II OSK 1896/23, z dnia 14 maja 2021 r., sygn. akt II OSK 383/21, z dnia 5 lutego 2020 r., sygn. akt II OSK 3586/19, z dnia 12 lipca 2013 r., sygn. akt II OSK 1231/13, </w:t>
      </w:r>
      <w:r w:rsidR="00B12196">
        <w:rPr>
          <w:rFonts w:ascii="Lato" w:eastAsia="Times New Roman" w:hAnsi="Lato" w:cs="Arial"/>
          <w:bCs/>
          <w:iCs/>
          <w:spacing w:val="4"/>
          <w:lang w:eastAsia="pl-PL" w:bidi="pl-PL"/>
        </w:rPr>
        <w:br/>
      </w:r>
      <w:r w:rsidRPr="0028708C">
        <w:rPr>
          <w:rFonts w:ascii="Lato" w:eastAsia="Times New Roman" w:hAnsi="Lato" w:cs="Arial"/>
          <w:bCs/>
          <w:iCs/>
          <w:spacing w:val="4"/>
          <w:lang w:eastAsia="pl-PL" w:bidi="pl-PL"/>
        </w:rPr>
        <w:t>z dnia 8 listopada 2023 r., sygn. akt II OSK 1371/23, wyroki Wojewódzkiego Sądu Administracyjnego w Warszawie z dnia 26 marca 2024 r., sygn. akt VII SA/</w:t>
      </w:r>
      <w:proofErr w:type="spellStart"/>
      <w:r w:rsidRPr="0028708C">
        <w:rPr>
          <w:rFonts w:ascii="Lato" w:eastAsia="Times New Roman" w:hAnsi="Lato" w:cs="Arial"/>
          <w:bCs/>
          <w:iCs/>
          <w:spacing w:val="4"/>
          <w:lang w:eastAsia="pl-PL" w:bidi="pl-PL"/>
        </w:rPr>
        <w:t>Wa</w:t>
      </w:r>
      <w:proofErr w:type="spellEnd"/>
      <w:r w:rsidRPr="0028708C">
        <w:rPr>
          <w:rFonts w:ascii="Lato" w:eastAsia="Times New Roman" w:hAnsi="Lato" w:cs="Arial"/>
          <w:bCs/>
          <w:iCs/>
          <w:spacing w:val="4"/>
          <w:lang w:eastAsia="pl-PL" w:bidi="pl-PL"/>
        </w:rPr>
        <w:t xml:space="preserve"> 27/23, </w:t>
      </w:r>
      <w:r w:rsidR="00B12196">
        <w:rPr>
          <w:rFonts w:ascii="Lato" w:eastAsia="Times New Roman" w:hAnsi="Lato" w:cs="Arial"/>
          <w:bCs/>
          <w:iCs/>
          <w:spacing w:val="4"/>
          <w:lang w:eastAsia="pl-PL" w:bidi="pl-PL"/>
        </w:rPr>
        <w:br/>
      </w:r>
      <w:r w:rsidRPr="0028708C">
        <w:rPr>
          <w:rFonts w:ascii="Lato" w:eastAsia="Times New Roman" w:hAnsi="Lato" w:cs="Arial"/>
          <w:bCs/>
          <w:iCs/>
          <w:spacing w:val="4"/>
          <w:lang w:eastAsia="pl-PL" w:bidi="pl-PL"/>
        </w:rPr>
        <w:t>z dnia 9 maja 2023 r., sygn. akt VII SA/</w:t>
      </w:r>
      <w:proofErr w:type="spellStart"/>
      <w:r w:rsidRPr="0028708C">
        <w:rPr>
          <w:rFonts w:ascii="Lato" w:eastAsia="Times New Roman" w:hAnsi="Lato" w:cs="Arial"/>
          <w:bCs/>
          <w:iCs/>
          <w:spacing w:val="4"/>
          <w:lang w:eastAsia="pl-PL" w:bidi="pl-PL"/>
        </w:rPr>
        <w:t>Wa</w:t>
      </w:r>
      <w:proofErr w:type="spellEnd"/>
      <w:r w:rsidRPr="0028708C">
        <w:rPr>
          <w:rFonts w:ascii="Lato" w:eastAsia="Times New Roman" w:hAnsi="Lato" w:cs="Arial"/>
          <w:bCs/>
          <w:iCs/>
          <w:spacing w:val="4"/>
          <w:lang w:eastAsia="pl-PL" w:bidi="pl-PL"/>
        </w:rPr>
        <w:t xml:space="preserve"> 2679/22, z dnia 5 kwietnia 2019 r., sygn. akt VII SA/</w:t>
      </w:r>
      <w:proofErr w:type="spellStart"/>
      <w:r w:rsidRPr="0028708C">
        <w:rPr>
          <w:rFonts w:ascii="Lato" w:eastAsia="Times New Roman" w:hAnsi="Lato" w:cs="Arial"/>
          <w:bCs/>
          <w:iCs/>
          <w:spacing w:val="4"/>
          <w:lang w:eastAsia="pl-PL" w:bidi="pl-PL"/>
        </w:rPr>
        <w:t>Wa</w:t>
      </w:r>
      <w:proofErr w:type="spellEnd"/>
      <w:r w:rsidRPr="0028708C">
        <w:rPr>
          <w:rFonts w:ascii="Lato" w:eastAsia="Times New Roman" w:hAnsi="Lato" w:cs="Arial"/>
          <w:bCs/>
          <w:iCs/>
          <w:spacing w:val="4"/>
          <w:lang w:eastAsia="pl-PL" w:bidi="pl-PL"/>
        </w:rPr>
        <w:t xml:space="preserve"> 301/19, z dnia 25 kwietnia 2017 r., sygn. akt VII SA/</w:t>
      </w:r>
      <w:proofErr w:type="spellStart"/>
      <w:r w:rsidRPr="0028708C">
        <w:rPr>
          <w:rFonts w:ascii="Lato" w:eastAsia="Times New Roman" w:hAnsi="Lato" w:cs="Arial"/>
          <w:bCs/>
          <w:iCs/>
          <w:spacing w:val="4"/>
          <w:lang w:eastAsia="pl-PL" w:bidi="pl-PL"/>
        </w:rPr>
        <w:t>Wa</w:t>
      </w:r>
      <w:proofErr w:type="spellEnd"/>
      <w:r w:rsidRPr="0028708C">
        <w:rPr>
          <w:rFonts w:ascii="Lato" w:eastAsia="Times New Roman" w:hAnsi="Lato" w:cs="Arial"/>
          <w:bCs/>
          <w:iCs/>
          <w:spacing w:val="4"/>
          <w:lang w:eastAsia="pl-PL" w:bidi="pl-PL"/>
        </w:rPr>
        <w:t xml:space="preserve"> 39/17, z dnia 5 lipca 2016 r., sygn. akt VII SA/</w:t>
      </w:r>
      <w:proofErr w:type="spellStart"/>
      <w:r w:rsidRPr="0028708C">
        <w:rPr>
          <w:rFonts w:ascii="Lato" w:eastAsia="Times New Roman" w:hAnsi="Lato" w:cs="Arial"/>
          <w:bCs/>
          <w:iCs/>
          <w:spacing w:val="4"/>
          <w:lang w:eastAsia="pl-PL" w:bidi="pl-PL"/>
        </w:rPr>
        <w:t>Wa</w:t>
      </w:r>
      <w:proofErr w:type="spellEnd"/>
      <w:r w:rsidRPr="0028708C">
        <w:rPr>
          <w:rFonts w:ascii="Lato" w:eastAsia="Times New Roman" w:hAnsi="Lato" w:cs="Arial"/>
          <w:bCs/>
          <w:iCs/>
          <w:spacing w:val="4"/>
          <w:lang w:eastAsia="pl-PL" w:bidi="pl-PL"/>
        </w:rPr>
        <w:t xml:space="preserve"> 916/16, </w:t>
      </w:r>
      <w:proofErr w:type="spellStart"/>
      <w:r w:rsidRPr="0028708C">
        <w:rPr>
          <w:rFonts w:ascii="Lato" w:eastAsia="Times New Roman" w:hAnsi="Lato" w:cs="Arial"/>
          <w:bCs/>
          <w:iCs/>
          <w:spacing w:val="4"/>
          <w:lang w:eastAsia="pl-PL" w:bidi="pl-PL"/>
        </w:rPr>
        <w:t>opubl</w:t>
      </w:r>
      <w:proofErr w:type="spellEnd"/>
      <w:r w:rsidRPr="0028708C">
        <w:rPr>
          <w:rFonts w:ascii="Lato" w:eastAsia="Times New Roman" w:hAnsi="Lato" w:cs="Arial"/>
          <w:bCs/>
          <w:iCs/>
          <w:spacing w:val="4"/>
          <w:lang w:eastAsia="pl-PL" w:bidi="pl-PL"/>
        </w:rPr>
        <w:t xml:space="preserve">. Centralna Baza Orzeczeń Sądów Administracyjnych). </w:t>
      </w:r>
    </w:p>
    <w:p w14:paraId="346FD098" w14:textId="77777777" w:rsidR="00BA20F7" w:rsidRDefault="00C1630E" w:rsidP="00BA20F7">
      <w:pPr>
        <w:spacing w:after="240" w:line="240" w:lineRule="exact"/>
        <w:jc w:val="both"/>
        <w:outlineLvl w:val="0"/>
        <w:rPr>
          <w:rFonts w:ascii="Lato" w:eastAsia="Calibri" w:hAnsi="Lato" w:cs="Times New Roman"/>
          <w:bCs/>
          <w:spacing w:val="4"/>
        </w:rPr>
      </w:pPr>
      <w:r w:rsidRPr="00911D8F">
        <w:rPr>
          <w:rFonts w:ascii="Lato" w:eastAsia="Calibri" w:hAnsi="Lato" w:cs="Times New Roman"/>
          <w:bCs/>
          <w:spacing w:val="4"/>
        </w:rPr>
        <w:t xml:space="preserve">Niniejsza decyzja jest ostateczna. </w:t>
      </w:r>
    </w:p>
    <w:p w14:paraId="5055613C" w14:textId="2BF8C4B1" w:rsidR="00C1630E" w:rsidRPr="00911D8F" w:rsidRDefault="00C1630E" w:rsidP="00BA20F7">
      <w:pPr>
        <w:spacing w:after="240" w:line="240" w:lineRule="exact"/>
        <w:jc w:val="both"/>
        <w:outlineLvl w:val="0"/>
        <w:rPr>
          <w:rFonts w:ascii="Lato" w:eastAsia="Calibri" w:hAnsi="Lato" w:cs="Times New Roman"/>
          <w:bCs/>
          <w:spacing w:val="4"/>
          <w:lang w:bidi="pl-PL"/>
        </w:rPr>
      </w:pPr>
      <w:r w:rsidRPr="00911D8F">
        <w:rPr>
          <w:rFonts w:ascii="Lato" w:eastAsia="Calibri" w:hAnsi="Lato" w:cs="Times New Roman"/>
          <w:bCs/>
          <w:spacing w:val="4"/>
        </w:rPr>
        <w:t xml:space="preserve">Na decyzję, na podstawie art. 53 § 1 i art. 54 § 1 ustawy z dnia 30 sierpnia 2002 r. </w:t>
      </w:r>
      <w:r w:rsidRPr="00911D8F">
        <w:rPr>
          <w:rFonts w:ascii="Lato" w:eastAsia="Calibri" w:hAnsi="Lato" w:cs="Times New Roman"/>
          <w:bCs/>
          <w:spacing w:val="4"/>
        </w:rPr>
        <w:br/>
        <w:t>– Prawo o postępowaniu przed sądami administracyjnymi (</w:t>
      </w:r>
      <w:r w:rsidRPr="00911D8F">
        <w:rPr>
          <w:rFonts w:ascii="Lato" w:eastAsia="Calibri" w:hAnsi="Lato" w:cs="Times New Roman"/>
          <w:bCs/>
          <w:spacing w:val="4"/>
          <w:lang w:bidi="pl-PL"/>
        </w:rPr>
        <w:t xml:space="preserve">t.j. </w:t>
      </w:r>
      <w:r w:rsidR="00595105" w:rsidRPr="00595105">
        <w:rPr>
          <w:rFonts w:ascii="Lato" w:eastAsia="Calibri" w:hAnsi="Lato" w:cs="Times New Roman"/>
          <w:bCs/>
          <w:spacing w:val="4"/>
          <w:lang w:bidi="pl-PL"/>
        </w:rPr>
        <w:t xml:space="preserve">Dz.U. z 2026 r. poz. 143, </w:t>
      </w:r>
      <w:r w:rsidR="00595105" w:rsidRPr="00595105">
        <w:rPr>
          <w:rFonts w:ascii="Lato" w:eastAsia="Calibri" w:hAnsi="Lato" w:cs="Times New Roman"/>
          <w:bCs/>
          <w:spacing w:val="4"/>
          <w:lang w:bidi="pl-PL"/>
        </w:rPr>
        <w:br/>
        <w:t>z późn.zm.</w:t>
      </w:r>
      <w:r w:rsidRPr="00911D8F">
        <w:rPr>
          <w:rFonts w:ascii="Lato" w:eastAsia="Calibri" w:hAnsi="Lato" w:cs="Times New Roman"/>
          <w:bCs/>
          <w:spacing w:val="4"/>
          <w:lang w:bidi="pl-PL"/>
        </w:rPr>
        <w:t xml:space="preserve">), </w:t>
      </w:r>
      <w:r w:rsidRPr="00911D8F">
        <w:rPr>
          <w:rFonts w:ascii="Lato" w:eastAsia="Calibri" w:hAnsi="Lato" w:cs="Times New Roman"/>
          <w:bCs/>
          <w:spacing w:val="4"/>
        </w:rPr>
        <w:t>zwanej dalej „</w:t>
      </w:r>
      <w:proofErr w:type="spellStart"/>
      <w:r w:rsidRPr="00911D8F">
        <w:rPr>
          <w:rFonts w:ascii="Lato" w:eastAsia="Calibri" w:hAnsi="Lato" w:cs="Times New Roman"/>
          <w:bCs/>
          <w:spacing w:val="4"/>
        </w:rPr>
        <w:t>ppsa</w:t>
      </w:r>
      <w:proofErr w:type="spellEnd"/>
      <w:r w:rsidRPr="00911D8F">
        <w:rPr>
          <w:rFonts w:ascii="Lato" w:eastAsia="Calibri" w:hAnsi="Lato" w:cs="Times New Roman"/>
          <w:bCs/>
          <w:spacing w:val="4"/>
        </w:rPr>
        <w:t xml:space="preserve">”, przysługuje skarga do Wojewódzkiego Sądu Administracyjnego w Warszawie, wnoszona za pośrednictwem Ministra Finansów </w:t>
      </w:r>
      <w:r w:rsidR="00431E38">
        <w:rPr>
          <w:rFonts w:ascii="Lato" w:eastAsia="Calibri" w:hAnsi="Lato" w:cs="Times New Roman"/>
          <w:bCs/>
          <w:spacing w:val="4"/>
        </w:rPr>
        <w:br/>
      </w:r>
      <w:r w:rsidRPr="00911D8F">
        <w:rPr>
          <w:rFonts w:ascii="Lato" w:eastAsia="Calibri" w:hAnsi="Lato" w:cs="Times New Roman"/>
          <w:bCs/>
          <w:spacing w:val="4"/>
        </w:rPr>
        <w:t>i Gospodarki, w terminie 30 dni od dnia doręczenia decyzji.</w:t>
      </w:r>
    </w:p>
    <w:p w14:paraId="76801190" w14:textId="41FE9DC5" w:rsidR="00C1630E" w:rsidRPr="00911D8F" w:rsidRDefault="00C1630E" w:rsidP="00665EBB">
      <w:pPr>
        <w:tabs>
          <w:tab w:val="left" w:pos="-1843"/>
          <w:tab w:val="left" w:pos="-993"/>
          <w:tab w:val="left" w:pos="4678"/>
          <w:tab w:val="left" w:pos="5387"/>
          <w:tab w:val="right" w:pos="5812"/>
        </w:tabs>
        <w:spacing w:after="120" w:line="240" w:lineRule="exact"/>
        <w:jc w:val="both"/>
        <w:outlineLvl w:val="0"/>
        <w:rPr>
          <w:rFonts w:ascii="Lato" w:eastAsia="Calibri" w:hAnsi="Lato" w:cs="Times New Roman"/>
          <w:bCs/>
          <w:spacing w:val="4"/>
        </w:rPr>
      </w:pPr>
      <w:r w:rsidRPr="00911D8F">
        <w:rPr>
          <w:rFonts w:ascii="Lato" w:eastAsia="Calibri" w:hAnsi="Lato" w:cs="Times New Roman"/>
          <w:bCs/>
          <w:spacing w:val="4"/>
        </w:rPr>
        <w:t xml:space="preserve">Jednocześnie informuję, że do skargi należy załączyć dowód uiszczenia wpisu </w:t>
      </w:r>
      <w:r w:rsidRPr="00911D8F">
        <w:rPr>
          <w:rFonts w:ascii="Lato" w:eastAsia="Calibri" w:hAnsi="Lato" w:cs="Times New Roman"/>
          <w:bCs/>
          <w:spacing w:val="4"/>
        </w:rPr>
        <w:br/>
        <w:t xml:space="preserve">od wniesienia skargi w kwocie 500 zł, płatnego w kasie sądu lub na rachunek bankowy </w:t>
      </w:r>
      <w:r w:rsidRPr="00911D8F">
        <w:rPr>
          <w:rFonts w:ascii="Lato" w:eastAsia="Calibri" w:hAnsi="Lato" w:cs="Times New Roman"/>
          <w:bCs/>
          <w:spacing w:val="4"/>
        </w:rPr>
        <w:lastRenderedPageBreak/>
        <w:t xml:space="preserve">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911D8F">
        <w:rPr>
          <w:rFonts w:ascii="Lato" w:eastAsia="Calibri" w:hAnsi="Lato" w:cs="Times New Roman"/>
          <w:bCs/>
          <w:spacing w:val="4"/>
        </w:rPr>
        <w:t>ppsa</w:t>
      </w:r>
      <w:proofErr w:type="spellEnd"/>
      <w:r w:rsidRPr="00911D8F">
        <w:rPr>
          <w:rFonts w:ascii="Lato" w:eastAsia="Calibri" w:hAnsi="Lato" w:cs="Times New Roman"/>
          <w:bCs/>
          <w:spacing w:val="4"/>
        </w:rPr>
        <w:t>.</w:t>
      </w:r>
    </w:p>
    <w:p w14:paraId="2A2EA831" w14:textId="019E817D" w:rsidR="00C1630E" w:rsidRDefault="00C1630E" w:rsidP="00665EBB">
      <w:pPr>
        <w:shd w:val="clear" w:color="auto" w:fill="FFFFFF"/>
        <w:spacing w:after="80" w:line="240" w:lineRule="auto"/>
        <w:jc w:val="both"/>
        <w:rPr>
          <w:rFonts w:ascii="Lato" w:eastAsia="Times New Roman" w:hAnsi="Lato" w:cs="Arial"/>
          <w:b/>
          <w:spacing w:val="4"/>
          <w:u w:val="single"/>
        </w:rPr>
      </w:pPr>
      <w:r w:rsidRPr="00C1630E">
        <w:rPr>
          <w:rFonts w:ascii="Lato" w:eastAsia="Times New Roman" w:hAnsi="Lato" w:cs="Arial"/>
          <w:b/>
          <w:spacing w:val="4"/>
          <w:u w:val="single"/>
        </w:rPr>
        <w:t>Załącznik</w:t>
      </w:r>
      <w:r w:rsidR="00595105">
        <w:rPr>
          <w:rFonts w:ascii="Lato" w:eastAsia="Times New Roman" w:hAnsi="Lato" w:cs="Arial"/>
          <w:b/>
          <w:spacing w:val="4"/>
          <w:u w:val="single"/>
        </w:rPr>
        <w:t>i</w:t>
      </w:r>
      <w:r w:rsidRPr="00C1630E">
        <w:rPr>
          <w:rFonts w:ascii="Lato" w:eastAsia="Times New Roman" w:hAnsi="Lato" w:cs="Arial"/>
          <w:b/>
          <w:spacing w:val="4"/>
          <w:u w:val="single"/>
        </w:rPr>
        <w:t>:</w:t>
      </w:r>
    </w:p>
    <w:p w14:paraId="6744D23C" w14:textId="52E169AC" w:rsidR="00595105" w:rsidRPr="00C3321C" w:rsidRDefault="00595105" w:rsidP="00C3321C">
      <w:pPr>
        <w:shd w:val="clear" w:color="auto" w:fill="FFFFFF"/>
        <w:spacing w:after="0" w:line="240" w:lineRule="auto"/>
        <w:jc w:val="both"/>
        <w:rPr>
          <w:rFonts w:ascii="Lato" w:eastAsia="Times New Roman" w:hAnsi="Lato" w:cs="Arial"/>
          <w:spacing w:val="4"/>
        </w:rPr>
      </w:pPr>
      <w:r w:rsidRPr="00595105">
        <w:rPr>
          <w:rFonts w:ascii="Lato" w:eastAsia="Times New Roman" w:hAnsi="Lato" w:cs="Arial"/>
          <w:b/>
          <w:bCs/>
          <w:spacing w:val="4"/>
        </w:rPr>
        <w:t>Nr 1</w:t>
      </w:r>
      <w:r>
        <w:rPr>
          <w:rFonts w:ascii="Lato" w:eastAsia="Times New Roman" w:hAnsi="Lato" w:cs="Arial"/>
          <w:b/>
          <w:bCs/>
          <w:spacing w:val="4"/>
        </w:rPr>
        <w:t xml:space="preserve"> </w:t>
      </w:r>
      <w:r w:rsidRPr="00103C50">
        <w:rPr>
          <w:rFonts w:ascii="Lato" w:eastAsia="Times New Roman" w:hAnsi="Lato" w:cs="Arial"/>
          <w:spacing w:val="4"/>
        </w:rPr>
        <w:t>-</w:t>
      </w:r>
      <w:r>
        <w:rPr>
          <w:rFonts w:ascii="Lato" w:eastAsia="Times New Roman" w:hAnsi="Lato" w:cs="Arial"/>
          <w:b/>
          <w:bCs/>
          <w:spacing w:val="4"/>
        </w:rPr>
        <w:t xml:space="preserve"> </w:t>
      </w:r>
      <w:r w:rsidRPr="00595105">
        <w:rPr>
          <w:rFonts w:ascii="Lato" w:eastAsia="Times New Roman" w:hAnsi="Lato" w:cs="Arial"/>
          <w:spacing w:val="4"/>
        </w:rPr>
        <w:t>zamien</w:t>
      </w:r>
      <w:r w:rsidR="00C3321C">
        <w:rPr>
          <w:rFonts w:ascii="Lato" w:eastAsia="Times New Roman" w:hAnsi="Lato" w:cs="Arial"/>
          <w:spacing w:val="4"/>
        </w:rPr>
        <w:t>na</w:t>
      </w:r>
      <w:r w:rsidRPr="00595105">
        <w:rPr>
          <w:rFonts w:ascii="Lato" w:eastAsia="Times New Roman" w:hAnsi="Lato" w:cs="Arial"/>
          <w:spacing w:val="4"/>
        </w:rPr>
        <w:t xml:space="preserve"> map</w:t>
      </w:r>
      <w:r>
        <w:rPr>
          <w:rFonts w:ascii="Lato" w:eastAsia="Times New Roman" w:hAnsi="Lato" w:cs="Arial"/>
          <w:spacing w:val="4"/>
        </w:rPr>
        <w:t>a</w:t>
      </w:r>
      <w:r w:rsidRPr="00595105">
        <w:rPr>
          <w:rFonts w:ascii="Lato" w:eastAsia="Times New Roman" w:hAnsi="Lato" w:cs="Arial"/>
          <w:spacing w:val="4"/>
        </w:rPr>
        <w:t xml:space="preserve"> pn.: „Teren zamknięty – Rafineria w Gdańsku Plan Sytuacyjny skala 1:500”) </w:t>
      </w:r>
      <w:r>
        <w:rPr>
          <w:rFonts w:ascii="Lato" w:eastAsia="Times New Roman" w:hAnsi="Lato" w:cs="Arial"/>
          <w:spacing w:val="4"/>
        </w:rPr>
        <w:t xml:space="preserve">- </w:t>
      </w:r>
      <w:r w:rsidRPr="00595105">
        <w:rPr>
          <w:rFonts w:ascii="Lato" w:eastAsia="Times New Roman" w:hAnsi="Lato" w:cs="Arial"/>
          <w:spacing w:val="4"/>
        </w:rPr>
        <w:t xml:space="preserve">w zakresie dotyczącym obszaru na działce nr 75/92, z obrębu 0300 w Gdańsku, </w:t>
      </w:r>
      <w:r w:rsidR="00B12196">
        <w:rPr>
          <w:rFonts w:ascii="Lato" w:eastAsia="Times New Roman" w:hAnsi="Lato" w:cs="Arial"/>
          <w:spacing w:val="4"/>
        </w:rPr>
        <w:t xml:space="preserve">objętego </w:t>
      </w:r>
      <w:r w:rsidRPr="00595105">
        <w:rPr>
          <w:rFonts w:ascii="Lato" w:eastAsia="Times New Roman" w:hAnsi="Lato" w:cs="Arial"/>
          <w:spacing w:val="4"/>
        </w:rPr>
        <w:t>skutk</w:t>
      </w:r>
      <w:r w:rsidR="00B12196">
        <w:rPr>
          <w:rFonts w:ascii="Lato" w:eastAsia="Times New Roman" w:hAnsi="Lato" w:cs="Arial"/>
          <w:spacing w:val="4"/>
        </w:rPr>
        <w:t>iem</w:t>
      </w:r>
      <w:r w:rsidRPr="00595105">
        <w:rPr>
          <w:rFonts w:ascii="Lato" w:eastAsia="Times New Roman" w:hAnsi="Lato" w:cs="Arial"/>
          <w:spacing w:val="4"/>
        </w:rPr>
        <w:t xml:space="preserve">, o którym mowa w art. 30 ust. 3 ustawy z dnia 22 lutego 2019 r. </w:t>
      </w:r>
      <w:r w:rsidR="00B12196">
        <w:rPr>
          <w:rFonts w:ascii="Lato" w:eastAsia="Times New Roman" w:hAnsi="Lato" w:cs="Arial"/>
          <w:spacing w:val="4"/>
        </w:rPr>
        <w:br/>
      </w:r>
      <w:r w:rsidRPr="00595105">
        <w:rPr>
          <w:rFonts w:ascii="Lato" w:eastAsia="Times New Roman" w:hAnsi="Lato" w:cs="Arial"/>
          <w:spacing w:val="4"/>
        </w:rPr>
        <w:t>o przygotowaniu i realizacji strategicznych inwestycji w sektorze naftowym,</w:t>
      </w:r>
    </w:p>
    <w:p w14:paraId="55F00257" w14:textId="572942D2" w:rsidR="00C1630E" w:rsidRPr="00C3321C" w:rsidRDefault="00C1630E" w:rsidP="00C3321C">
      <w:pPr>
        <w:suppressAutoHyphens/>
        <w:spacing w:after="0" w:line="240" w:lineRule="auto"/>
        <w:jc w:val="both"/>
        <w:textAlignment w:val="baseline"/>
        <w:rPr>
          <w:rFonts w:ascii="Lato" w:eastAsia="Times New Roman" w:hAnsi="Lato" w:cs="Arial"/>
          <w:bCs/>
          <w:iCs/>
          <w:spacing w:val="4"/>
          <w:lang w:eastAsia="zh-CN" w:bidi="pl-PL"/>
        </w:rPr>
      </w:pPr>
      <w:r w:rsidRPr="00122D7F">
        <w:rPr>
          <w:rFonts w:ascii="Lato" w:eastAsia="Times New Roman" w:hAnsi="Lato" w:cs="Arial"/>
          <w:b/>
          <w:bCs/>
          <w:spacing w:val="4"/>
          <w:lang w:eastAsia="zh-CN"/>
        </w:rPr>
        <w:t xml:space="preserve">Nr </w:t>
      </w:r>
      <w:r w:rsidR="00C3321C">
        <w:rPr>
          <w:rFonts w:ascii="Lato" w:eastAsia="Times New Roman" w:hAnsi="Lato" w:cs="Arial"/>
          <w:b/>
          <w:bCs/>
          <w:spacing w:val="4"/>
          <w:lang w:eastAsia="zh-CN"/>
        </w:rPr>
        <w:t>2</w:t>
      </w:r>
      <w:r w:rsidRPr="00122D7F">
        <w:rPr>
          <w:rFonts w:ascii="Lato" w:eastAsia="Times New Roman" w:hAnsi="Lato" w:cs="Arial"/>
          <w:spacing w:val="4"/>
          <w:lang w:eastAsia="zh-CN"/>
        </w:rPr>
        <w:t xml:space="preserve"> </w:t>
      </w:r>
      <w:r w:rsidR="00103C50">
        <w:rPr>
          <w:rFonts w:ascii="Lato" w:eastAsia="Times New Roman" w:hAnsi="Lato" w:cs="Arial"/>
          <w:spacing w:val="4"/>
          <w:lang w:eastAsia="zh-CN"/>
        </w:rPr>
        <w:t>-</w:t>
      </w:r>
      <w:r w:rsidRPr="00122D7F">
        <w:rPr>
          <w:rFonts w:ascii="Lato" w:eastAsia="Times New Roman" w:hAnsi="Lato" w:cs="Arial"/>
          <w:spacing w:val="4"/>
          <w:lang w:eastAsia="zh-CN"/>
        </w:rPr>
        <w:t xml:space="preserve"> </w:t>
      </w:r>
      <w:r w:rsidR="00CB30AF" w:rsidRPr="00CB30AF">
        <w:rPr>
          <w:rFonts w:ascii="Lato" w:eastAsia="Times New Roman" w:hAnsi="Lato" w:cs="Arial"/>
          <w:bCs/>
          <w:spacing w:val="4"/>
          <w:lang w:eastAsia="zh-CN" w:bidi="pl-PL"/>
        </w:rPr>
        <w:t>map</w:t>
      </w:r>
      <w:r w:rsidR="00CB30AF">
        <w:rPr>
          <w:rFonts w:ascii="Lato" w:eastAsia="Times New Roman" w:hAnsi="Lato" w:cs="Arial"/>
          <w:bCs/>
          <w:iCs/>
          <w:spacing w:val="4"/>
          <w:lang w:eastAsia="zh-CN" w:bidi="pl-PL"/>
        </w:rPr>
        <w:t>a</w:t>
      </w:r>
      <w:r w:rsidR="00CB30AF" w:rsidRPr="00CB30AF">
        <w:rPr>
          <w:rFonts w:ascii="Lato" w:eastAsia="Times New Roman" w:hAnsi="Lato" w:cs="Arial"/>
          <w:bCs/>
          <w:iCs/>
          <w:spacing w:val="4"/>
          <w:lang w:eastAsia="zh-CN" w:bidi="pl-PL"/>
        </w:rPr>
        <w:t xml:space="preserve"> przedstawiając</w:t>
      </w:r>
      <w:r w:rsidR="00CB30AF">
        <w:rPr>
          <w:rFonts w:ascii="Lato" w:eastAsia="Times New Roman" w:hAnsi="Lato" w:cs="Arial"/>
          <w:bCs/>
          <w:iCs/>
          <w:spacing w:val="4"/>
          <w:lang w:eastAsia="zh-CN" w:bidi="pl-PL"/>
        </w:rPr>
        <w:t>a</w:t>
      </w:r>
      <w:r w:rsidR="00CB30AF" w:rsidRPr="00CB30AF">
        <w:rPr>
          <w:rFonts w:ascii="Lato" w:eastAsia="Times New Roman" w:hAnsi="Lato" w:cs="Arial"/>
          <w:bCs/>
          <w:iCs/>
          <w:spacing w:val="4"/>
          <w:lang w:eastAsia="zh-CN" w:bidi="pl-PL"/>
        </w:rPr>
        <w:t xml:space="preserve"> zakres służebności na</w:t>
      </w:r>
      <w:r w:rsidR="00AA5C24">
        <w:rPr>
          <w:rFonts w:ascii="Lato" w:eastAsia="Times New Roman" w:hAnsi="Lato" w:cs="Arial"/>
          <w:bCs/>
          <w:iCs/>
          <w:spacing w:val="4"/>
          <w:lang w:eastAsia="zh-CN" w:bidi="pl-PL"/>
        </w:rPr>
        <w:t xml:space="preserve"> </w:t>
      </w:r>
      <w:r w:rsidR="00CB30AF" w:rsidRPr="00CB30AF">
        <w:rPr>
          <w:rFonts w:ascii="Lato" w:eastAsia="Times New Roman" w:hAnsi="Lato" w:cs="Arial"/>
          <w:bCs/>
          <w:iCs/>
          <w:spacing w:val="4"/>
          <w:lang w:eastAsia="zh-CN" w:bidi="pl-PL"/>
        </w:rPr>
        <w:t xml:space="preserve">działce nr </w:t>
      </w:r>
      <w:r w:rsidR="00C3321C">
        <w:rPr>
          <w:rFonts w:ascii="Lato" w:eastAsia="Times New Roman" w:hAnsi="Lato" w:cs="Arial"/>
          <w:bCs/>
          <w:iCs/>
          <w:spacing w:val="4"/>
          <w:lang w:eastAsia="zh-CN" w:bidi="pl-PL"/>
        </w:rPr>
        <w:t xml:space="preserve">75/91, </w:t>
      </w:r>
      <w:r w:rsidR="00C3321C" w:rsidRPr="00C3321C">
        <w:rPr>
          <w:rFonts w:ascii="Lato" w:eastAsia="Times New Roman" w:hAnsi="Lato" w:cs="Arial"/>
          <w:bCs/>
          <w:iCs/>
          <w:spacing w:val="4"/>
          <w:lang w:eastAsia="zh-CN" w:bidi="pl-PL"/>
        </w:rPr>
        <w:t xml:space="preserve">z obrębu 0300 </w:t>
      </w:r>
      <w:r w:rsidR="00C3321C">
        <w:rPr>
          <w:rFonts w:ascii="Lato" w:eastAsia="Times New Roman" w:hAnsi="Lato" w:cs="Arial"/>
          <w:bCs/>
          <w:iCs/>
          <w:spacing w:val="4"/>
          <w:lang w:eastAsia="zh-CN" w:bidi="pl-PL"/>
        </w:rPr>
        <w:br/>
      </w:r>
      <w:r w:rsidR="00C3321C" w:rsidRPr="00C3321C">
        <w:rPr>
          <w:rFonts w:ascii="Lato" w:eastAsia="Times New Roman" w:hAnsi="Lato" w:cs="Arial"/>
          <w:bCs/>
          <w:iCs/>
          <w:spacing w:val="4"/>
          <w:lang w:eastAsia="zh-CN" w:bidi="pl-PL"/>
        </w:rPr>
        <w:t>w Gdańsku</w:t>
      </w:r>
      <w:r w:rsidR="00CB30AF" w:rsidRPr="00CB30AF">
        <w:rPr>
          <w:rFonts w:ascii="Lato" w:eastAsia="Times New Roman" w:hAnsi="Lato" w:cs="Arial"/>
          <w:spacing w:val="4"/>
          <w:lang w:eastAsia="zh-CN"/>
        </w:rPr>
        <w:t>.</w:t>
      </w:r>
    </w:p>
    <w:p w14:paraId="3DC8804C" w14:textId="77777777" w:rsidR="00D15D63" w:rsidRDefault="00D15D63" w:rsidP="00C1630E">
      <w:pPr>
        <w:spacing w:after="80" w:line="240" w:lineRule="auto"/>
        <w:jc w:val="both"/>
        <w:rPr>
          <w:rFonts w:ascii="Lato" w:eastAsia="Times New Roman" w:hAnsi="Lato" w:cs="Arial"/>
          <w:b/>
          <w:spacing w:val="4"/>
          <w:u w:val="single"/>
          <w:lang w:eastAsia="pl-PL"/>
        </w:rPr>
      </w:pPr>
    </w:p>
    <w:p w14:paraId="3FE90CA7" w14:textId="77777777" w:rsidR="00D15D63" w:rsidRDefault="00D15D63" w:rsidP="00C1630E">
      <w:pPr>
        <w:spacing w:after="80" w:line="240" w:lineRule="auto"/>
        <w:jc w:val="both"/>
        <w:rPr>
          <w:rFonts w:ascii="Lato" w:eastAsia="Times New Roman" w:hAnsi="Lato" w:cs="Arial"/>
          <w:b/>
          <w:spacing w:val="4"/>
          <w:u w:val="single"/>
          <w:lang w:eastAsia="pl-PL"/>
        </w:rPr>
      </w:pPr>
    </w:p>
    <w:p w14:paraId="5D93B519" w14:textId="77777777" w:rsidR="00BE782A" w:rsidRPr="00B3376C" w:rsidRDefault="00BE782A" w:rsidP="00BE782A">
      <w:pPr>
        <w:spacing w:after="120" w:line="260" w:lineRule="exact"/>
        <w:ind w:left="4111"/>
        <w:rPr>
          <w:rFonts w:ascii="Lato" w:hAnsi="Lato"/>
          <w:b/>
          <w:bCs/>
        </w:rPr>
      </w:pPr>
      <w:r w:rsidRPr="00B3376C">
        <w:rPr>
          <w:rFonts w:ascii="Lato" w:hAnsi="Lato"/>
          <w:b/>
          <w:bCs/>
        </w:rPr>
        <w:t>Z upoważnienia</w:t>
      </w:r>
    </w:p>
    <w:p w14:paraId="06975C79" w14:textId="77777777" w:rsidR="00BE782A" w:rsidRPr="00B3376C" w:rsidRDefault="00BE782A" w:rsidP="00BE782A">
      <w:pPr>
        <w:spacing w:after="120" w:line="260" w:lineRule="exact"/>
        <w:ind w:left="4111"/>
        <w:rPr>
          <w:rFonts w:ascii="Lato" w:hAnsi="Lato"/>
        </w:rPr>
      </w:pPr>
      <w:r>
        <w:rPr>
          <w:rFonts w:ascii="Lato" w:hAnsi="Lato"/>
        </w:rPr>
        <w:t>Edyta Lubaszewska</w:t>
      </w:r>
    </w:p>
    <w:p w14:paraId="77C34002" w14:textId="77777777" w:rsidR="00BE782A" w:rsidRPr="00B3376C" w:rsidRDefault="00BE782A" w:rsidP="00BE782A">
      <w:pPr>
        <w:spacing w:after="120" w:line="260" w:lineRule="exact"/>
        <w:ind w:left="4111"/>
        <w:rPr>
          <w:rFonts w:ascii="Lato" w:hAnsi="Lato"/>
        </w:rPr>
      </w:pPr>
      <w:r>
        <w:rPr>
          <w:rFonts w:ascii="Lato" w:hAnsi="Lato"/>
        </w:rPr>
        <w:t>dyrektor</w:t>
      </w:r>
    </w:p>
    <w:p w14:paraId="187B7375" w14:textId="77777777" w:rsidR="00BE782A" w:rsidRPr="00B3376C" w:rsidRDefault="00BE782A" w:rsidP="00BE782A">
      <w:pPr>
        <w:spacing w:after="120" w:line="260" w:lineRule="exact"/>
        <w:ind w:left="4111"/>
        <w:rPr>
          <w:rFonts w:ascii="Lato" w:hAnsi="Lato"/>
        </w:rPr>
      </w:pPr>
      <w:r>
        <w:rPr>
          <w:rFonts w:ascii="Lato" w:hAnsi="Lato"/>
        </w:rPr>
        <w:t>Departament Lokalizacji Inwestycji</w:t>
      </w:r>
    </w:p>
    <w:p w14:paraId="5309042D" w14:textId="77777777" w:rsidR="00BE782A" w:rsidRPr="00B3376C" w:rsidRDefault="00BE782A" w:rsidP="00BE782A">
      <w:pPr>
        <w:spacing w:after="120" w:line="260" w:lineRule="exact"/>
        <w:ind w:left="4111"/>
        <w:rPr>
          <w:rFonts w:ascii="Lato" w:hAnsi="Lato"/>
        </w:rPr>
      </w:pPr>
      <w:r>
        <w:rPr>
          <w:rFonts w:ascii="Lato" w:hAnsi="Lato"/>
        </w:rPr>
        <w:t>/ kwalifikowany podpis elektroniczny /</w:t>
      </w:r>
    </w:p>
    <w:p w14:paraId="1BF226CA" w14:textId="77777777" w:rsidR="00BE782A" w:rsidRPr="00B3376C" w:rsidRDefault="00BE782A" w:rsidP="00BE782A">
      <w:pPr>
        <w:spacing w:after="120" w:line="260" w:lineRule="exact"/>
        <w:ind w:left="4111"/>
        <w:rPr>
          <w:rFonts w:ascii="Lato" w:hAnsi="Lato"/>
          <w:color w:val="000000" w:themeColor="text1"/>
        </w:rPr>
      </w:pPr>
      <w:r w:rsidRPr="00B3376C">
        <w:rPr>
          <w:rFonts w:ascii="Lato" w:hAnsi="Lato"/>
          <w:color w:val="000000" w:themeColor="text1"/>
        </w:rPr>
        <w:t>w Ministerstwie Rozwoju i Technologii</w:t>
      </w:r>
    </w:p>
    <w:p w14:paraId="7CB085EB" w14:textId="77777777" w:rsidR="00122D7F" w:rsidRDefault="00122D7F" w:rsidP="00C1630E">
      <w:pPr>
        <w:spacing w:after="0" w:line="240" w:lineRule="exact"/>
        <w:jc w:val="both"/>
        <w:rPr>
          <w:rFonts w:ascii="Lato" w:eastAsia="Times New Roman" w:hAnsi="Lato" w:cs="Arial"/>
          <w:b/>
          <w:spacing w:val="4"/>
          <w:u w:val="single"/>
          <w:lang w:eastAsia="pl-PL"/>
        </w:rPr>
      </w:pPr>
    </w:p>
    <w:p w14:paraId="657A3958" w14:textId="77777777" w:rsidR="00D15D63" w:rsidRDefault="00D15D63" w:rsidP="00122D7F">
      <w:pPr>
        <w:spacing w:after="80" w:line="240" w:lineRule="auto"/>
        <w:jc w:val="both"/>
        <w:rPr>
          <w:rFonts w:ascii="Lato" w:eastAsia="Times New Roman" w:hAnsi="Lato" w:cs="Arial"/>
          <w:b/>
          <w:spacing w:val="4"/>
          <w:u w:val="single"/>
          <w:lang w:eastAsia="pl-PL"/>
        </w:rPr>
      </w:pPr>
    </w:p>
    <w:p w14:paraId="7E6DD031" w14:textId="77777777" w:rsidR="00D15D63" w:rsidRDefault="00D15D63" w:rsidP="00122D7F">
      <w:pPr>
        <w:spacing w:after="80" w:line="240" w:lineRule="auto"/>
        <w:jc w:val="both"/>
        <w:rPr>
          <w:rFonts w:ascii="Lato" w:eastAsia="Times New Roman" w:hAnsi="Lato" w:cs="Arial"/>
          <w:b/>
          <w:spacing w:val="4"/>
          <w:u w:val="single"/>
          <w:lang w:eastAsia="pl-PL"/>
        </w:rPr>
      </w:pPr>
    </w:p>
    <w:p w14:paraId="1DC4F6BC" w14:textId="77777777" w:rsidR="00431E38" w:rsidRDefault="00431E38" w:rsidP="00665EBB">
      <w:pPr>
        <w:spacing w:after="80" w:line="240" w:lineRule="auto"/>
        <w:jc w:val="both"/>
        <w:rPr>
          <w:rFonts w:ascii="Lato" w:eastAsia="Times New Roman" w:hAnsi="Lato" w:cs="Arial"/>
          <w:b/>
          <w:spacing w:val="4"/>
          <w:u w:val="single"/>
          <w:lang w:eastAsia="pl-PL"/>
        </w:rPr>
      </w:pPr>
    </w:p>
    <w:p w14:paraId="08537379" w14:textId="77777777" w:rsidR="00B12196" w:rsidRDefault="00B12196" w:rsidP="00665EBB">
      <w:pPr>
        <w:spacing w:after="80" w:line="240" w:lineRule="auto"/>
        <w:jc w:val="both"/>
        <w:rPr>
          <w:rFonts w:ascii="Lato" w:eastAsia="Times New Roman" w:hAnsi="Lato" w:cs="Arial"/>
          <w:b/>
          <w:spacing w:val="4"/>
          <w:u w:val="single"/>
          <w:lang w:eastAsia="pl-PL"/>
        </w:rPr>
      </w:pPr>
    </w:p>
    <w:sectPr w:rsidR="00B12196" w:rsidSect="003B2B91">
      <w:headerReference w:type="default" r:id="rId8"/>
      <w:footerReference w:type="default" r:id="rId9"/>
      <w:headerReference w:type="first" r:id="rId10"/>
      <w:footerReference w:type="first" r:id="rId11"/>
      <w:pgSz w:w="11906" w:h="16838"/>
      <w:pgMar w:top="2268" w:right="1134" w:bottom="1418" w:left="1985" w:header="0"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0A801" w14:textId="77777777" w:rsidR="00D00A36" w:rsidRDefault="00D00A36">
      <w:pPr>
        <w:spacing w:after="0" w:line="240" w:lineRule="auto"/>
      </w:pPr>
      <w:r>
        <w:separator/>
      </w:r>
    </w:p>
  </w:endnote>
  <w:endnote w:type="continuationSeparator" w:id="0">
    <w:p w14:paraId="6BC5FCCD" w14:textId="77777777" w:rsidR="00D00A36" w:rsidRDefault="00D00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embedRegular r:id="rId1" w:fontKey="{97D5A44F-AFA7-4FCF-A7AA-F35919E2D01A}"/>
    <w:embedBold r:id="rId2" w:fontKey="{C1CCB905-B37C-4343-A0E9-F4F03A4CF138}"/>
    <w:embedItalic r:id="rId3" w:fontKey="{73AC16FC-F731-4653-BDED-BD613D037695}"/>
  </w:font>
  <w:font w:name="Calibri">
    <w:panose1 w:val="020F0502020204030204"/>
    <w:charset w:val="EE"/>
    <w:family w:val="swiss"/>
    <w:pitch w:val="variable"/>
    <w:sig w:usb0="E4002EFF" w:usb1="C200247B" w:usb2="00000009" w:usb3="00000000" w:csb0="000001FF" w:csb1="00000000"/>
    <w:embedRegular r:id="rId4" w:fontKey="{FAEA6F5F-26EF-42CD-B088-59D6BED93E16}"/>
    <w:embedBold r:id="rId5" w:fontKey="{7E824B5F-B08F-4FC9-ACC3-4E446EC4D506}"/>
    <w:embedItalic r:id="rId6" w:fontKey="{36A20400-D787-4DA6-A424-CF6B4C26D644}"/>
  </w:font>
  <w:font w:name="Calibri Light">
    <w:panose1 w:val="020F0302020204030204"/>
    <w:charset w:val="EE"/>
    <w:family w:val="swiss"/>
    <w:pitch w:val="variable"/>
    <w:sig w:usb0="E4002EFF" w:usb1="C200247B" w:usb2="00000009" w:usb3="00000000" w:csb0="000001FF" w:csb1="00000000"/>
    <w:embedRegular r:id="rId7" w:fontKey="{82C30A72-8051-4BC8-A1CC-7432F879121B}"/>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sz w:val="16"/>
        <w:szCs w:val="16"/>
      </w:rPr>
      <w:id w:val="1792393698"/>
      <w:docPartObj>
        <w:docPartGallery w:val="Page Numbers (Bottom of Page)"/>
        <w:docPartUnique/>
      </w:docPartObj>
    </w:sdtPr>
    <w:sdtContent>
      <w:p w14:paraId="4A2D10CF" w14:textId="53CFF59E" w:rsidR="002E58B9" w:rsidRPr="00D33088" w:rsidRDefault="002E58B9">
        <w:pPr>
          <w:pStyle w:val="Stopka"/>
          <w:jc w:val="center"/>
          <w:rPr>
            <w:rFonts w:ascii="Lato" w:hAnsi="Lato"/>
            <w:sz w:val="16"/>
            <w:szCs w:val="16"/>
          </w:rPr>
        </w:pPr>
        <w:r w:rsidRPr="00D33088">
          <w:rPr>
            <w:rFonts w:ascii="Lato" w:hAnsi="Lato"/>
            <w:sz w:val="16"/>
            <w:szCs w:val="16"/>
          </w:rPr>
          <w:fldChar w:fldCharType="begin"/>
        </w:r>
        <w:r w:rsidRPr="00D33088">
          <w:rPr>
            <w:rFonts w:ascii="Lato" w:hAnsi="Lato"/>
            <w:sz w:val="16"/>
            <w:szCs w:val="16"/>
          </w:rPr>
          <w:instrText>PAGE   \* MERGEFORMAT</w:instrText>
        </w:r>
        <w:r w:rsidRPr="00D33088">
          <w:rPr>
            <w:rFonts w:ascii="Lato" w:hAnsi="Lato"/>
            <w:sz w:val="16"/>
            <w:szCs w:val="16"/>
          </w:rPr>
          <w:fldChar w:fldCharType="separate"/>
        </w:r>
        <w:r w:rsidRPr="00D33088">
          <w:rPr>
            <w:rFonts w:ascii="Lato" w:hAnsi="Lato"/>
            <w:sz w:val="16"/>
            <w:szCs w:val="16"/>
          </w:rPr>
          <w:t>2</w:t>
        </w:r>
        <w:r w:rsidRPr="00D33088">
          <w:rPr>
            <w:rFonts w:ascii="Lato" w:hAnsi="Lato"/>
            <w:sz w:val="16"/>
            <w:szCs w:val="16"/>
          </w:rPr>
          <w:fldChar w:fldCharType="end"/>
        </w:r>
        <w:r>
          <w:rPr>
            <w:rFonts w:ascii="Lato" w:hAnsi="Lato"/>
            <w:sz w:val="16"/>
            <w:szCs w:val="16"/>
          </w:rPr>
          <w:t>(</w:t>
        </w:r>
        <w:r w:rsidR="00CB30AF">
          <w:rPr>
            <w:rFonts w:ascii="Lato" w:hAnsi="Lato"/>
            <w:sz w:val="16"/>
            <w:szCs w:val="16"/>
          </w:rPr>
          <w:t>9</w:t>
        </w:r>
        <w:r>
          <w:rPr>
            <w:rFonts w:ascii="Lato" w:hAnsi="Lato"/>
            <w:sz w:val="16"/>
            <w:szCs w:val="16"/>
          </w:rPr>
          <w:t>)</w:t>
        </w:r>
      </w:p>
    </w:sdtContent>
  </w:sdt>
  <w:p w14:paraId="43F06B3A" w14:textId="27F05657" w:rsidR="00A82F78" w:rsidRDefault="00A82F78" w:rsidP="00D33088">
    <w:pPr>
      <w:pStyle w:val="Stopka"/>
      <w:tabs>
        <w:tab w:val="clear" w:pos="4536"/>
        <w:tab w:val="clear" w:pos="9072"/>
        <w:tab w:val="left" w:pos="5954"/>
      </w:tabs>
      <w:spacing w:line="200" w:lineRule="exact"/>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28A07" w14:textId="4879985E" w:rsidR="00A82F78" w:rsidRDefault="00A82F78"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2656A" w14:textId="77777777" w:rsidR="00D00A36" w:rsidRDefault="00D00A36">
      <w:pPr>
        <w:spacing w:after="0" w:line="240" w:lineRule="auto"/>
      </w:pPr>
      <w:r>
        <w:separator/>
      </w:r>
    </w:p>
  </w:footnote>
  <w:footnote w:type="continuationSeparator" w:id="0">
    <w:p w14:paraId="49910CE6" w14:textId="77777777" w:rsidR="00D00A36" w:rsidRDefault="00D00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36BD" w14:textId="77777777" w:rsidR="00A82F78" w:rsidRDefault="00A82F78"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778F" w14:textId="77777777" w:rsidR="00A82F78" w:rsidRDefault="00000000">
    <w:pPr>
      <w:pStyle w:val="Nagwek"/>
    </w:pPr>
    <w:r>
      <w:rPr>
        <w:noProof/>
        <w:lang w:eastAsia="pl-PL"/>
      </w:rPr>
      <w:drawing>
        <wp:anchor distT="0" distB="0" distL="114300" distR="114300" simplePos="0" relativeHeight="251662336" behindDoc="0" locked="0" layoutInCell="1" allowOverlap="1" wp14:anchorId="1676A829" wp14:editId="611DED8E">
          <wp:simplePos x="0" y="0"/>
          <wp:positionH relativeFrom="column">
            <wp:posOffset>-890905</wp:posOffset>
          </wp:positionH>
          <wp:positionV relativeFrom="paragraph">
            <wp:posOffset>415925</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lowerLetter"/>
      <w:lvlText w:val="%2)"/>
      <w:lvlJc w:val="left"/>
      <w:rPr>
        <w:rFonts w:ascii="Arial" w:hAnsi="Arial" w:cs="Arial"/>
        <w:b w:val="0"/>
        <w:bCs w:val="0"/>
        <w:i w:val="0"/>
        <w:iCs w:val="0"/>
        <w:smallCaps w:val="0"/>
        <w:strike w:val="0"/>
        <w:color w:val="000000"/>
        <w:spacing w:val="0"/>
        <w:w w:val="100"/>
        <w:position w:val="0"/>
        <w:sz w:val="22"/>
        <w:szCs w:val="22"/>
        <w:u w:val="none"/>
      </w:rPr>
    </w:lvl>
    <w:lvl w:ilvl="2">
      <w:start w:val="1"/>
      <w:numFmt w:val="lowerLetter"/>
      <w:lvlText w:val="%2)"/>
      <w:lvlJc w:val="left"/>
      <w:rPr>
        <w:rFonts w:ascii="Arial" w:hAnsi="Arial" w:cs="Arial"/>
        <w:b w:val="0"/>
        <w:bCs w:val="0"/>
        <w:i w:val="0"/>
        <w:iCs w:val="0"/>
        <w:smallCaps w:val="0"/>
        <w:strike w:val="0"/>
        <w:color w:val="000000"/>
        <w:spacing w:val="0"/>
        <w:w w:val="100"/>
        <w:position w:val="0"/>
        <w:sz w:val="22"/>
        <w:szCs w:val="22"/>
        <w:u w:val="none"/>
      </w:rPr>
    </w:lvl>
    <w:lvl w:ilvl="3">
      <w:start w:val="1"/>
      <w:numFmt w:val="lowerLetter"/>
      <w:lvlText w:val="%2)"/>
      <w:lvlJc w:val="left"/>
      <w:rPr>
        <w:rFonts w:ascii="Arial" w:hAnsi="Arial" w:cs="Arial"/>
        <w:b w:val="0"/>
        <w:bCs w:val="0"/>
        <w:i w:val="0"/>
        <w:iCs w:val="0"/>
        <w:smallCaps w:val="0"/>
        <w:strike w:val="0"/>
        <w:color w:val="000000"/>
        <w:spacing w:val="0"/>
        <w:w w:val="100"/>
        <w:position w:val="0"/>
        <w:sz w:val="22"/>
        <w:szCs w:val="22"/>
        <w:u w:val="none"/>
      </w:rPr>
    </w:lvl>
    <w:lvl w:ilvl="4">
      <w:start w:val="1"/>
      <w:numFmt w:val="lowerLetter"/>
      <w:lvlText w:val="%2)"/>
      <w:lvlJc w:val="left"/>
      <w:rPr>
        <w:rFonts w:ascii="Arial" w:hAnsi="Arial" w:cs="Arial"/>
        <w:b w:val="0"/>
        <w:bCs w:val="0"/>
        <w:i w:val="0"/>
        <w:iCs w:val="0"/>
        <w:smallCaps w:val="0"/>
        <w:strike w:val="0"/>
        <w:color w:val="000000"/>
        <w:spacing w:val="0"/>
        <w:w w:val="100"/>
        <w:position w:val="0"/>
        <w:sz w:val="22"/>
        <w:szCs w:val="22"/>
        <w:u w:val="none"/>
      </w:rPr>
    </w:lvl>
    <w:lvl w:ilvl="5">
      <w:start w:val="1"/>
      <w:numFmt w:val="lowerLetter"/>
      <w:lvlText w:val="%2)"/>
      <w:lvlJc w:val="left"/>
      <w:rPr>
        <w:rFonts w:ascii="Arial" w:hAnsi="Arial" w:cs="Arial"/>
        <w:b w:val="0"/>
        <w:bCs w:val="0"/>
        <w:i w:val="0"/>
        <w:iCs w:val="0"/>
        <w:smallCaps w:val="0"/>
        <w:strike w:val="0"/>
        <w:color w:val="000000"/>
        <w:spacing w:val="0"/>
        <w:w w:val="100"/>
        <w:position w:val="0"/>
        <w:sz w:val="22"/>
        <w:szCs w:val="22"/>
        <w:u w:val="none"/>
      </w:rPr>
    </w:lvl>
    <w:lvl w:ilvl="6">
      <w:start w:val="1"/>
      <w:numFmt w:val="lowerLetter"/>
      <w:lvlText w:val="%2)"/>
      <w:lvlJc w:val="left"/>
      <w:rPr>
        <w:rFonts w:ascii="Arial" w:hAnsi="Arial" w:cs="Arial"/>
        <w:b w:val="0"/>
        <w:bCs w:val="0"/>
        <w:i w:val="0"/>
        <w:iCs w:val="0"/>
        <w:smallCaps w:val="0"/>
        <w:strike w:val="0"/>
        <w:color w:val="000000"/>
        <w:spacing w:val="0"/>
        <w:w w:val="100"/>
        <w:position w:val="0"/>
        <w:sz w:val="22"/>
        <w:szCs w:val="22"/>
        <w:u w:val="none"/>
      </w:rPr>
    </w:lvl>
    <w:lvl w:ilvl="7">
      <w:start w:val="1"/>
      <w:numFmt w:val="lowerLetter"/>
      <w:lvlText w:val="%2)"/>
      <w:lvlJc w:val="left"/>
      <w:rPr>
        <w:rFonts w:ascii="Arial" w:hAnsi="Arial" w:cs="Arial"/>
        <w:b w:val="0"/>
        <w:bCs w:val="0"/>
        <w:i w:val="0"/>
        <w:iCs w:val="0"/>
        <w:smallCaps w:val="0"/>
        <w:strike w:val="0"/>
        <w:color w:val="000000"/>
        <w:spacing w:val="0"/>
        <w:w w:val="100"/>
        <w:position w:val="0"/>
        <w:sz w:val="22"/>
        <w:szCs w:val="22"/>
        <w:u w:val="none"/>
      </w:rPr>
    </w:lvl>
    <w:lvl w:ilvl="8">
      <w:start w:val="1"/>
      <w:numFmt w:val="lowerLetter"/>
      <w:lvlText w:val="%2)"/>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15:restartNumberingAfterBreak="0">
    <w:nsid w:val="00DF108D"/>
    <w:multiLevelType w:val="hybridMultilevel"/>
    <w:tmpl w:val="061A934C"/>
    <w:lvl w:ilvl="0" w:tplc="696E1924">
      <w:start w:val="1"/>
      <w:numFmt w:val="decimal"/>
      <w:lvlText w:val="%1."/>
      <w:lvlJc w:val="left"/>
      <w:pPr>
        <w:ind w:left="360" w:hanging="360"/>
      </w:pPr>
      <w:rPr>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04E43CAE"/>
    <w:multiLevelType w:val="hybridMultilevel"/>
    <w:tmpl w:val="DE10CB2A"/>
    <w:lvl w:ilvl="0" w:tplc="21AE9228">
      <w:start w:val="1"/>
      <w:numFmt w:val="bullet"/>
      <w:lvlText w:val=""/>
      <w:lvlJc w:val="center"/>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5E66EAB"/>
    <w:multiLevelType w:val="hybridMultilevel"/>
    <w:tmpl w:val="BA667026"/>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0A231F50"/>
    <w:multiLevelType w:val="hybridMultilevel"/>
    <w:tmpl w:val="B714090A"/>
    <w:lvl w:ilvl="0" w:tplc="969A0A9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377444"/>
    <w:multiLevelType w:val="hybridMultilevel"/>
    <w:tmpl w:val="6AFEED44"/>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06520E0"/>
    <w:multiLevelType w:val="hybridMultilevel"/>
    <w:tmpl w:val="F1E8E1C6"/>
    <w:lvl w:ilvl="0" w:tplc="021A2094">
      <w:start w:val="1"/>
      <w:numFmt w:val="bullet"/>
      <w:lvlText w:val=""/>
      <w:lvlJc w:val="left"/>
      <w:pPr>
        <w:ind w:left="4046"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0733B51"/>
    <w:multiLevelType w:val="hybridMultilevel"/>
    <w:tmpl w:val="4462F3E4"/>
    <w:lvl w:ilvl="0" w:tplc="8B34B1C8">
      <w:start w:val="1"/>
      <w:numFmt w:val="decimal"/>
      <w:lvlText w:val="%1."/>
      <w:lvlJc w:val="left"/>
      <w:pPr>
        <w:tabs>
          <w:tab w:val="num" w:pos="720"/>
        </w:tabs>
        <w:ind w:left="720" w:hanging="360"/>
      </w:pPr>
      <w:rPr>
        <w:rFonts w:cs="Times New Roman"/>
      </w:rPr>
    </w:lvl>
    <w:lvl w:ilvl="1" w:tplc="C4521A7C">
      <w:start w:val="1"/>
      <w:numFmt w:val="lowerLetter"/>
      <w:lvlText w:val="%2."/>
      <w:lvlJc w:val="left"/>
      <w:pPr>
        <w:tabs>
          <w:tab w:val="num" w:pos="1440"/>
        </w:tabs>
        <w:ind w:left="1440" w:hanging="360"/>
      </w:pPr>
      <w:rPr>
        <w:rFonts w:cs="Times New Roman"/>
      </w:rPr>
    </w:lvl>
    <w:lvl w:ilvl="2" w:tplc="644E7A9C">
      <w:start w:val="1"/>
      <w:numFmt w:val="lowerRoman"/>
      <w:lvlText w:val="%3."/>
      <w:lvlJc w:val="right"/>
      <w:pPr>
        <w:tabs>
          <w:tab w:val="num" w:pos="2160"/>
        </w:tabs>
        <w:ind w:left="2160" w:hanging="180"/>
      </w:pPr>
      <w:rPr>
        <w:rFonts w:cs="Times New Roman"/>
      </w:rPr>
    </w:lvl>
    <w:lvl w:ilvl="3" w:tplc="0DA82278">
      <w:start w:val="1"/>
      <w:numFmt w:val="decimal"/>
      <w:lvlText w:val="%4."/>
      <w:lvlJc w:val="left"/>
      <w:pPr>
        <w:tabs>
          <w:tab w:val="num" w:pos="2880"/>
        </w:tabs>
        <w:ind w:left="2880" w:hanging="360"/>
      </w:pPr>
      <w:rPr>
        <w:rFonts w:cs="Times New Roman"/>
      </w:rPr>
    </w:lvl>
    <w:lvl w:ilvl="4" w:tplc="C8CA6342">
      <w:start w:val="1"/>
      <w:numFmt w:val="lowerLetter"/>
      <w:lvlText w:val="%5."/>
      <w:lvlJc w:val="left"/>
      <w:pPr>
        <w:tabs>
          <w:tab w:val="num" w:pos="3600"/>
        </w:tabs>
        <w:ind w:left="3600" w:hanging="360"/>
      </w:pPr>
      <w:rPr>
        <w:rFonts w:cs="Times New Roman"/>
      </w:rPr>
    </w:lvl>
    <w:lvl w:ilvl="5" w:tplc="2F5E994C">
      <w:start w:val="1"/>
      <w:numFmt w:val="lowerRoman"/>
      <w:lvlText w:val="%6."/>
      <w:lvlJc w:val="right"/>
      <w:pPr>
        <w:tabs>
          <w:tab w:val="num" w:pos="4320"/>
        </w:tabs>
        <w:ind w:left="4320" w:hanging="180"/>
      </w:pPr>
      <w:rPr>
        <w:rFonts w:cs="Times New Roman"/>
      </w:rPr>
    </w:lvl>
    <w:lvl w:ilvl="6" w:tplc="71B22FE2">
      <w:start w:val="1"/>
      <w:numFmt w:val="decimal"/>
      <w:lvlText w:val="%7."/>
      <w:lvlJc w:val="left"/>
      <w:pPr>
        <w:tabs>
          <w:tab w:val="num" w:pos="5040"/>
        </w:tabs>
        <w:ind w:left="5040" w:hanging="360"/>
      </w:pPr>
      <w:rPr>
        <w:rFonts w:cs="Times New Roman"/>
      </w:rPr>
    </w:lvl>
    <w:lvl w:ilvl="7" w:tplc="4C888C14">
      <w:start w:val="1"/>
      <w:numFmt w:val="lowerLetter"/>
      <w:lvlText w:val="%8."/>
      <w:lvlJc w:val="left"/>
      <w:pPr>
        <w:tabs>
          <w:tab w:val="num" w:pos="5760"/>
        </w:tabs>
        <w:ind w:left="5760" w:hanging="360"/>
      </w:pPr>
      <w:rPr>
        <w:rFonts w:cs="Times New Roman"/>
      </w:rPr>
    </w:lvl>
    <w:lvl w:ilvl="8" w:tplc="3CB2CDC6">
      <w:start w:val="1"/>
      <w:numFmt w:val="lowerRoman"/>
      <w:lvlText w:val="%9."/>
      <w:lvlJc w:val="right"/>
      <w:pPr>
        <w:tabs>
          <w:tab w:val="num" w:pos="6480"/>
        </w:tabs>
        <w:ind w:left="6480" w:hanging="180"/>
      </w:pPr>
      <w:rPr>
        <w:rFonts w:cs="Times New Roman"/>
      </w:rPr>
    </w:lvl>
  </w:abstractNum>
  <w:abstractNum w:abstractNumId="8" w15:restartNumberingAfterBreak="0">
    <w:nsid w:val="13281073"/>
    <w:multiLevelType w:val="hybridMultilevel"/>
    <w:tmpl w:val="DDD86C74"/>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144541AC"/>
    <w:multiLevelType w:val="hybridMultilevel"/>
    <w:tmpl w:val="3C0284BE"/>
    <w:lvl w:ilvl="0" w:tplc="044AECAA">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10" w15:restartNumberingAfterBreak="0">
    <w:nsid w:val="152F6478"/>
    <w:multiLevelType w:val="hybridMultilevel"/>
    <w:tmpl w:val="2A9E56B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58C5C0F"/>
    <w:multiLevelType w:val="hybridMultilevel"/>
    <w:tmpl w:val="0024C5EC"/>
    <w:lvl w:ilvl="0" w:tplc="04150017">
      <w:start w:val="1"/>
      <w:numFmt w:val="lowerLetter"/>
      <w:lvlText w:val="%1)"/>
      <w:lvlJc w:val="left"/>
      <w:pPr>
        <w:ind w:left="2149" w:hanging="360"/>
      </w:p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12" w15:restartNumberingAfterBreak="0">
    <w:nsid w:val="199A55DD"/>
    <w:multiLevelType w:val="hybridMultilevel"/>
    <w:tmpl w:val="7758DAD4"/>
    <w:lvl w:ilvl="0" w:tplc="9A30B97E">
      <w:start w:val="1"/>
      <w:numFmt w:val="decimal"/>
      <w:lvlText w:val="%1."/>
      <w:lvlJc w:val="left"/>
      <w:pPr>
        <w:ind w:left="720" w:hanging="360"/>
      </w:pPr>
      <w:rPr>
        <w:rFonts w:ascii="Lato" w:hAnsi="Lato"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722736"/>
    <w:multiLevelType w:val="hybridMultilevel"/>
    <w:tmpl w:val="8D86F76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 w15:restartNumberingAfterBreak="0">
    <w:nsid w:val="1FD97E34"/>
    <w:multiLevelType w:val="hybridMultilevel"/>
    <w:tmpl w:val="F0381CE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20FF1D83"/>
    <w:multiLevelType w:val="hybridMultilevel"/>
    <w:tmpl w:val="A0AED7C6"/>
    <w:lvl w:ilvl="0" w:tplc="044AECAA">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6" w15:restartNumberingAfterBreak="0">
    <w:nsid w:val="26220F5E"/>
    <w:multiLevelType w:val="hybridMultilevel"/>
    <w:tmpl w:val="54640F68"/>
    <w:lvl w:ilvl="0" w:tplc="5CE6421C">
      <w:start w:val="1"/>
      <w:numFmt w:val="decimal"/>
      <w:lvlText w:val="%1."/>
      <w:lvlJc w:val="left"/>
      <w:pPr>
        <w:tabs>
          <w:tab w:val="num" w:pos="720"/>
        </w:tabs>
        <w:ind w:left="720" w:hanging="360"/>
      </w:pPr>
      <w:rPr>
        <w:rFonts w:cs="Times New Roman"/>
      </w:rPr>
    </w:lvl>
    <w:lvl w:ilvl="1" w:tplc="A09037BA">
      <w:start w:val="1"/>
      <w:numFmt w:val="lowerLetter"/>
      <w:lvlText w:val="%2."/>
      <w:lvlJc w:val="left"/>
      <w:pPr>
        <w:tabs>
          <w:tab w:val="num" w:pos="1440"/>
        </w:tabs>
        <w:ind w:left="1440" w:hanging="360"/>
      </w:pPr>
      <w:rPr>
        <w:rFonts w:cs="Times New Roman"/>
      </w:rPr>
    </w:lvl>
    <w:lvl w:ilvl="2" w:tplc="67F81406">
      <w:start w:val="1"/>
      <w:numFmt w:val="lowerRoman"/>
      <w:lvlText w:val="%3."/>
      <w:lvlJc w:val="right"/>
      <w:pPr>
        <w:tabs>
          <w:tab w:val="num" w:pos="2160"/>
        </w:tabs>
        <w:ind w:left="2160" w:hanging="180"/>
      </w:pPr>
      <w:rPr>
        <w:rFonts w:cs="Times New Roman"/>
      </w:rPr>
    </w:lvl>
    <w:lvl w:ilvl="3" w:tplc="B2F6326C">
      <w:start w:val="1"/>
      <w:numFmt w:val="decimal"/>
      <w:lvlText w:val="%4."/>
      <w:lvlJc w:val="left"/>
      <w:pPr>
        <w:tabs>
          <w:tab w:val="num" w:pos="2880"/>
        </w:tabs>
        <w:ind w:left="2880" w:hanging="360"/>
      </w:pPr>
      <w:rPr>
        <w:rFonts w:cs="Times New Roman"/>
      </w:rPr>
    </w:lvl>
    <w:lvl w:ilvl="4" w:tplc="D4427742">
      <w:start w:val="1"/>
      <w:numFmt w:val="lowerLetter"/>
      <w:lvlText w:val="%5."/>
      <w:lvlJc w:val="left"/>
      <w:pPr>
        <w:tabs>
          <w:tab w:val="num" w:pos="3600"/>
        </w:tabs>
        <w:ind w:left="3600" w:hanging="360"/>
      </w:pPr>
      <w:rPr>
        <w:rFonts w:cs="Times New Roman"/>
      </w:rPr>
    </w:lvl>
    <w:lvl w:ilvl="5" w:tplc="8EB07EEA">
      <w:start w:val="1"/>
      <w:numFmt w:val="lowerRoman"/>
      <w:lvlText w:val="%6."/>
      <w:lvlJc w:val="right"/>
      <w:pPr>
        <w:tabs>
          <w:tab w:val="num" w:pos="4320"/>
        </w:tabs>
        <w:ind w:left="4320" w:hanging="180"/>
      </w:pPr>
      <w:rPr>
        <w:rFonts w:cs="Times New Roman"/>
      </w:rPr>
    </w:lvl>
    <w:lvl w:ilvl="6" w:tplc="50EE154C">
      <w:start w:val="1"/>
      <w:numFmt w:val="decimal"/>
      <w:lvlText w:val="%7."/>
      <w:lvlJc w:val="left"/>
      <w:pPr>
        <w:tabs>
          <w:tab w:val="num" w:pos="5040"/>
        </w:tabs>
        <w:ind w:left="5040" w:hanging="360"/>
      </w:pPr>
      <w:rPr>
        <w:rFonts w:cs="Times New Roman"/>
      </w:rPr>
    </w:lvl>
    <w:lvl w:ilvl="7" w:tplc="77C8BED4">
      <w:start w:val="1"/>
      <w:numFmt w:val="lowerLetter"/>
      <w:lvlText w:val="%8."/>
      <w:lvlJc w:val="left"/>
      <w:pPr>
        <w:tabs>
          <w:tab w:val="num" w:pos="5760"/>
        </w:tabs>
        <w:ind w:left="5760" w:hanging="360"/>
      </w:pPr>
      <w:rPr>
        <w:rFonts w:cs="Times New Roman"/>
      </w:rPr>
    </w:lvl>
    <w:lvl w:ilvl="8" w:tplc="84F87D24">
      <w:start w:val="1"/>
      <w:numFmt w:val="lowerRoman"/>
      <w:lvlText w:val="%9."/>
      <w:lvlJc w:val="right"/>
      <w:pPr>
        <w:tabs>
          <w:tab w:val="num" w:pos="6480"/>
        </w:tabs>
        <w:ind w:left="6480" w:hanging="180"/>
      </w:pPr>
      <w:rPr>
        <w:rFonts w:cs="Times New Roman"/>
      </w:rPr>
    </w:lvl>
  </w:abstractNum>
  <w:abstractNum w:abstractNumId="17" w15:restartNumberingAfterBreak="0">
    <w:nsid w:val="30B42A26"/>
    <w:multiLevelType w:val="hybridMultilevel"/>
    <w:tmpl w:val="AEB84964"/>
    <w:lvl w:ilvl="0" w:tplc="16BC7078">
      <w:start w:val="1"/>
      <w:numFmt w:val="decimal"/>
      <w:lvlText w:val="%1."/>
      <w:lvlJc w:val="left"/>
      <w:pPr>
        <w:ind w:left="360" w:hanging="360"/>
      </w:pPr>
      <w:rPr>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3BC245C4"/>
    <w:multiLevelType w:val="hybridMultilevel"/>
    <w:tmpl w:val="120230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DDA23FE"/>
    <w:multiLevelType w:val="hybridMultilevel"/>
    <w:tmpl w:val="8AB47EE2"/>
    <w:lvl w:ilvl="0" w:tplc="3AA4218A">
      <w:start w:val="1"/>
      <w:numFmt w:val="decimal"/>
      <w:lvlText w:val="%1."/>
      <w:lvlJc w:val="left"/>
      <w:pPr>
        <w:ind w:left="720" w:hanging="360"/>
      </w:pPr>
      <w:rPr>
        <w:rFonts w:ascii="Lato" w:hAnsi="Lato"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281EDC"/>
    <w:multiLevelType w:val="hybridMultilevel"/>
    <w:tmpl w:val="A0429F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1C5F7A"/>
    <w:multiLevelType w:val="hybridMultilevel"/>
    <w:tmpl w:val="25FC92F2"/>
    <w:lvl w:ilvl="0" w:tplc="0415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44233234"/>
    <w:multiLevelType w:val="hybridMultilevel"/>
    <w:tmpl w:val="780E375C"/>
    <w:lvl w:ilvl="0" w:tplc="044AECA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4541107C"/>
    <w:multiLevelType w:val="hybridMultilevel"/>
    <w:tmpl w:val="236AECB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46404337"/>
    <w:multiLevelType w:val="hybridMultilevel"/>
    <w:tmpl w:val="B3DEBB52"/>
    <w:lvl w:ilvl="0" w:tplc="C44C50AA">
      <w:start w:val="1"/>
      <w:numFmt w:val="decimal"/>
      <w:lvlText w:val="%1."/>
      <w:lvlJc w:val="left"/>
      <w:pPr>
        <w:ind w:left="927" w:hanging="360"/>
      </w:pPr>
      <w:rPr>
        <w:b w:val="0"/>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5" w15:restartNumberingAfterBreak="0">
    <w:nsid w:val="472347B4"/>
    <w:multiLevelType w:val="hybridMultilevel"/>
    <w:tmpl w:val="F8D0F6E6"/>
    <w:lvl w:ilvl="0" w:tplc="04150017">
      <w:start w:val="1"/>
      <w:numFmt w:val="lowerLetter"/>
      <w:lvlText w:val="%1)"/>
      <w:lvlJc w:val="left"/>
      <w:pPr>
        <w:ind w:left="1284" w:hanging="360"/>
      </w:pPr>
    </w:lvl>
    <w:lvl w:ilvl="1" w:tplc="04150019" w:tentative="1">
      <w:start w:val="1"/>
      <w:numFmt w:val="lowerLetter"/>
      <w:lvlText w:val="%2."/>
      <w:lvlJc w:val="left"/>
      <w:pPr>
        <w:ind w:left="2004" w:hanging="360"/>
      </w:pPr>
    </w:lvl>
    <w:lvl w:ilvl="2" w:tplc="0415001B" w:tentative="1">
      <w:start w:val="1"/>
      <w:numFmt w:val="lowerRoman"/>
      <w:lvlText w:val="%3."/>
      <w:lvlJc w:val="right"/>
      <w:pPr>
        <w:ind w:left="2724" w:hanging="180"/>
      </w:pPr>
    </w:lvl>
    <w:lvl w:ilvl="3" w:tplc="0415000F" w:tentative="1">
      <w:start w:val="1"/>
      <w:numFmt w:val="decimal"/>
      <w:lvlText w:val="%4."/>
      <w:lvlJc w:val="left"/>
      <w:pPr>
        <w:ind w:left="3444" w:hanging="360"/>
      </w:pPr>
    </w:lvl>
    <w:lvl w:ilvl="4" w:tplc="04150019" w:tentative="1">
      <w:start w:val="1"/>
      <w:numFmt w:val="lowerLetter"/>
      <w:lvlText w:val="%5."/>
      <w:lvlJc w:val="left"/>
      <w:pPr>
        <w:ind w:left="4164" w:hanging="360"/>
      </w:pPr>
    </w:lvl>
    <w:lvl w:ilvl="5" w:tplc="0415001B" w:tentative="1">
      <w:start w:val="1"/>
      <w:numFmt w:val="lowerRoman"/>
      <w:lvlText w:val="%6."/>
      <w:lvlJc w:val="right"/>
      <w:pPr>
        <w:ind w:left="4884" w:hanging="180"/>
      </w:pPr>
    </w:lvl>
    <w:lvl w:ilvl="6" w:tplc="0415000F" w:tentative="1">
      <w:start w:val="1"/>
      <w:numFmt w:val="decimal"/>
      <w:lvlText w:val="%7."/>
      <w:lvlJc w:val="left"/>
      <w:pPr>
        <w:ind w:left="5604" w:hanging="360"/>
      </w:pPr>
    </w:lvl>
    <w:lvl w:ilvl="7" w:tplc="04150019" w:tentative="1">
      <w:start w:val="1"/>
      <w:numFmt w:val="lowerLetter"/>
      <w:lvlText w:val="%8."/>
      <w:lvlJc w:val="left"/>
      <w:pPr>
        <w:ind w:left="6324" w:hanging="360"/>
      </w:pPr>
    </w:lvl>
    <w:lvl w:ilvl="8" w:tplc="0415001B" w:tentative="1">
      <w:start w:val="1"/>
      <w:numFmt w:val="lowerRoman"/>
      <w:lvlText w:val="%9."/>
      <w:lvlJc w:val="right"/>
      <w:pPr>
        <w:ind w:left="7044" w:hanging="180"/>
      </w:pPr>
    </w:lvl>
  </w:abstractNum>
  <w:abstractNum w:abstractNumId="26" w15:restartNumberingAfterBreak="0">
    <w:nsid w:val="47281746"/>
    <w:multiLevelType w:val="hybridMultilevel"/>
    <w:tmpl w:val="36B2DD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DFD2832"/>
    <w:multiLevelType w:val="hybridMultilevel"/>
    <w:tmpl w:val="AA700964"/>
    <w:lvl w:ilvl="0" w:tplc="86BA2ACC">
      <w:start w:val="1"/>
      <w:numFmt w:val="decimal"/>
      <w:lvlText w:val="%1."/>
      <w:lvlJc w:val="left"/>
      <w:pPr>
        <w:ind w:left="360" w:hanging="360"/>
      </w:pPr>
      <w:rPr>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8" w15:restartNumberingAfterBreak="0">
    <w:nsid w:val="4EEA2392"/>
    <w:multiLevelType w:val="hybridMultilevel"/>
    <w:tmpl w:val="23524A58"/>
    <w:lvl w:ilvl="0" w:tplc="838C0EA8">
      <w:start w:val="1"/>
      <w:numFmt w:val="upperRoman"/>
      <w:lvlText w:val="%1."/>
      <w:lvlJc w:val="righ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61821177"/>
    <w:multiLevelType w:val="hybridMultilevel"/>
    <w:tmpl w:val="25FC92F2"/>
    <w:lvl w:ilvl="0" w:tplc="0415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6353260A"/>
    <w:multiLevelType w:val="hybridMultilevel"/>
    <w:tmpl w:val="120230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4C7048E"/>
    <w:multiLevelType w:val="hybridMultilevel"/>
    <w:tmpl w:val="32042D66"/>
    <w:lvl w:ilvl="0" w:tplc="69C89C64">
      <w:start w:val="1"/>
      <w:numFmt w:val="bullet"/>
      <w:lvlText w:val=""/>
      <w:lvlJc w:val="left"/>
      <w:pPr>
        <w:ind w:left="720" w:hanging="360"/>
      </w:pPr>
      <w:rPr>
        <w:rFonts w:ascii="Symbol" w:hAnsi="Symbol" w:hint="default"/>
        <w:vertAlign w:val="baseline"/>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6A482439"/>
    <w:multiLevelType w:val="hybridMultilevel"/>
    <w:tmpl w:val="E7B81E74"/>
    <w:lvl w:ilvl="0" w:tplc="B604696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1A473B2"/>
    <w:multiLevelType w:val="hybridMultilevel"/>
    <w:tmpl w:val="BF90782A"/>
    <w:lvl w:ilvl="0" w:tplc="C2B0668E">
      <w:start w:val="1"/>
      <w:numFmt w:val="decimal"/>
      <w:lvlText w:val="%1."/>
      <w:lvlJc w:val="left"/>
      <w:pPr>
        <w:ind w:left="360" w:hanging="360"/>
      </w:pPr>
    </w:lvl>
    <w:lvl w:ilvl="1" w:tplc="CD0A7930">
      <w:start w:val="1"/>
      <w:numFmt w:val="lowerLetter"/>
      <w:lvlText w:val="%2."/>
      <w:lvlJc w:val="left"/>
      <w:pPr>
        <w:ind w:left="1080" w:hanging="360"/>
      </w:pPr>
    </w:lvl>
    <w:lvl w:ilvl="2" w:tplc="B1DA8AFC">
      <w:start w:val="1"/>
      <w:numFmt w:val="lowerRoman"/>
      <w:lvlText w:val="%3."/>
      <w:lvlJc w:val="right"/>
      <w:pPr>
        <w:ind w:left="1800" w:hanging="180"/>
      </w:pPr>
    </w:lvl>
    <w:lvl w:ilvl="3" w:tplc="915266FC">
      <w:start w:val="1"/>
      <w:numFmt w:val="decimal"/>
      <w:lvlText w:val="%4."/>
      <w:lvlJc w:val="left"/>
      <w:pPr>
        <w:ind w:left="2520" w:hanging="360"/>
      </w:pPr>
    </w:lvl>
    <w:lvl w:ilvl="4" w:tplc="538EFD38">
      <w:start w:val="1"/>
      <w:numFmt w:val="lowerLetter"/>
      <w:lvlText w:val="%5."/>
      <w:lvlJc w:val="left"/>
      <w:pPr>
        <w:ind w:left="3240" w:hanging="360"/>
      </w:pPr>
    </w:lvl>
    <w:lvl w:ilvl="5" w:tplc="E17A8990">
      <w:start w:val="1"/>
      <w:numFmt w:val="lowerRoman"/>
      <w:lvlText w:val="%6."/>
      <w:lvlJc w:val="right"/>
      <w:pPr>
        <w:ind w:left="3960" w:hanging="180"/>
      </w:pPr>
    </w:lvl>
    <w:lvl w:ilvl="6" w:tplc="D486CD9C">
      <w:start w:val="1"/>
      <w:numFmt w:val="decimal"/>
      <w:lvlText w:val="%7."/>
      <w:lvlJc w:val="left"/>
      <w:pPr>
        <w:ind w:left="4680" w:hanging="360"/>
      </w:pPr>
    </w:lvl>
    <w:lvl w:ilvl="7" w:tplc="648E2024">
      <w:start w:val="1"/>
      <w:numFmt w:val="lowerLetter"/>
      <w:lvlText w:val="%8."/>
      <w:lvlJc w:val="left"/>
      <w:pPr>
        <w:ind w:left="5400" w:hanging="360"/>
      </w:pPr>
    </w:lvl>
    <w:lvl w:ilvl="8" w:tplc="68F6292E">
      <w:start w:val="1"/>
      <w:numFmt w:val="lowerRoman"/>
      <w:lvlText w:val="%9."/>
      <w:lvlJc w:val="right"/>
      <w:pPr>
        <w:ind w:left="6120" w:hanging="180"/>
      </w:pPr>
    </w:lvl>
  </w:abstractNum>
  <w:abstractNum w:abstractNumId="34" w15:restartNumberingAfterBreak="0">
    <w:nsid w:val="73BF2A36"/>
    <w:multiLevelType w:val="hybridMultilevel"/>
    <w:tmpl w:val="E4B8010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7844719"/>
    <w:multiLevelType w:val="hybridMultilevel"/>
    <w:tmpl w:val="29C60EB6"/>
    <w:lvl w:ilvl="0" w:tplc="3DECE30E">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6" w15:restartNumberingAfterBreak="0">
    <w:nsid w:val="788309CF"/>
    <w:multiLevelType w:val="hybridMultilevel"/>
    <w:tmpl w:val="7F569ED2"/>
    <w:lvl w:ilvl="0" w:tplc="7F2C40DA">
      <w:start w:val="1"/>
      <w:numFmt w:val="decimal"/>
      <w:lvlText w:val="%1."/>
      <w:lvlJc w:val="left"/>
      <w:pPr>
        <w:tabs>
          <w:tab w:val="num" w:pos="360"/>
        </w:tabs>
        <w:ind w:left="360" w:hanging="360"/>
      </w:pPr>
      <w:rPr>
        <w:b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num w:numId="1" w16cid:durableId="1518758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7397797">
    <w:abstractNumId w:val="7"/>
  </w:num>
  <w:num w:numId="3" w16cid:durableId="1904678012">
    <w:abstractNumId w:val="10"/>
  </w:num>
  <w:num w:numId="4" w16cid:durableId="604114120">
    <w:abstractNumId w:val="33"/>
  </w:num>
  <w:num w:numId="5" w16cid:durableId="1346395448">
    <w:abstractNumId w:val="21"/>
  </w:num>
  <w:num w:numId="6" w16cid:durableId="1718432802">
    <w:abstractNumId w:val="29"/>
  </w:num>
  <w:num w:numId="7" w16cid:durableId="1072391146">
    <w:abstractNumId w:val="17"/>
  </w:num>
  <w:num w:numId="8" w16cid:durableId="20709616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3905965">
    <w:abstractNumId w:val="12"/>
  </w:num>
  <w:num w:numId="10" w16cid:durableId="750810747">
    <w:abstractNumId w:val="32"/>
  </w:num>
  <w:num w:numId="11" w16cid:durableId="6232758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8337881">
    <w:abstractNumId w:val="31"/>
  </w:num>
  <w:num w:numId="13" w16cid:durableId="955331902">
    <w:abstractNumId w:val="2"/>
  </w:num>
  <w:num w:numId="14" w16cid:durableId="14144296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099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01389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2913469">
    <w:abstractNumId w:val="1"/>
  </w:num>
  <w:num w:numId="18" w16cid:durableId="774178579">
    <w:abstractNumId w:val="5"/>
  </w:num>
  <w:num w:numId="19" w16cid:durableId="1882477072">
    <w:abstractNumId w:val="3"/>
  </w:num>
  <w:num w:numId="20" w16cid:durableId="593704134">
    <w:abstractNumId w:val="24"/>
  </w:num>
  <w:num w:numId="21" w16cid:durableId="1374380200">
    <w:abstractNumId w:val="26"/>
  </w:num>
  <w:num w:numId="22" w16cid:durableId="2023318410">
    <w:abstractNumId w:val="30"/>
  </w:num>
  <w:num w:numId="23" w16cid:durableId="299119024">
    <w:abstractNumId w:val="34"/>
  </w:num>
  <w:num w:numId="24" w16cid:durableId="181941832">
    <w:abstractNumId w:val="9"/>
  </w:num>
  <w:num w:numId="25" w16cid:durableId="1305047012">
    <w:abstractNumId w:val="20"/>
  </w:num>
  <w:num w:numId="26" w16cid:durableId="273679467">
    <w:abstractNumId w:val="15"/>
  </w:num>
  <w:num w:numId="27" w16cid:durableId="659696265">
    <w:abstractNumId w:val="11"/>
  </w:num>
  <w:num w:numId="28" w16cid:durableId="805050439">
    <w:abstractNumId w:val="14"/>
  </w:num>
  <w:num w:numId="29" w16cid:durableId="1921404725">
    <w:abstractNumId w:val="19"/>
  </w:num>
  <w:num w:numId="30" w16cid:durableId="1362391177">
    <w:abstractNumId w:val="35"/>
  </w:num>
  <w:num w:numId="31" w16cid:durableId="625042912">
    <w:abstractNumId w:val="18"/>
  </w:num>
  <w:num w:numId="32" w16cid:durableId="288585617">
    <w:abstractNumId w:val="22"/>
  </w:num>
  <w:num w:numId="33" w16cid:durableId="179130083">
    <w:abstractNumId w:val="6"/>
  </w:num>
  <w:num w:numId="34" w16cid:durableId="853110464">
    <w:abstractNumId w:val="4"/>
  </w:num>
  <w:num w:numId="35" w16cid:durableId="1861963992">
    <w:abstractNumId w:val="0"/>
  </w:num>
  <w:num w:numId="36" w16cid:durableId="118299783">
    <w:abstractNumId w:val="8"/>
  </w:num>
  <w:num w:numId="37" w16cid:durableId="1762529258">
    <w:abstractNumId w:val="23"/>
  </w:num>
  <w:num w:numId="38" w16cid:durableId="197219991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C7"/>
    <w:rsid w:val="00002B25"/>
    <w:rsid w:val="00004853"/>
    <w:rsid w:val="0001348D"/>
    <w:rsid w:val="000174DB"/>
    <w:rsid w:val="00022DAF"/>
    <w:rsid w:val="0003728F"/>
    <w:rsid w:val="00044EDE"/>
    <w:rsid w:val="00045903"/>
    <w:rsid w:val="000469C1"/>
    <w:rsid w:val="00050ABE"/>
    <w:rsid w:val="00050F14"/>
    <w:rsid w:val="00055EA9"/>
    <w:rsid w:val="00061C2C"/>
    <w:rsid w:val="00062D49"/>
    <w:rsid w:val="000801EE"/>
    <w:rsid w:val="00086BE6"/>
    <w:rsid w:val="00086CA9"/>
    <w:rsid w:val="0009148A"/>
    <w:rsid w:val="000951B7"/>
    <w:rsid w:val="0009666A"/>
    <w:rsid w:val="00096EE1"/>
    <w:rsid w:val="000A2F59"/>
    <w:rsid w:val="000A4DE4"/>
    <w:rsid w:val="000A536E"/>
    <w:rsid w:val="000C28DA"/>
    <w:rsid w:val="000C3941"/>
    <w:rsid w:val="000C6599"/>
    <w:rsid w:val="000D5ACE"/>
    <w:rsid w:val="000D7BED"/>
    <w:rsid w:val="000E4932"/>
    <w:rsid w:val="000F35D5"/>
    <w:rsid w:val="000F79A1"/>
    <w:rsid w:val="00100763"/>
    <w:rsid w:val="00103C50"/>
    <w:rsid w:val="0012069E"/>
    <w:rsid w:val="001214A2"/>
    <w:rsid w:val="00122D7F"/>
    <w:rsid w:val="00131C4C"/>
    <w:rsid w:val="00135594"/>
    <w:rsid w:val="00146EAC"/>
    <w:rsid w:val="001519B7"/>
    <w:rsid w:val="0016557B"/>
    <w:rsid w:val="00166598"/>
    <w:rsid w:val="00174E67"/>
    <w:rsid w:val="00175037"/>
    <w:rsid w:val="001C1AB3"/>
    <w:rsid w:val="001C2DF4"/>
    <w:rsid w:val="001C3000"/>
    <w:rsid w:val="001C7CDF"/>
    <w:rsid w:val="001C7EB7"/>
    <w:rsid w:val="001D234B"/>
    <w:rsid w:val="001E03A0"/>
    <w:rsid w:val="001E095B"/>
    <w:rsid w:val="001E793D"/>
    <w:rsid w:val="001F0180"/>
    <w:rsid w:val="001F2DBC"/>
    <w:rsid w:val="00207594"/>
    <w:rsid w:val="0021090E"/>
    <w:rsid w:val="002125F0"/>
    <w:rsid w:val="00215A29"/>
    <w:rsid w:val="002205E8"/>
    <w:rsid w:val="0024419F"/>
    <w:rsid w:val="00245F72"/>
    <w:rsid w:val="00257DC5"/>
    <w:rsid w:val="00286850"/>
    <w:rsid w:val="0028708C"/>
    <w:rsid w:val="0029222A"/>
    <w:rsid w:val="00295816"/>
    <w:rsid w:val="0029758C"/>
    <w:rsid w:val="002A155F"/>
    <w:rsid w:val="002A4029"/>
    <w:rsid w:val="002B3886"/>
    <w:rsid w:val="002C1C5B"/>
    <w:rsid w:val="002D006C"/>
    <w:rsid w:val="002D3BFD"/>
    <w:rsid w:val="002D74D1"/>
    <w:rsid w:val="002E0A79"/>
    <w:rsid w:val="002E58B9"/>
    <w:rsid w:val="002F255B"/>
    <w:rsid w:val="003202F2"/>
    <w:rsid w:val="0032059E"/>
    <w:rsid w:val="003246BE"/>
    <w:rsid w:val="0032754C"/>
    <w:rsid w:val="003301B3"/>
    <w:rsid w:val="00337705"/>
    <w:rsid w:val="003405EA"/>
    <w:rsid w:val="003439BE"/>
    <w:rsid w:val="00362D1A"/>
    <w:rsid w:val="003700EE"/>
    <w:rsid w:val="00370924"/>
    <w:rsid w:val="003808F6"/>
    <w:rsid w:val="00382A30"/>
    <w:rsid w:val="003917B2"/>
    <w:rsid w:val="00394EF1"/>
    <w:rsid w:val="003A41B0"/>
    <w:rsid w:val="003B2B91"/>
    <w:rsid w:val="003B572F"/>
    <w:rsid w:val="003B655F"/>
    <w:rsid w:val="003C428B"/>
    <w:rsid w:val="003C4F6B"/>
    <w:rsid w:val="003D64CB"/>
    <w:rsid w:val="003D6BB5"/>
    <w:rsid w:val="00405F40"/>
    <w:rsid w:val="00410928"/>
    <w:rsid w:val="004110D9"/>
    <w:rsid w:val="00431E38"/>
    <w:rsid w:val="00433A0F"/>
    <w:rsid w:val="0043486B"/>
    <w:rsid w:val="00436B08"/>
    <w:rsid w:val="004371AB"/>
    <w:rsid w:val="004406DA"/>
    <w:rsid w:val="00453ACC"/>
    <w:rsid w:val="0046191E"/>
    <w:rsid w:val="00473472"/>
    <w:rsid w:val="00484C96"/>
    <w:rsid w:val="00490234"/>
    <w:rsid w:val="004A3B18"/>
    <w:rsid w:val="004A6DD2"/>
    <w:rsid w:val="004B0ED4"/>
    <w:rsid w:val="004C1131"/>
    <w:rsid w:val="004D1790"/>
    <w:rsid w:val="004E3CF4"/>
    <w:rsid w:val="004E5437"/>
    <w:rsid w:val="004E55CB"/>
    <w:rsid w:val="004F365E"/>
    <w:rsid w:val="004F63AB"/>
    <w:rsid w:val="004F7255"/>
    <w:rsid w:val="00501DBB"/>
    <w:rsid w:val="00501E7A"/>
    <w:rsid w:val="00515D19"/>
    <w:rsid w:val="0052081C"/>
    <w:rsid w:val="00531F8B"/>
    <w:rsid w:val="005321C5"/>
    <w:rsid w:val="00532BCD"/>
    <w:rsid w:val="0053644A"/>
    <w:rsid w:val="00536458"/>
    <w:rsid w:val="00545006"/>
    <w:rsid w:val="005461BF"/>
    <w:rsid w:val="00547182"/>
    <w:rsid w:val="00553E83"/>
    <w:rsid w:val="00554FC4"/>
    <w:rsid w:val="00563539"/>
    <w:rsid w:val="00571C51"/>
    <w:rsid w:val="005729FD"/>
    <w:rsid w:val="00574BB7"/>
    <w:rsid w:val="00577C5E"/>
    <w:rsid w:val="00580654"/>
    <w:rsid w:val="00595105"/>
    <w:rsid w:val="005A5EEC"/>
    <w:rsid w:val="005B43E5"/>
    <w:rsid w:val="005C6539"/>
    <w:rsid w:val="005E22F5"/>
    <w:rsid w:val="005E60E3"/>
    <w:rsid w:val="005F0020"/>
    <w:rsid w:val="005F5826"/>
    <w:rsid w:val="00611824"/>
    <w:rsid w:val="00615443"/>
    <w:rsid w:val="00624E02"/>
    <w:rsid w:val="00630CD4"/>
    <w:rsid w:val="00637E4A"/>
    <w:rsid w:val="00656D8C"/>
    <w:rsid w:val="006607F2"/>
    <w:rsid w:val="00663B3B"/>
    <w:rsid w:val="00665EBB"/>
    <w:rsid w:val="00667B7F"/>
    <w:rsid w:val="006766E2"/>
    <w:rsid w:val="00685F27"/>
    <w:rsid w:val="00696BCF"/>
    <w:rsid w:val="006A6EAC"/>
    <w:rsid w:val="006D1AA9"/>
    <w:rsid w:val="006E3259"/>
    <w:rsid w:val="006F0F95"/>
    <w:rsid w:val="006F5B7A"/>
    <w:rsid w:val="00702970"/>
    <w:rsid w:val="00713FDF"/>
    <w:rsid w:val="00714123"/>
    <w:rsid w:val="00715DDF"/>
    <w:rsid w:val="0071799C"/>
    <w:rsid w:val="00726585"/>
    <w:rsid w:val="00731478"/>
    <w:rsid w:val="00734B44"/>
    <w:rsid w:val="007355AE"/>
    <w:rsid w:val="00736B1B"/>
    <w:rsid w:val="007510DB"/>
    <w:rsid w:val="00767B6A"/>
    <w:rsid w:val="00781B45"/>
    <w:rsid w:val="007904A6"/>
    <w:rsid w:val="007A5673"/>
    <w:rsid w:val="007A68DF"/>
    <w:rsid w:val="007B10C4"/>
    <w:rsid w:val="007B6B3B"/>
    <w:rsid w:val="007B6BFD"/>
    <w:rsid w:val="007E0CBE"/>
    <w:rsid w:val="007E26B5"/>
    <w:rsid w:val="007E4753"/>
    <w:rsid w:val="007E4DF7"/>
    <w:rsid w:val="007F6C9F"/>
    <w:rsid w:val="00800E08"/>
    <w:rsid w:val="00812A38"/>
    <w:rsid w:val="008221C7"/>
    <w:rsid w:val="00834719"/>
    <w:rsid w:val="0084576C"/>
    <w:rsid w:val="00847CB2"/>
    <w:rsid w:val="00852FE3"/>
    <w:rsid w:val="0086450C"/>
    <w:rsid w:val="008671DB"/>
    <w:rsid w:val="0087034F"/>
    <w:rsid w:val="00871DBE"/>
    <w:rsid w:val="00876DFA"/>
    <w:rsid w:val="00893F06"/>
    <w:rsid w:val="008A5B46"/>
    <w:rsid w:val="008B7B61"/>
    <w:rsid w:val="008C31F6"/>
    <w:rsid w:val="008E36A3"/>
    <w:rsid w:val="008E7075"/>
    <w:rsid w:val="008F4888"/>
    <w:rsid w:val="00904D22"/>
    <w:rsid w:val="00910E7C"/>
    <w:rsid w:val="00911D8F"/>
    <w:rsid w:val="009216D4"/>
    <w:rsid w:val="0095710A"/>
    <w:rsid w:val="009607B8"/>
    <w:rsid w:val="009650F2"/>
    <w:rsid w:val="009958E0"/>
    <w:rsid w:val="009A3F68"/>
    <w:rsid w:val="009A495B"/>
    <w:rsid w:val="009A5DAB"/>
    <w:rsid w:val="009A70FE"/>
    <w:rsid w:val="009C5C78"/>
    <w:rsid w:val="009C679D"/>
    <w:rsid w:val="009D508F"/>
    <w:rsid w:val="009E139B"/>
    <w:rsid w:val="009E6676"/>
    <w:rsid w:val="009F4392"/>
    <w:rsid w:val="00A01D29"/>
    <w:rsid w:val="00A10841"/>
    <w:rsid w:val="00A404E3"/>
    <w:rsid w:val="00A52418"/>
    <w:rsid w:val="00A57501"/>
    <w:rsid w:val="00A64EFD"/>
    <w:rsid w:val="00A65DA5"/>
    <w:rsid w:val="00A70BF1"/>
    <w:rsid w:val="00A72233"/>
    <w:rsid w:val="00A743A5"/>
    <w:rsid w:val="00A775EA"/>
    <w:rsid w:val="00A80BC8"/>
    <w:rsid w:val="00A8156F"/>
    <w:rsid w:val="00A82F78"/>
    <w:rsid w:val="00A90AB4"/>
    <w:rsid w:val="00A91BE1"/>
    <w:rsid w:val="00A94E60"/>
    <w:rsid w:val="00AA5C24"/>
    <w:rsid w:val="00AA5CE5"/>
    <w:rsid w:val="00AA6124"/>
    <w:rsid w:val="00AB0710"/>
    <w:rsid w:val="00AC7DFF"/>
    <w:rsid w:val="00AE5289"/>
    <w:rsid w:val="00AE776C"/>
    <w:rsid w:val="00AF3BB3"/>
    <w:rsid w:val="00B0293B"/>
    <w:rsid w:val="00B12196"/>
    <w:rsid w:val="00B14557"/>
    <w:rsid w:val="00B16A8D"/>
    <w:rsid w:val="00B260FD"/>
    <w:rsid w:val="00B26C1D"/>
    <w:rsid w:val="00B36A1C"/>
    <w:rsid w:val="00B547A0"/>
    <w:rsid w:val="00B61533"/>
    <w:rsid w:val="00B63E68"/>
    <w:rsid w:val="00B656D8"/>
    <w:rsid w:val="00B66170"/>
    <w:rsid w:val="00B75DDE"/>
    <w:rsid w:val="00B83F73"/>
    <w:rsid w:val="00B8507D"/>
    <w:rsid w:val="00BA0818"/>
    <w:rsid w:val="00BA20F7"/>
    <w:rsid w:val="00BA5D8A"/>
    <w:rsid w:val="00BB2410"/>
    <w:rsid w:val="00BC43AA"/>
    <w:rsid w:val="00BE32FF"/>
    <w:rsid w:val="00BE4034"/>
    <w:rsid w:val="00BE780C"/>
    <w:rsid w:val="00BE782A"/>
    <w:rsid w:val="00BF0AC4"/>
    <w:rsid w:val="00C00489"/>
    <w:rsid w:val="00C11CF3"/>
    <w:rsid w:val="00C157A3"/>
    <w:rsid w:val="00C1630E"/>
    <w:rsid w:val="00C204C1"/>
    <w:rsid w:val="00C24F12"/>
    <w:rsid w:val="00C27F9D"/>
    <w:rsid w:val="00C3321C"/>
    <w:rsid w:val="00C3364C"/>
    <w:rsid w:val="00C33652"/>
    <w:rsid w:val="00C47D14"/>
    <w:rsid w:val="00C52061"/>
    <w:rsid w:val="00C52974"/>
    <w:rsid w:val="00C54396"/>
    <w:rsid w:val="00C640AE"/>
    <w:rsid w:val="00C70011"/>
    <w:rsid w:val="00C77BAA"/>
    <w:rsid w:val="00C77DCE"/>
    <w:rsid w:val="00C80A48"/>
    <w:rsid w:val="00C8572F"/>
    <w:rsid w:val="00C949E3"/>
    <w:rsid w:val="00C96326"/>
    <w:rsid w:val="00C9689C"/>
    <w:rsid w:val="00CA302F"/>
    <w:rsid w:val="00CA30E2"/>
    <w:rsid w:val="00CB30AF"/>
    <w:rsid w:val="00CD5346"/>
    <w:rsid w:val="00CD5388"/>
    <w:rsid w:val="00CD7723"/>
    <w:rsid w:val="00CE0AD1"/>
    <w:rsid w:val="00CF0A97"/>
    <w:rsid w:val="00CF0E3A"/>
    <w:rsid w:val="00CF3748"/>
    <w:rsid w:val="00CF61A2"/>
    <w:rsid w:val="00D00A36"/>
    <w:rsid w:val="00D1254A"/>
    <w:rsid w:val="00D12E2A"/>
    <w:rsid w:val="00D15D63"/>
    <w:rsid w:val="00D26A27"/>
    <w:rsid w:val="00D33088"/>
    <w:rsid w:val="00D36A1E"/>
    <w:rsid w:val="00D46882"/>
    <w:rsid w:val="00D50FD1"/>
    <w:rsid w:val="00D52902"/>
    <w:rsid w:val="00D56AF1"/>
    <w:rsid w:val="00D600FF"/>
    <w:rsid w:val="00D61522"/>
    <w:rsid w:val="00D7130F"/>
    <w:rsid w:val="00D74D97"/>
    <w:rsid w:val="00D74F84"/>
    <w:rsid w:val="00D760E0"/>
    <w:rsid w:val="00D82A96"/>
    <w:rsid w:val="00D9428F"/>
    <w:rsid w:val="00D97FCB"/>
    <w:rsid w:val="00DA451D"/>
    <w:rsid w:val="00DB6AC2"/>
    <w:rsid w:val="00DC6F09"/>
    <w:rsid w:val="00DD234D"/>
    <w:rsid w:val="00DD57DB"/>
    <w:rsid w:val="00DE0A54"/>
    <w:rsid w:val="00DE7197"/>
    <w:rsid w:val="00DE7EED"/>
    <w:rsid w:val="00DF7F86"/>
    <w:rsid w:val="00E038CD"/>
    <w:rsid w:val="00E039A5"/>
    <w:rsid w:val="00E05941"/>
    <w:rsid w:val="00E23774"/>
    <w:rsid w:val="00E24B6C"/>
    <w:rsid w:val="00E3139D"/>
    <w:rsid w:val="00E3291F"/>
    <w:rsid w:val="00E40983"/>
    <w:rsid w:val="00E57B12"/>
    <w:rsid w:val="00E744D4"/>
    <w:rsid w:val="00E842A7"/>
    <w:rsid w:val="00E940E5"/>
    <w:rsid w:val="00E96A76"/>
    <w:rsid w:val="00E96C79"/>
    <w:rsid w:val="00E9746F"/>
    <w:rsid w:val="00EA1219"/>
    <w:rsid w:val="00EA2E36"/>
    <w:rsid w:val="00EB76B2"/>
    <w:rsid w:val="00EC036F"/>
    <w:rsid w:val="00EC60C4"/>
    <w:rsid w:val="00ED0851"/>
    <w:rsid w:val="00EE1B61"/>
    <w:rsid w:val="00EE1E13"/>
    <w:rsid w:val="00EF6217"/>
    <w:rsid w:val="00F0272F"/>
    <w:rsid w:val="00F1108B"/>
    <w:rsid w:val="00F12FC3"/>
    <w:rsid w:val="00F14ED0"/>
    <w:rsid w:val="00F2382E"/>
    <w:rsid w:val="00F25C3D"/>
    <w:rsid w:val="00F25DCB"/>
    <w:rsid w:val="00F3002C"/>
    <w:rsid w:val="00F4523F"/>
    <w:rsid w:val="00F4596E"/>
    <w:rsid w:val="00F5790C"/>
    <w:rsid w:val="00F67524"/>
    <w:rsid w:val="00F71824"/>
    <w:rsid w:val="00F8428A"/>
    <w:rsid w:val="00F84706"/>
    <w:rsid w:val="00F85409"/>
    <w:rsid w:val="00F94F2B"/>
    <w:rsid w:val="00FA714C"/>
    <w:rsid w:val="00FB17BA"/>
    <w:rsid w:val="00FB61EE"/>
    <w:rsid w:val="00FF216E"/>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2C634"/>
  <w15:docId w15:val="{30BBDEA7-6576-4948-A6A5-59FD9063D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050F14"/>
  </w:style>
  <w:style w:type="paragraph" w:styleId="Nagwek2">
    <w:name w:val="heading 2"/>
    <w:basedOn w:val="Normalny"/>
    <w:next w:val="Normalny"/>
    <w:link w:val="Nagwek2Znak"/>
    <w:uiPriority w:val="9"/>
    <w:semiHidden/>
    <w:unhideWhenUsed/>
    <w:qFormat/>
    <w:rsid w:val="003808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customStyle="1" w:styleId="Nierozpoznanawzmianka1">
    <w:name w:val="Nierozpoznana wzmianka1"/>
    <w:basedOn w:val="Domylnaczcionkaakapitu"/>
    <w:uiPriority w:val="99"/>
    <w:semiHidden/>
    <w:unhideWhenUsed/>
    <w:rsid w:val="00565D32"/>
    <w:rPr>
      <w:color w:val="605E5C"/>
      <w:shd w:val="clear" w:color="auto" w:fill="E1DFDD"/>
    </w:rPr>
  </w:style>
  <w:style w:type="paragraph" w:styleId="Poprawka">
    <w:name w:val="Revision"/>
    <w:hidden/>
    <w:uiPriority w:val="99"/>
    <w:semiHidden/>
    <w:rsid w:val="003B2B91"/>
    <w:pPr>
      <w:spacing w:after="0" w:line="240" w:lineRule="auto"/>
    </w:pPr>
  </w:style>
  <w:style w:type="character" w:styleId="Odwoaniedokomentarza">
    <w:name w:val="annotation reference"/>
    <w:basedOn w:val="Domylnaczcionkaakapitu"/>
    <w:uiPriority w:val="99"/>
    <w:semiHidden/>
    <w:unhideWhenUsed/>
    <w:rsid w:val="003B2B91"/>
    <w:rPr>
      <w:sz w:val="16"/>
      <w:szCs w:val="16"/>
    </w:rPr>
  </w:style>
  <w:style w:type="paragraph" w:styleId="Tekstkomentarza">
    <w:name w:val="annotation text"/>
    <w:basedOn w:val="Normalny"/>
    <w:link w:val="TekstkomentarzaZnak"/>
    <w:uiPriority w:val="99"/>
    <w:unhideWhenUsed/>
    <w:rsid w:val="003B2B91"/>
    <w:pPr>
      <w:spacing w:line="240" w:lineRule="auto"/>
    </w:pPr>
    <w:rPr>
      <w:sz w:val="20"/>
      <w:szCs w:val="20"/>
    </w:rPr>
  </w:style>
  <w:style w:type="character" w:customStyle="1" w:styleId="TekstkomentarzaZnak">
    <w:name w:val="Tekst komentarza Znak"/>
    <w:basedOn w:val="Domylnaczcionkaakapitu"/>
    <w:link w:val="Tekstkomentarza"/>
    <w:uiPriority w:val="99"/>
    <w:rsid w:val="003B2B91"/>
    <w:rPr>
      <w:sz w:val="20"/>
      <w:szCs w:val="20"/>
    </w:rPr>
  </w:style>
  <w:style w:type="paragraph" w:styleId="Tematkomentarza">
    <w:name w:val="annotation subject"/>
    <w:basedOn w:val="Tekstkomentarza"/>
    <w:next w:val="Tekstkomentarza"/>
    <w:link w:val="TematkomentarzaZnak"/>
    <w:uiPriority w:val="99"/>
    <w:semiHidden/>
    <w:unhideWhenUsed/>
    <w:rsid w:val="003B2B91"/>
    <w:rPr>
      <w:b/>
      <w:bCs/>
    </w:rPr>
  </w:style>
  <w:style w:type="character" w:customStyle="1" w:styleId="TematkomentarzaZnak">
    <w:name w:val="Temat komentarza Znak"/>
    <w:basedOn w:val="TekstkomentarzaZnak"/>
    <w:link w:val="Tematkomentarza"/>
    <w:uiPriority w:val="99"/>
    <w:semiHidden/>
    <w:rsid w:val="003B2B91"/>
    <w:rPr>
      <w:b/>
      <w:bCs/>
      <w:sz w:val="20"/>
      <w:szCs w:val="20"/>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B2B91"/>
    <w:pPr>
      <w:ind w:left="720"/>
      <w:contextualSpacing/>
    </w:p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2E58B9"/>
  </w:style>
  <w:style w:type="character" w:styleId="Nierozpoznanawzmianka">
    <w:name w:val="Unresolved Mention"/>
    <w:basedOn w:val="Domylnaczcionkaakapitu"/>
    <w:uiPriority w:val="99"/>
    <w:rsid w:val="00E842A7"/>
    <w:rPr>
      <w:color w:val="605E5C"/>
      <w:shd w:val="clear" w:color="auto" w:fill="E1DFDD"/>
    </w:rPr>
  </w:style>
  <w:style w:type="character" w:styleId="Odwoanieprzypisukocowego">
    <w:name w:val="endnote reference"/>
    <w:basedOn w:val="Domylnaczcionkaakapitu"/>
    <w:uiPriority w:val="99"/>
    <w:semiHidden/>
    <w:unhideWhenUsed/>
    <w:rsid w:val="00A52418"/>
    <w:rPr>
      <w:vertAlign w:val="superscript"/>
    </w:rPr>
  </w:style>
  <w:style w:type="character" w:customStyle="1" w:styleId="osrxxb">
    <w:name w:val="osrxxb"/>
    <w:basedOn w:val="Domylnaczcionkaakapitu"/>
    <w:rsid w:val="00D15D63"/>
  </w:style>
  <w:style w:type="character" w:customStyle="1" w:styleId="Nagwek2Znak">
    <w:name w:val="Nagłówek 2 Znak"/>
    <w:basedOn w:val="Domylnaczcionkaakapitu"/>
    <w:link w:val="Nagwek2"/>
    <w:uiPriority w:val="9"/>
    <w:semiHidden/>
    <w:rsid w:val="003808F6"/>
    <w:rPr>
      <w:rFonts w:asciiTheme="majorHAnsi" w:eastAsiaTheme="majorEastAsia" w:hAnsiTheme="majorHAnsi" w:cstheme="majorBidi"/>
      <w:color w:val="2E74B5" w:themeColor="accent1" w:themeShade="BF"/>
      <w:sz w:val="26"/>
      <w:szCs w:val="26"/>
    </w:rPr>
  </w:style>
  <w:style w:type="paragraph" w:styleId="Tekstprzypisukocowego">
    <w:name w:val="endnote text"/>
    <w:basedOn w:val="Normalny"/>
    <w:link w:val="TekstprzypisukocowegoZnak"/>
    <w:uiPriority w:val="99"/>
    <w:semiHidden/>
    <w:unhideWhenUsed/>
    <w:rsid w:val="006F5B7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F5B7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4235</Words>
  <Characters>25412</Characters>
  <Application>Microsoft Office Word</Application>
  <DocSecurity>0</DocSecurity>
  <Lines>211</Lines>
  <Paragraphs>59</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Nowakowski Adam</dc:creator>
  <cp:lastModifiedBy>Kalinowska Jolanta</cp:lastModifiedBy>
  <cp:revision>6</cp:revision>
  <cp:lastPrinted>2026-08-07T10:16:00Z</cp:lastPrinted>
  <dcterms:created xsi:type="dcterms:W3CDTF">2026-08-07T09:22:00Z</dcterms:created>
  <dcterms:modified xsi:type="dcterms:W3CDTF">2026-08-31T05:11:00Z</dcterms:modified>
</cp:coreProperties>
</file>