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3"/>
        </w:rPr>
        <w:t>PETYCJA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0"/>
        <w:jc w:val="left"/>
      </w:pPr>
      <w:r>
        <w:rPr>
          <w:rStyle w:val="CharStyle3"/>
        </w:rPr>
        <w:t>do Sejmu Rzeczypospolitej Polskiej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0"/>
        <w:jc w:val="left"/>
      </w:pPr>
      <w:r>
        <w:rPr>
          <w:rStyle w:val="CharStyle3"/>
        </w:rPr>
        <w:t>w sprawie: wykonania obowiązków wynikających z prawa Unii Europejskiej (CRMA), zapewnienia bezpieczeństwa surowcowego państwa, odblokowania polskiego potencjału geotermalnego i surowcowego oraz zaprzestania działań prowadzących do marnotrawstwa strategicznych zasobów węgla koksowego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0"/>
        <w:jc w:val="left"/>
      </w:pPr>
      <w:r>
        <w:rPr>
          <w:rStyle w:val="CharStyle3"/>
        </w:rPr>
        <w:t>My, niżej podpisani obywatele Rzeczypospolitej Polskiej, działając na podstawie art. 63 Konstytucji RP oraz ustawy z dnia 11 lipca 2014 r. o petycjach (Dz.U. 2014 poz. 1195), wnosimy o podjęcie przez Sejm RP działań określonych w części II niniejszej petycji.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0"/>
        <w:jc w:val="left"/>
      </w:pPr>
      <w:r>
        <w:rPr>
          <w:rStyle w:val="CharStyle3"/>
        </w:rPr>
        <w:t>Jednocześnie wskazujemy, że nieuwzględnienie niniejszej petycji w całości lub w części, bez wskazania w uzasadnieniu konkretnych, obiektywnych przeszkód prawnych, technicznych lub finansowych uniemożliwiających jej realizację, będzie stanowić naruszenie: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0"/>
        <w:jc w:val="left"/>
      </w:pPr>
      <w:r>
        <w:rPr>
          <w:rStyle w:val="CharStyle3"/>
        </w:rPr>
        <w:t>art. 63 Konstytucji RP (prawo do składania petycji),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0"/>
        <w:jc w:val="left"/>
      </w:pPr>
      <w:r>
        <w:rPr>
          <w:rStyle w:val="CharStyle3"/>
        </w:rPr>
        <w:t>art. 2 Konstytucji RP (zasada demokratycznego państwa prawnego),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0"/>
        <w:jc w:val="left"/>
      </w:pPr>
      <w:r>
        <w:rPr>
          <w:rStyle w:val="CharStyle3"/>
        </w:rPr>
        <w:t>art. 9 Konstytucji RP (obowiązek przestrzegania prawa międzynarodowego i unijnego),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319" w:lineRule="auto"/>
        <w:ind w:left="0" w:right="0" w:firstLine="0"/>
        <w:jc w:val="left"/>
      </w:pPr>
      <w:r>
        <w:rPr>
          <w:rStyle w:val="CharStyle3"/>
        </w:rPr>
        <w:t>ustawy z dnia 11 lipca 2014 r. o petycjach (obowiązek rozpatrzenia petycji w sposób rzetelny i niezwłoczny).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1" w:val="left"/>
        </w:tabs>
        <w:bidi w:val="0"/>
        <w:spacing w:before="0" w:after="120"/>
        <w:ind w:left="0" w:right="0" w:firstLine="0"/>
        <w:jc w:val="left"/>
      </w:pPr>
      <w:r>
        <w:rPr>
          <w:rStyle w:val="CharStyle3"/>
        </w:rPr>
        <w:t>UZASADNIENIE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8" w:val="left"/>
        </w:tabs>
        <w:bidi w:val="0"/>
        <w:spacing w:before="0" w:after="120" w:line="324" w:lineRule="auto"/>
        <w:ind w:left="0" w:right="0" w:firstLine="0"/>
        <w:jc w:val="left"/>
      </w:pPr>
      <w:r>
        <w:rPr>
          <w:rStyle w:val="CharStyle3"/>
        </w:rPr>
        <w:t>Bezpieczeństwo narodowe wymaga uniezależnienia się od importu surowców krytycznych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0"/>
        <w:jc w:val="left"/>
      </w:pPr>
      <w:r>
        <w:rPr>
          <w:rStyle w:val="CharStyle3"/>
        </w:rPr>
        <w:t>Polska posiada unikalne w skali Europy zasoby surowców krytycznych, od których zależy bezpieczeństwo państwa. Zgodnie z danymi Państwowego Instytutu Geologicznego – Państwowego Instytutu Badawczego (PIG-PIB) oraz raportami Unii Europejskiej: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790" w:val="left"/>
        </w:tabs>
        <w:bidi w:val="0"/>
        <w:spacing w:before="0" w:after="60" w:line="240" w:lineRule="auto"/>
        <w:ind w:left="0" w:right="0" w:firstLine="0"/>
        <w:jc w:val="left"/>
      </w:pPr>
      <w:r>
        <w:rPr>
          <w:rStyle w:val="CharStyle3"/>
        </w:rPr>
        <w:t>Surowiec Lokalizacja Znaczenie dla bezpieczeństwa narodowego</w:t>
        <w:tab/>
        <w:t>Obecne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3"/>
        </w:rPr>
        <w:t>wykorzystanie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3"/>
        </w:rPr>
        <w:t>Węgiel koksowy Górny Śląsk Największe w UE złoża. Niezbędny do produkcji stali dla przemysłu zbrojeniowego, motoryzacyjnego i budowlanego. Bez polskiego węgla koksowego nie ma polskiej stali, a bez stali – nie ma polskiej armii . Marnotrawstwo – spalany w elektrowniach zamiast przetwarzany na produkty wysokomarżowe. Spółka JSW, w której Skarb Państwa ma 55,16% akcji, odnotowała po trzech kwartałach 2025 r. 2,9 mld zł straty netto 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45" w:val="left"/>
        </w:tabs>
        <w:bidi w:val="0"/>
        <w:spacing w:before="0" w:after="0" w:line="324" w:lineRule="auto"/>
        <w:ind w:left="0" w:right="0" w:firstLine="0"/>
        <w:jc w:val="left"/>
      </w:pPr>
      <w:r>
        <w:rPr>
          <w:rStyle w:val="CharStyle3"/>
        </w:rPr>
        <w:t>Pierwiastki ziem rzadkich Krzemianki k. Suwałk</w:t>
        <w:tab/>
        <w:t>Tytan, wolfram, wanad –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324" w:lineRule="auto"/>
        <w:ind w:left="0" w:right="0" w:firstLine="0"/>
        <w:jc w:val="left"/>
      </w:pPr>
      <w:r>
        <w:rPr>
          <w:rStyle w:val="CharStyle3"/>
        </w:rPr>
        <w:t>kluczowe dla przemysłu obronnego (pancerze, rakiety, systemy naprowadzania). 95% importu tych surowców do UE pochodzi z Chin . Niewykorzystane – badania unijne z 2024 r. potwierdziły potencjał złoża, ale wyniki nie zostały opublikowane, a złoże nie zostało uznane za strategiczne.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19" w:val="left"/>
        </w:tabs>
        <w:bidi w:val="0"/>
        <w:spacing w:before="0" w:after="0"/>
        <w:ind w:left="0" w:right="0" w:firstLine="0"/>
        <w:jc w:val="left"/>
      </w:pPr>
      <w:r>
        <w:rPr>
          <w:rStyle w:val="CharStyle3"/>
        </w:rPr>
        <w:t>Miedź i srebro</w:t>
        <w:tab/>
        <w:t>Lubin–Polkowice–Głogów KGHM to jeden z największych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3"/>
        </w:rPr>
        <w:t>producentów miedzi i srebra na świecie. Miedź jest surowcem krytycznym dla transformacji energetycznej (sieci, turbiny wiatrowe, pojazdy elektryczne) oraz przemysłu zbrojeniowego. Eksploatowane, ale bez długoterminowej strategii państwa. KGHM prowadzi audyty wykazujące liczne nieprawidłowości w zarządzaniu, w tym wzrost wydatków na sponsoring z 20 mln zł w 2021 r. do 57,7 mln zł w 2023 r. 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19" w:val="left"/>
        </w:tabs>
        <w:bidi w:val="0"/>
        <w:spacing w:before="0" w:after="0" w:line="324" w:lineRule="auto"/>
        <w:ind w:left="0" w:right="0" w:firstLine="0"/>
        <w:jc w:val="left"/>
      </w:pPr>
      <w:r>
        <w:rPr>
          <w:rStyle w:val="CharStyle3"/>
        </w:rPr>
        <w:t>Siarka Rudniki (Świętokrzyskie) Kluczowa dla produkcji nawozów i bezpieczeństwa żywnościowego. Uzależnienie od importu siarki z Rosji i Białorusi grozi szantażem surowcowym .</w:t>
        <w:tab/>
        <w:t>Zablokowane – procedury koncesyjne trwają 12-20 lat, mimo że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324" w:lineRule="auto"/>
        <w:ind w:left="0" w:right="0" w:firstLine="0"/>
        <w:jc w:val="left"/>
      </w:pPr>
      <w:r>
        <w:rPr>
          <w:rStyle w:val="CharStyle3"/>
        </w:rPr>
        <w:t>złoże to może być eksploatowane przy trzykrotnie mniejszym zużyciu ciepła niż wyczerpujące się złoże w Osieku.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3"/>
        </w:rPr>
        <w:t>Geotermia &gt;50% pow. Polski Temperatura wód 120-130°C na głębokości 1-3 km. Geotermia może zastąpić import gazu w systemach ciepłowniczych, zwiększając bezpieczeństwo energetyczne państwa. 0,25% OZE – potencjał niewykorzystany. Odwiert w Szaflarach osiągnął 120°C i wydajność 400 m³/h, co pozwala na produkcję energii elektrycznej, ale brakuje programu krajowego.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Konsekwencje braku działań dla bezpieczeństwa narodowego: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3"/>
        </w:rPr>
        <w:t>Bezpieczeństwo militarne: Bez polskiego węgla koksowego nie ma polskiej stali. Bez stali nie ma produkcji uzbrojenia. Polska staje się zależna od importu surowców z państw spoza NATO.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Bezpieczeństwo żywnościowe: Kryzys w Grupie Azoty, spowodowany dumpingiem nawozów z Rosji i Białorusi oraz kosztami polityki klimatycznej UE, prowadzi do obniżenia bezpieczeństwa żywnościowego kraju. Związkowcy z NSZZ „Solidarność” biją na alarm: "Rząd dobija polską chemię" 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Bezpieczeństwo ekonomiczne: JSW, kluczowa spółka Skarbu Państwa, odnotowała 2,9 mld zł straty netto . Grupa Azoty jest w krytycznej sytuacji. Brak strategii państwa prowadzi do upadku narodowych czempionów.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8" w:val="left"/>
        </w:tabs>
        <w:bidi w:val="0"/>
        <w:spacing w:before="0" w:after="140" w:line="324" w:lineRule="auto"/>
        <w:ind w:left="0" w:right="0" w:firstLine="0"/>
        <w:jc w:val="left"/>
      </w:pPr>
      <w:r>
        <w:rPr>
          <w:rStyle w:val="CharStyle3"/>
        </w:rPr>
        <w:t>Polska jest zobowiązana do wdrożenia unijnego rozporządzenia CRMA (2024/1252)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Rozporządzenie Parlamentu Europejskiego i Rady (UE) 2024/1252 z dnia 11 kwietnia 2024 r. w sprawie krytycznych surowców (CRMA) weszło w życie 23 maja 2024 r. i ma bezpośrednie zastosowanie we wszystkich państwach członkowskich.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left"/>
      </w:pPr>
      <w:r>
        <w:rPr>
          <w:rStyle w:val="CharStyle3"/>
        </w:rPr>
        <w:t>Kluczowe przepisy, których Polska nie wypełniła: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04" w:val="left"/>
        </w:tabs>
        <w:bidi w:val="0"/>
        <w:spacing w:before="0" w:after="140" w:line="324" w:lineRule="auto"/>
        <w:ind w:left="0" w:right="0" w:firstLine="0"/>
        <w:jc w:val="left"/>
      </w:pPr>
      <w:r>
        <w:rPr>
          <w:rStyle w:val="CharStyle3"/>
        </w:rPr>
        <w:t>Przepis</w:t>
        <w:tab/>
        <w:t>Obowiązek TerminStan wykonania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520" w:val="left"/>
        </w:tabs>
        <w:bidi w:val="0"/>
        <w:spacing w:before="0" w:after="140" w:line="319" w:lineRule="auto"/>
        <w:ind w:left="0" w:right="0" w:firstLine="0"/>
        <w:jc w:val="left"/>
      </w:pPr>
      <w:r>
        <w:rPr>
          <w:rStyle w:val="CharStyle3"/>
        </w:rPr>
        <w:t>art. 4 ust. 1 opracowanie krajowych programów poszukiwań i wydobycia surowców krytycznych 23 maja 2025 r.</w:t>
        <w:tab/>
        <w:t>Niewykonany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520" w:val="left"/>
        </w:tabs>
        <w:bidi w:val="0"/>
        <w:spacing w:before="0" w:after="140" w:line="324" w:lineRule="auto"/>
        <w:ind w:left="0" w:right="0" w:firstLine="0"/>
        <w:jc w:val="left"/>
      </w:pPr>
      <w:r>
        <w:rPr>
          <w:rStyle w:val="CharStyle3"/>
        </w:rPr>
        <w:t>art. 8 ust. 1 ustanowienie procedur wydawania pozwoleń dla projektów wydobywczych ≤ 27 miesięcy</w:t>
        <w:tab/>
        <w:t>1 stycznia 2026 r. Niewykonany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04" w:val="left"/>
          <w:tab w:pos="3520" w:val="left"/>
        </w:tabs>
        <w:bidi w:val="0"/>
        <w:spacing w:before="0" w:after="140" w:line="324" w:lineRule="auto"/>
        <w:ind w:left="0" w:right="0" w:firstLine="0"/>
        <w:jc w:val="left"/>
      </w:pPr>
      <w:r>
        <w:rPr>
          <w:rStyle w:val="CharStyle3"/>
        </w:rPr>
        <w:t>art. 8 ust. 2 ustanowienie procedur dla projektów przetwórczych i recyklingowych ≤ 15 miesięcy</w:t>
        <w:tab/>
        <w:t>1 stycznia 2026 r.</w:t>
        <w:tab/>
        <w:t>Niewykonany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520" w:val="left"/>
        </w:tabs>
        <w:bidi w:val="0"/>
        <w:spacing w:before="0" w:after="140" w:line="324" w:lineRule="auto"/>
        <w:ind w:left="0" w:right="0" w:firstLine="0"/>
        <w:jc w:val="left"/>
      </w:pPr>
      <w:r>
        <w:rPr>
          <w:rStyle w:val="CharStyle3"/>
        </w:rPr>
        <w:t>art. 10 wskazanie właściwych organów odpowiedzialnych za koordynację polityki surowcowej 1 stycznia 2026 r.</w:t>
        <w:tab/>
        <w:t>Niewykonany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Skutki niewdrożenia CRMA dla bezpieczeństwa narodowego: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19" w:lineRule="auto"/>
        <w:ind w:left="0" w:right="0" w:firstLine="0"/>
        <w:jc w:val="left"/>
      </w:pPr>
      <w:r>
        <w:rPr>
          <w:rStyle w:val="CharStyle3"/>
        </w:rPr>
        <w:t>Utrata konkurencyjności polskiego przemysłu wobec państw, które wdrożyły CRMA (Finlandia, Estonia, Niemcy).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rStyle w:val="CharStyle3"/>
        </w:rPr>
        <w:t>Dalsze uzależnienie od importu surowców z Chin (95% dla pierwiastków ziem rzadkich) 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Ryzyko wszczęcia postępowania przez Komisję Europejską przeciwko Polsce za naruszenie prawa unijnego (art. 258 TFUE).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Nieuwzględnienie postulatu wdrożenia CRMA oznaczałoby, że Sejm RP aprobuje naruszanie przez Polskę prawa Unii Europejskiej i godzi się na ryzyko sankcji.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30" w:val="left"/>
        </w:tabs>
        <w:bidi w:val="0"/>
        <w:spacing w:before="0" w:after="120" w:line="324" w:lineRule="auto"/>
        <w:ind w:left="0" w:right="0" w:firstLine="0"/>
        <w:jc w:val="left"/>
      </w:pPr>
      <w:r>
        <w:rPr>
          <w:rStyle w:val="CharStyle3"/>
        </w:rPr>
        <w:t>Polskie projekty surowcowe zostały uznane za strategiczne przez UE – ale Polska je blokuje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19" w:lineRule="auto"/>
        <w:ind w:left="0" w:right="0" w:firstLine="0"/>
        <w:jc w:val="left"/>
      </w:pPr>
      <w:r>
        <w:rPr>
          <w:rStyle w:val="CharStyle3"/>
        </w:rPr>
        <w:t>Na liście 47 projektów strategicznych UE, mających zwiększyć unijne zdolności w zakresie surowców krytycznych, znalazły się dwie polskie lokalizacje 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Zakład Rafinacji Pierwiastków Ziem Rzadkich w Puławach (Grupa Azoty) – będzie produkował tlenki neodymu, prazeodymu, lantanu i ceru, kluczowe dla energetyki odnawialnej i pojazdów elektrycznych.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Zakład recyklingu baterii Polvolt w Zawierciu (Elemental Strategic Metals) – recykling litu, niklu, kobaltu, miedzi, platynowców i manganu 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Projekty te, uznane przez Komisję Europejską za strategiczne dla całej Unii, są realizowane w Polsce. Równocześnie jednak polski rząd nie zapewnia im wsparcia, a procedury administracyjne blokują ich rozwój. Wiceprzewodniczący Komisji Europejskiej Stéphane Séjourné podkreślił: "Zidentyfikowaliśmy 47 nowych projektów strategicznych, które po raz pierwszy pomogą nam zabezpieczyć nasze własne krajowe dostawy surowców. To przełomowy moment dla europejskiej suwerenności jako potęgi przemysłowej" 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Nieuwzględnienie postulatu wsparcia tych projektów oznaczałoby, że Sejm RP działa wbrew interesom Polski, blokując rozwój projektów uznanych za strategiczne przez Unię Europejską.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35" w:val="left"/>
        </w:tabs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Brak strategii surowcowej państwa stanowi zagrożenie dla bezpieczeństwa narodowego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324" w:lineRule="auto"/>
        <w:ind w:left="0" w:right="0" w:firstLine="0"/>
        <w:jc w:val="left"/>
      </w:pPr>
      <w:r>
        <w:rPr>
          <w:rStyle w:val="CharStyle3"/>
        </w:rPr>
        <w:t>Ostatnia Polityka Surowcowa Państwa została przyjęta w 2022 r. Kolejna planowana jest dopiero na koniec 2026 r. Oznacza to 4-letnią lukę w zarządzaniu strategicznymi zasobami państwa.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0"/>
        <w:jc w:val="left"/>
      </w:pPr>
      <w:r>
        <w:rPr>
          <w:rStyle w:val="CharStyle3"/>
        </w:rPr>
        <w:t>Skutki braku strategii: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324" w:lineRule="auto"/>
        <w:ind w:left="0" w:right="0" w:firstLine="0"/>
        <w:jc w:val="left"/>
      </w:pPr>
      <w:r>
        <w:rPr>
          <w:rStyle w:val="CharStyle3"/>
        </w:rPr>
        <w:t>Niemożność skoordynowanego wykorzystania środków z KPO, funduszy strukturalnych i SAFE.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319" w:lineRule="auto"/>
        <w:ind w:left="0" w:right="0" w:firstLine="0"/>
        <w:jc w:val="left"/>
      </w:pPr>
      <w:r>
        <w:rPr>
          <w:rStyle w:val="CharStyle3"/>
        </w:rPr>
        <w:t>Brak systemu zachęt dla inwestorów w technologie przetwórstwa węgla, geotermię, recykling surowców krytycznych.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319" w:lineRule="auto"/>
        <w:ind w:left="0" w:right="0" w:firstLine="0"/>
        <w:jc w:val="left"/>
      </w:pPr>
      <w:r>
        <w:rPr>
          <w:rStyle w:val="CharStyle3"/>
        </w:rPr>
        <w:t>Utrata potencjalnych korzyści ekonomicznych szacowanych na kilkadziesiąt miliardów złotych rocznie.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324" w:lineRule="auto"/>
        <w:ind w:left="0" w:right="0" w:firstLine="0"/>
        <w:jc w:val="left"/>
      </w:pPr>
      <w:r>
        <w:rPr>
          <w:rStyle w:val="CharStyle3"/>
        </w:rPr>
        <w:t>Nieuwzględnienie postulatu aktualizacji strategii oznaczałoby, że Sejm RP godzi się na dalsze, niekontrolowane marnowanie polskiego potencjału surowcowego.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8" w:val="left"/>
        </w:tabs>
        <w:bidi w:val="0"/>
        <w:spacing w:before="0" w:after="120"/>
        <w:ind w:left="0" w:right="0" w:firstLine="0"/>
        <w:jc w:val="left"/>
      </w:pPr>
      <w:r>
        <w:rPr>
          <w:rStyle w:val="CharStyle3"/>
        </w:rPr>
        <w:t>Brak międzyresortowej koordynacji polityki surowcowej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0"/>
        <w:jc w:val="left"/>
      </w:pPr>
      <w:r>
        <w:rPr>
          <w:rStyle w:val="CharStyle3"/>
        </w:rPr>
        <w:t>Główny Geolog Kraju, prof. Krzysztof Galos, wielokrotnie apelował o powołanie międzyresortowego zespołu do spraw polityki surowcowej. Apel pozostaje bez odpowiedzi.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0"/>
        <w:jc w:val="left"/>
      </w:pPr>
      <w:r>
        <w:rPr>
          <w:rStyle w:val="CharStyle3"/>
        </w:rPr>
        <w:t>Skutki braku koordynacji: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0"/>
        <w:jc w:val="left"/>
      </w:pPr>
      <w:r>
        <w:rPr>
          <w:rStyle w:val="CharStyle3"/>
        </w:rPr>
        <w:t>Rozproszenie kompetencji między MKiŚ, MPiT, MAP, MRiT.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0"/>
        <w:jc w:val="left"/>
      </w:pPr>
      <w:r>
        <w:rPr>
          <w:rStyle w:val="CharStyle3"/>
        </w:rPr>
        <w:t>Brak spójnej polityki wobec branży surowcowej.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</w:pPr>
      <w:r>
        <w:rPr>
          <w:rStyle w:val="CharStyle3"/>
        </w:rPr>
        <w:t>Niemożność skutecznego wdrożenia CRMA.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Nieuwzględnienie postulatu powołania zespołu międzyresortowego oznaczałoby, że Sejm RP akceptuje chaos organizacyjny w zarządzaniu strategicznymi zasobami państwa.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8" w:val="left"/>
        </w:tabs>
        <w:bidi w:val="0"/>
        <w:spacing w:before="0" w:after="120" w:line="324" w:lineRule="auto"/>
        <w:ind w:left="0" w:right="0" w:firstLine="0"/>
        <w:jc w:val="left"/>
      </w:pPr>
      <w:r>
        <w:rPr>
          <w:rStyle w:val="CharStyle3"/>
        </w:rPr>
        <w:t>Procedury koncesyjne uniemożliwiają inwestycje – zagrażając bezpieczeństwu państwa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19" w:lineRule="auto"/>
        <w:ind w:left="0" w:right="0" w:firstLine="0"/>
        <w:jc w:val="left"/>
      </w:pPr>
      <w:r>
        <w:rPr>
          <w:rStyle w:val="CharStyle3"/>
        </w:rPr>
        <w:t>Uzyskanie koncesji na wydobycie w Polsce trwa obecnie 12-20 lat. W innych państwach UE (Finlandia, Estonia, Niemcy) procedury trwają 12-24 miesiące.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Konsekwencje dla bezpieczeństwa narodowego: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Ucieczka inwestorów do państw o przewidywalnym systemie prawnym.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Utrata szansy na wykorzystanie surowców krytycznych dla przemysłu zbrojeniowego.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Dalsze uzależnienie od importu surowców z Chin i Rosji.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Nieuwzględnienie postulatu skrócenia procedur koncesyjnych oznaczałoby, że Sejm RP akceptuje stan, w którym polskie prawo dyskryminuje inwestorów krajowych na rzecz zagranicznych, narażając bezpieczeństwo państwa.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8" w:val="left"/>
        </w:tabs>
        <w:bidi w:val="0"/>
        <w:spacing w:before="0" w:after="120"/>
        <w:ind w:left="0" w:right="0" w:firstLine="0"/>
        <w:jc w:val="left"/>
      </w:pPr>
      <w:r>
        <w:rPr>
          <w:rStyle w:val="CharStyle3"/>
        </w:rPr>
        <w:t>Próby wrogiego przejęcia polskich spółek surowcowych – realne zagrożenie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W 2012 i 2014 r. rosyjski koncern Acron podjął próby wrogiego przejęcia Azotów Tarnów i Grupy Azoty . Norica Holding, należąca do koncernu Acron, zwiększyła swój udział w akcjonariacie Grupy Azoty do ponad 20%, co dawało jej prawo do wglądu w licencje, patenty i technologie spółki 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Komisja Nadzoru Finansowego nałożyła karę na Norica Holding za naruszenie obowiązków informacyjnych, stwierdzając, że spółka konsekwentnie nie doliczała do swego stanu posiadania akcji będących w posiadaniu podmiotów z Nikozji 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Dziś, przy kryzysowej sytuacji JSW (2,9 mld zł straty) i Grupy Azoty, ryzyko wrogiego przejęcia polskich spółek surowcowych przez podmioty z państw spoza NATO jest realne i stanowi bezpośrednie zagrożenie dla bezpieczeństwa narodowego.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3" w:val="left"/>
        </w:tabs>
        <w:bidi w:val="0"/>
        <w:spacing w:before="0" w:after="120"/>
        <w:ind w:left="0" w:right="0" w:firstLine="0"/>
        <w:jc w:val="left"/>
      </w:pPr>
      <w:r>
        <w:rPr>
          <w:rStyle w:val="CharStyle3"/>
        </w:rPr>
        <w:t>Społeczeństwo oczekuje działań – petycje są rozpatrywane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W 2022 r. Polska Izba Gospodarcza Sprzedawców Węgla zebrała 18 185 podpisów pod petycją w sprawie ochrony węgla. W marcu 2026 r. wpłynęła kolejna petycja w sprawie bezpieczeństwa energetycznego. Petycje są rozpatrywane – zgodnie z ustawą, Marszałek Sejmu ma 30 dni na skierowanie petycji do komisji, a komisja ma 3 miesiące na jej rozpatrzenie.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Nieuwzględnienie niniejszej petycji, przy jednoczesnym rozpatrywaniu innych petycji o mniejszym znaczeniu dla bezpieczeństwa państwa, stanowiłoby naruszenie zasady równości wobec prawa (art. 32 Konstytucji RP).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after="120"/>
        <w:ind w:left="0" w:right="0" w:firstLine="0"/>
        <w:jc w:val="left"/>
      </w:pPr>
      <w:r>
        <w:rPr>
          <w:rStyle w:val="CharStyle3"/>
        </w:rPr>
        <w:t>POSTULATY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Wnosimy o podjęcie przez Sejm RP następujących działań: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Postulat 1. Wdrożenie unijnego rozporządzenia CRMA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Podjęcie działań legislacyjnych i organizacyjnych zmierzających do: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19" w:lineRule="auto"/>
        <w:ind w:left="0" w:right="0" w:firstLine="0"/>
        <w:jc w:val="left"/>
      </w:pPr>
      <w:r>
        <w:rPr>
          <w:rStyle w:val="CharStyle3"/>
        </w:rPr>
        <w:t>ustanowienia procedur uzyskiwania pozwoleń dla projektów wydobywczych surowców krytycznych nieprzekraczających 27 miesięcy,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ustanowienia procedur dla projektów przetwórczych i recyklingowych nieprzekraczających 15 miesięcy,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uznania za priorytetowe dla bezpieczeństwa państwa projektów związanych z wydobyciem i przetwórstwem surowców krytycznych występujących na terytorium Polski,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wyznaczenia właściwych organów odpowiedzialnych za koordynację polityki surowcowej.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Podstawa prawna: CRMA art. 4, 8, 10, 35; Konstytucja RP art. 9.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Postulat 2. Powołanie międzyresortowego zespołu do spraw polityki surowcowej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Powołanie, w trybie art. 10 CRMA oraz art. 13 ustawy z dnia 8 sierpnia 1996 r. o Radzie Ministrów, międzyresortowego zespołu do spraw polityki surowcowej, z udziałem przedstawicieli Ministerstwa Klimatu i Środowiska, Ministerstwa Przemysłu, Ministerstwa Rozwoju i Technologii, Ministerstwa Aktywów Państwowych, Ministerstwa Spraw Zagranicznych, Ministerstwa Obrony Narodowej oraz Państwowego Instytutu Geologicznego – Państwowego Instytutu Badawczego.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Podstawa prawna: CRMA art. 10; ustawa o Radzie Ministrów art. 13; ustawa o zasadach kształtowania polityki surowcowej państwa art. 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Postulat 3. Opracowanie i wdrożenie Krajowego Programu Przetwórstwa Węgla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Opracowanie, w trybie art. 4 CRMA oraz art. 2 ust. 1 ustawy z dnia 6 grudnia 2024 r. o zasadach kształtowania polityki surowcowej państwa, Krajowego Programu Przetwórstwa Węgla, który: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uzna spalanie węgla koksowego za marnotrawstwo surowca strategicznego,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określi ramy prawne i finansowe dla budowy w Polsce zakładów przetwórstwa węgla na produkty wysokomarżowe (koks hutniczy, grafen, nanorurki węglowe, włókna węglowe),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utworzy system zachęt dla inwestorów w technologie węglowe nowej generacji (gazyfikacja węgla, produkcja grafenu, nanorurek),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włączy węgiel koksowy do strategii surowcowej państwa jako surowiec krytyczny, nie paliwo,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zabezpieczy dostawy ciepła dla miast w przypadku restrukturyzacji koksowni 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Podstawa prawna: CRMA art. 4; ustawa o zasadach kształtowania polityki surowcowej państwa art. 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Postulat 4. Opracowanie i wdrożenie Krajowego Programu Odwiertów Geotermalnych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Opracowanie, w trybie art. 4 CRMA oraz art. 3 ustawy z dnia 20 lutego 2015 r. o odnawialnych źródłach energii, Krajowego Programu Odwiertów Geotermalnych, który: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wykorzysta potencjał złóż wód termalnych występujących na ponad połowie obszaru Polski,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19" w:lineRule="auto"/>
        <w:ind w:left="0" w:right="0" w:firstLine="0"/>
        <w:jc w:val="left"/>
      </w:pPr>
      <w:r>
        <w:rPr>
          <w:rStyle w:val="CharStyle3"/>
        </w:rPr>
        <w:t>obejmie odwierty głębinowe w rejonach o najwyższej temperaturze (Podhale, Niż Polski, Dolny Śląsk),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przewidzi budowę sieci ciepłowniczych umożliwiających wykorzystanie geotermii w systemach miejskich,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utworzy system zachęt dla samorządów inwestujących w geotermię.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Podstawa prawna: CRMA art. 4; ustawa o OZE art. 3; Konstytucja RP art. 74 (obowiązek ochrony środowiska).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Postulat 5. Uznanie strategicznych złóż za priorytetowe dla bezpieczeństwa państwa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Uznanie, w trybie art. 3 ustawy z dnia 6 grudnia 2024 r. o zasadach kształtowania polityki surowcowej państwa, za strategiczne dla bezpieczeństwa państwa następujących złóż: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left"/>
      </w:pPr>
      <w:r>
        <w:rPr>
          <w:rStyle w:val="CharStyle3"/>
        </w:rPr>
        <w:t>złoża siarki „Rudniki” w województwie świętokrzyskim,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złoża pierwiastków ziem rzadkich w Krzemiankach koło Suwałk,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złóż węgla koksowego na Górnym Śląsku,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złóż miedzi i srebra Lubin–Polkowice–Głogów.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Podstawa prawna: ustawa o zasadach kształtowania polityki surowcowej państwa art. 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Postulat 6. System zachęt dla recyklingu surowców krytycznych oraz ochrona przed wrogim przejęciem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Opracowanie, w trybie art. 24 CRMA oraz art. 13 ust. 2 ustawy z dnia 6 grudnia 2024 r. o zasadach kształtowania polityki surowcowej państwa, systemu zachęt finansowych i prawnych dla recyklingu surowców krytycznych (lit, kobalt, nikiel, pierwiastki ziem rzadkich), w tym w szczególności dla projektów strategicznych już zlokalizowanych na terenie Polski: Zakładu Rafinacji Pierwiastków Ziem Rzadkich w Puławach oraz zakładu recyklingu baterii Polvolt w Zawierciu 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Wdrożenie systemowych rozwiązań zabezpieczających polskie strategiczne spółki surowcowe (JSW, KGHM, Grupa Azoty) przed wrogim przejęciem przez podmioty z państw spoza NATO, w tym: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wzmocnienie obowiązków informacyjnych dla akcjonariuszy,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19" w:lineRule="auto"/>
        <w:ind w:left="0" w:right="0" w:firstLine="0"/>
        <w:jc w:val="left"/>
      </w:pPr>
      <w:r>
        <w:rPr>
          <w:rStyle w:val="CharStyle3"/>
        </w:rPr>
        <w:t>mechanizmy weryfikacji pochodzenia kapitału przy nabywaniu znacznych pakietów akcji,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uprawnienia Skarbu Państwa do blokowania transakcji zagrażających bezpieczeństwu państwa 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Podstawa prawna: CRMA art. 24; ustawa o zasadach kształtowania polityki surowcowej państwa art. 13; ustawa o ochronie konkurencji i konsumentów; ustawa o kontroli niektórych inwestycji.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6" w:val="left"/>
        </w:tabs>
        <w:bidi w:val="0"/>
        <w:spacing w:before="0" w:after="120" w:line="324" w:lineRule="auto"/>
        <w:ind w:left="0" w:right="0" w:firstLine="0"/>
        <w:jc w:val="left"/>
      </w:pPr>
      <w:r>
        <w:rPr>
          <w:rStyle w:val="CharStyle3"/>
        </w:rPr>
        <w:t>PODSTAWY PRAWNE ROZPATRZENIA PETYCJI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Konstytucja Rzeczypospolitej Polskiej: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art. 5 – obowiązek zapewnienia bezpieczeństwa narodowego,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art. 9 – obowiązek przestrzegania prawa międzynarodowego i unijnego,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art. 2 – zasada demokratycznego państwa prawnego,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art. 32 – zasada równości wobec prawa,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art. 63 – prawo składania petycji,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art. 68 – prawo do ochrony zdrowia,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art. 74 – obowiązek ochrony środowiska.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Ustawa z dnia 11 lipca 2014 r. o petycjach (Dz.U. 2014 poz. 1195).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Rozporządzenie Parlamentu Europejskiego i Rady (UE) 2024/1252 z dnia 11 kwietnia 2024 r. w sprawie krytycznych surowców (CRMA).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Ustawa z dnia 6 grudnia 2024 r. o zasadach kształtowania polityki surowcowej państwa (Dz.U. 2024 poz. 1882).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Ustawa z dnia 20 lutego 2015 r. o odnawialnych źródłach energii (Dz.U. 2015 poz. 478).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Ustawa z dnia 8 sierpnia 1996 r. o Radzie Ministrów (Dz.U. 1996 nr 106 poz. 492).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Ustawa z dnia 24 lipca 2015 r. o kontroli niektórych inwestycji (Dz.U. 2015 poz. 1272) – dotycząca ochrony przed wrogim przejęciem.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Ustawa z dnia 16 lutego 2007 r. o ochronie konkurencji i konsumentów (Dz.U. 2007 nr 50 poz. 331).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 w:after="120"/>
        <w:ind w:left="0" w:right="0" w:firstLine="0"/>
        <w:jc w:val="left"/>
      </w:pPr>
      <w:r>
        <w:rPr>
          <w:rStyle w:val="CharStyle3"/>
        </w:rPr>
        <w:t>WNIOSEK KOŃCOWY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Wnosimy 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Skierowanie niniejszej petycji do Komisji do Spraw Petycji oraz do Komisji do Spraw Energii, Klimatu i Aktywów Państwowych, a także do Komisji Obrony Narodowej (art. 10 ust. 2 ustawy o petycjach).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Przeprowadzenie debaty sejmowej nad przedstawionymi postulatami.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Zobowiązanie Rady Ministrów do przedłożenia Sejmowi informacji o stanie wdrożenia CRMA oraz o realizacji postulatów określonych w petycji, w terminie 60 dni od dnia jej rozpatrzenia.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3"/>
        </w:rPr>
        <w:t>W przypadku nieuwzględnienia któregokolwiek z postulatów – wskazanie w uzasadnieniu konkretnych, obiektywnych przeszkód prawnych, technicznych lub finansowych uniemożliwiających jego realizację, z uwzględnieniem: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kosztów rezygnacji z odblokowania potencjału surowcowego (szacowanych na kilkadziesiąt miliardów złotych rocznie),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kosztów dalszego importu surowców z Chin i Rosji (szacowanych na dziesiątki miliardów złotych rocznie),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wpływu na bezpieczeństwo surowcowe, energetyczne, militarne i żywnościowe państwa,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zgodności z prawem Unii Europejskiej,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24" w:lineRule="auto"/>
        <w:ind w:left="0" w:right="0" w:firstLine="0"/>
        <w:jc w:val="left"/>
      </w:pPr>
      <w:r>
        <w:rPr>
          <w:rStyle w:val="CharStyle3"/>
        </w:rPr>
        <w:t>konsekwencji dla polskich spółek Skarbu Państwa (JSW, KGHM, Grupa Azoty) w przypadku braku działań .</w:t>
      </w:r>
    </w:p>
    <w:sectPr>
      <w:footnotePr>
        <w:pos w:val="pageBottom"/>
        <w:numFmt w:val="decimal"/>
        <w:numRestart w:val="continuous"/>
      </w:footnotePr>
      <w:pgSz w:w="11900" w:h="16840"/>
      <w:pgMar w:top="1417" w:right="1428" w:bottom="1140" w:left="1356" w:header="989" w:footer="712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600" w:line="32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Maciej Sznyr</dc:creator>
  <cp:keywords/>
</cp:coreProperties>
</file>