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B3664" w14:textId="3062547D" w:rsidR="00F219C6" w:rsidRPr="00D841F4" w:rsidRDefault="00F219C6" w:rsidP="00F219C6">
      <w:pPr>
        <w:rPr>
          <w:rFonts w:ascii="Times New Roman" w:hAnsi="Times New Roman" w:cs="Times New Roman"/>
          <w:i/>
          <w:iCs/>
          <w:sz w:val="26"/>
          <w:szCs w:val="26"/>
          <w:lang w:val="pl-PL"/>
        </w:rPr>
      </w:pPr>
      <w:bookmarkStart w:id="0" w:name="_Hlk69138110"/>
      <w:r w:rsidRPr="00D841F4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ab/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ab/>
      </w:r>
      <w:r w:rsidR="00A135C6">
        <w:rPr>
          <w:rFonts w:ascii="Times New Roman" w:hAnsi="Times New Roman" w:cs="Times New Roman"/>
          <w:sz w:val="26"/>
          <w:szCs w:val="26"/>
          <w:lang w:val="pl-PL"/>
        </w:rPr>
        <w:t xml:space="preserve">    </w:t>
      </w:r>
      <w:bookmarkStart w:id="1" w:name="_GoBack"/>
      <w:bookmarkEnd w:id="1"/>
      <w:r w:rsidRPr="00D841F4">
        <w:rPr>
          <w:rFonts w:ascii="Times New Roman" w:hAnsi="Times New Roman" w:cs="Times New Roman"/>
          <w:sz w:val="26"/>
          <w:szCs w:val="26"/>
          <w:lang w:val="pl-PL"/>
        </w:rPr>
        <w:t>Załącznik nr 1</w:t>
      </w:r>
      <w:r w:rsidR="00A135C6">
        <w:rPr>
          <w:rFonts w:ascii="Times New Roman" w:hAnsi="Times New Roman" w:cs="Times New Roman"/>
          <w:sz w:val="26"/>
          <w:szCs w:val="26"/>
          <w:lang w:val="pl-PL"/>
        </w:rPr>
        <w:t xml:space="preserve"> do Rozeznania rynku</w:t>
      </w:r>
    </w:p>
    <w:bookmarkEnd w:id="0"/>
    <w:p w14:paraId="09627D63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2270F763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62CF622F" w14:textId="77777777" w:rsidR="00F219C6" w:rsidRPr="00D841F4" w:rsidRDefault="00F219C6" w:rsidP="00F219C6">
      <w:pPr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  <w:bookmarkStart w:id="2" w:name="_Toc18098510"/>
    </w:p>
    <w:p w14:paraId="48F6A161" w14:textId="77777777" w:rsidR="00F219C6" w:rsidRPr="00D841F4" w:rsidRDefault="00F219C6" w:rsidP="00F219C6">
      <w:pPr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</w:p>
    <w:p w14:paraId="3899ED31" w14:textId="77777777" w:rsidR="00F219C6" w:rsidRPr="00D841F4" w:rsidRDefault="00F219C6" w:rsidP="00F219C6">
      <w:pPr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</w:p>
    <w:p w14:paraId="042D3A4F" w14:textId="77777777" w:rsidR="00F219C6" w:rsidRPr="00D841F4" w:rsidRDefault="00F219C6" w:rsidP="00F219C6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pl-PL" w:eastAsia="ko-KR"/>
        </w:rPr>
      </w:pPr>
      <w:bookmarkStart w:id="3" w:name="_Toc171605465"/>
      <w:r w:rsidRPr="00D841F4">
        <w:rPr>
          <w:rFonts w:ascii="Times New Roman" w:eastAsia="Times New Roman" w:hAnsi="Times New Roman" w:cs="Times New Roman"/>
          <w:b/>
          <w:sz w:val="36"/>
          <w:szCs w:val="36"/>
          <w:lang w:val="pl-PL" w:eastAsia="ko-KR"/>
        </w:rPr>
        <w:t>SZCZEGÓŁOWY OPIS PRZEDMIOTU ZAMÓWIENIA</w:t>
      </w:r>
      <w:bookmarkEnd w:id="3"/>
    </w:p>
    <w:p w14:paraId="5622A371" w14:textId="77777777" w:rsidR="00F219C6" w:rsidRPr="00D841F4" w:rsidRDefault="00F219C6" w:rsidP="00F219C6">
      <w:pPr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</w:p>
    <w:p w14:paraId="09E50F7A" w14:textId="77777777" w:rsidR="00F219C6" w:rsidRPr="00D841F4" w:rsidRDefault="00F219C6" w:rsidP="00F219C6">
      <w:pPr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</w:p>
    <w:p w14:paraId="338F849A" w14:textId="77777777" w:rsidR="00F219C6" w:rsidRPr="00D841F4" w:rsidRDefault="00F219C6" w:rsidP="00F219C6">
      <w:pPr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</w:p>
    <w:bookmarkEnd w:id="2"/>
    <w:p w14:paraId="23DED426" w14:textId="77777777" w:rsidR="00F219C6" w:rsidRPr="00D841F4" w:rsidRDefault="00F219C6" w:rsidP="00F219C6">
      <w:pPr>
        <w:pStyle w:val="Tytudokumentu"/>
        <w:spacing w:before="0"/>
        <w:jc w:val="center"/>
        <w:rPr>
          <w:rFonts w:ascii="Times New Roman" w:hAnsi="Times New Roman"/>
          <w:sz w:val="32"/>
          <w:szCs w:val="32"/>
        </w:rPr>
      </w:pPr>
      <w:r w:rsidRPr="00D841F4">
        <w:rPr>
          <w:rFonts w:ascii="Times New Roman" w:hAnsi="Times New Roman"/>
          <w:i/>
          <w:iCs/>
          <w:color w:val="000000"/>
          <w:sz w:val="32"/>
          <w:szCs w:val="32"/>
        </w:rPr>
        <w:t xml:space="preserve">Odnowienie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serwisu gwarancyjnego</w:t>
      </w:r>
      <w:r w:rsidRPr="00D841F4">
        <w:rPr>
          <w:rFonts w:ascii="Times New Roman" w:hAnsi="Times New Roman"/>
          <w:i/>
          <w:iCs/>
          <w:color w:val="000000"/>
          <w:sz w:val="32"/>
          <w:szCs w:val="32"/>
        </w:rPr>
        <w:t xml:space="preserve"> producenta 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la</w:t>
      </w:r>
      <w:r w:rsidRPr="00D841F4">
        <w:rPr>
          <w:rFonts w:ascii="Times New Roman" w:hAnsi="Times New Roman"/>
          <w:i/>
          <w:iCs/>
          <w:color w:val="000000"/>
          <w:sz w:val="32"/>
          <w:szCs w:val="32"/>
        </w:rPr>
        <w:t xml:space="preserve"> posiadanych przez Zamawiającego licencji systemu zarządzania i rejestracji sesji kont uprzywilejowanych oraz rozbudowa aktualnego środowiska.</w:t>
      </w:r>
    </w:p>
    <w:p w14:paraId="367D853B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086CF098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br w:type="page"/>
      </w:r>
    </w:p>
    <w:sdt>
      <w:sdtPr>
        <w:rPr>
          <w:rFonts w:ascii="Times New Roman" w:eastAsiaTheme="minorEastAsia" w:hAnsi="Times New Roman" w:cstheme="minorBidi"/>
          <w:b w:val="0"/>
          <w:bCs w:val="0"/>
          <w:noProof/>
          <w:color w:val="auto"/>
          <w:sz w:val="24"/>
          <w:szCs w:val="24"/>
          <w:lang w:val="en-US" w:eastAsia="en-IN"/>
        </w:rPr>
        <w:id w:val="1857228991"/>
        <w:docPartObj>
          <w:docPartGallery w:val="Table of Contents"/>
          <w:docPartUnique/>
        </w:docPartObj>
      </w:sdtPr>
      <w:sdtEndPr>
        <w:rPr>
          <w:color w:val="000000" w:themeColor="text1"/>
        </w:rPr>
      </w:sdtEndPr>
      <w:sdtContent>
        <w:p w14:paraId="5656A79F" w14:textId="77777777" w:rsidR="00F219C6" w:rsidRPr="00A92E36" w:rsidRDefault="00F219C6" w:rsidP="00F219C6">
          <w:pPr>
            <w:pStyle w:val="Nagwekspisutreci"/>
            <w:jc w:val="both"/>
            <w:rPr>
              <w:rFonts w:ascii="Times New Roman" w:hAnsi="Times New Roman"/>
              <w:sz w:val="26"/>
              <w:szCs w:val="26"/>
            </w:rPr>
          </w:pPr>
          <w:r w:rsidRPr="00A92E36">
            <w:rPr>
              <w:rFonts w:ascii="Times New Roman" w:hAnsi="Times New Roman"/>
              <w:sz w:val="26"/>
              <w:szCs w:val="26"/>
            </w:rPr>
            <w:t>Spis treści</w:t>
          </w:r>
        </w:p>
        <w:p w14:paraId="35E9AC09" w14:textId="7637EDD3" w:rsidR="00A92E36" w:rsidRPr="00A92E36" w:rsidRDefault="00F219C6">
          <w:pPr>
            <w:pStyle w:val="Spistreci1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r w:rsidRPr="00A92E36">
            <w:rPr>
              <w:rFonts w:ascii="Times New Roman" w:hAnsi="Times New Roman" w:cs="Times New Roman"/>
              <w:noProof w:val="0"/>
              <w:sz w:val="26"/>
              <w:szCs w:val="26"/>
              <w:lang w:val="pl-PL"/>
            </w:rPr>
            <w:fldChar w:fldCharType="begin"/>
          </w:r>
          <w:r w:rsidRPr="00A92E36">
            <w:rPr>
              <w:rFonts w:ascii="Times New Roman" w:hAnsi="Times New Roman" w:cs="Times New Roman"/>
              <w:noProof w:val="0"/>
              <w:sz w:val="26"/>
              <w:szCs w:val="26"/>
              <w:lang w:val="pl-PL"/>
            </w:rPr>
            <w:instrText xml:space="preserve"> TOC \o "1-3" \h \z \u </w:instrText>
          </w:r>
          <w:r w:rsidRPr="00A92E36">
            <w:rPr>
              <w:rFonts w:ascii="Times New Roman" w:hAnsi="Times New Roman" w:cs="Times New Roman"/>
              <w:noProof w:val="0"/>
              <w:sz w:val="26"/>
              <w:szCs w:val="26"/>
              <w:lang w:val="pl-PL"/>
            </w:rPr>
            <w:fldChar w:fldCharType="separate"/>
          </w:r>
          <w:hyperlink w:anchor="_Toc171605465" w:history="1">
            <w:r w:rsidR="00A92E36" w:rsidRPr="00A92E36">
              <w:rPr>
                <w:rStyle w:val="Hipercze"/>
                <w:rFonts w:ascii="Times New Roman" w:eastAsia="Times New Roman" w:hAnsi="Times New Roman" w:cs="Times New Roman"/>
                <w:b/>
                <w:sz w:val="26"/>
                <w:szCs w:val="26"/>
                <w:lang w:val="pl-PL" w:eastAsia="ko-KR"/>
              </w:rPr>
              <w:t>SZCZEGÓŁOWY OPIS PRZEDMIOTU ZAMÓWIENIA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_Toc171605465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1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6079A54B" w14:textId="72FB9296" w:rsidR="00A92E36" w:rsidRPr="00A92E36" w:rsidRDefault="00A135C6">
          <w:pPr>
            <w:pStyle w:val="Spistreci1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66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1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Słownik pojęć i skrótów.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_Toc171605466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3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35C707C9" w14:textId="1BB8C654" w:rsidR="00A92E36" w:rsidRPr="00A92E36" w:rsidRDefault="00A135C6">
          <w:pPr>
            <w:pStyle w:val="Spistreci1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67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2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Ogólny Opis Przedmiotu Zamówienia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_Toc171605467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3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2F82862F" w14:textId="6397BDE9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68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2.1.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Kontekst postepowania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_Toc171605468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3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3D627C96" w14:textId="5F64D6FA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69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2.2.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Przedmiot postępowania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_Toc171605469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3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06525339" w14:textId="2BE45B21" w:rsidR="00A92E36" w:rsidRPr="00A92E36" w:rsidRDefault="00A135C6">
          <w:pPr>
            <w:pStyle w:val="Spistreci1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0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3.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Szczegółowy opis przedmiotu zamówienia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_Toc171605470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5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1F4F652F" w14:textId="7BBA8993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1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3.1.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Wymagania ogólne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_Toc171605471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5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43E98DBF" w14:textId="2F57E39A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2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3.2.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Specyfikacja produktów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_Toc171605472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6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71EFB1C6" w14:textId="194D40B5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3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3.2.1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Odnowienie serwisu gwarancyjnego producenta dla posiadanych przez Zamawiającego licencji systemu zarządzania i rejestracji sesji kont uprzywilejowanych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_Toc171605473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6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1383ED85" w14:textId="2C5E927E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4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3.2.2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Wymiana posiadanych przez Zamawiajacego SERWERÓW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_Toc171605474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6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473BD312" w14:textId="0D770BF2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5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3.2.2.1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Serwer typ I – 2 sztuki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_Toc171605475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7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5D1D2584" w14:textId="59A8C057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6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3.2.2.2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Serwer typ II – 2 sztuki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_Toc171605476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14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423519D6" w14:textId="36DC0E70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7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3.2.3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Zakres prac Wykonawcy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_Toc171605477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22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0A2CFB44" w14:textId="0EA07608" w:rsidR="00A92E36" w:rsidRPr="00A92E36" w:rsidRDefault="00A135C6">
          <w:pPr>
            <w:pStyle w:val="Spistreci2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8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3.2.4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Wsparcie eksperckie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_Toc171605478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26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7AB00EFB" w14:textId="0907AC07" w:rsidR="00A92E36" w:rsidRPr="00A92E36" w:rsidRDefault="00A135C6">
          <w:pPr>
            <w:pStyle w:val="Spistreci1"/>
            <w:rPr>
              <w:rFonts w:ascii="Times New Roman" w:hAnsi="Times New Roman" w:cs="Times New Roman"/>
              <w:color w:val="auto"/>
              <w:sz w:val="26"/>
              <w:szCs w:val="26"/>
              <w:lang w:val="pl-PL" w:eastAsia="pl-PL"/>
            </w:rPr>
          </w:pPr>
          <w:hyperlink w:anchor="_Toc171605479" w:history="1"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4.</w:t>
            </w:r>
            <w:r w:rsidR="00A92E36" w:rsidRPr="00A92E36">
              <w:rPr>
                <w:rFonts w:ascii="Times New Roman" w:hAnsi="Times New Roman" w:cs="Times New Roman"/>
                <w:color w:val="auto"/>
                <w:sz w:val="26"/>
                <w:szCs w:val="26"/>
                <w:lang w:val="pl-PL" w:eastAsia="pl-PL"/>
              </w:rPr>
              <w:tab/>
            </w:r>
            <w:r w:rsidR="00A92E36" w:rsidRPr="00A92E36">
              <w:rPr>
                <w:rStyle w:val="Hipercze"/>
                <w:rFonts w:ascii="Times New Roman" w:hAnsi="Times New Roman" w:cs="Times New Roman"/>
                <w:sz w:val="26"/>
                <w:szCs w:val="26"/>
                <w:lang w:val="pl-PL"/>
              </w:rPr>
              <w:t>Zamówienie realizowane w ramach Prawa Opcji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ab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begin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instrText xml:space="preserve"> PAGEREF _Toc171605479 \h </w:instrTex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separate"/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t>27</w:t>
            </w:r>
            <w:r w:rsidR="00A92E36" w:rsidRPr="00A92E36">
              <w:rPr>
                <w:rFonts w:ascii="Times New Roman" w:hAnsi="Times New Roman" w:cs="Times New Roman"/>
                <w:webHidden/>
                <w:sz w:val="26"/>
                <w:szCs w:val="26"/>
              </w:rPr>
              <w:fldChar w:fldCharType="end"/>
            </w:r>
          </w:hyperlink>
        </w:p>
        <w:p w14:paraId="3F4EE46E" w14:textId="4F3BA4A0" w:rsidR="00F219C6" w:rsidRPr="00D841F4" w:rsidRDefault="00F219C6" w:rsidP="00F219C6">
          <w:pPr>
            <w:pStyle w:val="Spistreci2"/>
            <w:jc w:val="both"/>
            <w:rPr>
              <w:rFonts w:ascii="Times New Roman" w:hAnsi="Times New Roman" w:cs="Times New Roman"/>
              <w:noProof w:val="0"/>
              <w:sz w:val="26"/>
              <w:szCs w:val="26"/>
              <w:lang w:val="pl-PL"/>
            </w:rPr>
          </w:pPr>
          <w:r w:rsidRPr="00A92E36">
            <w:rPr>
              <w:rFonts w:ascii="Times New Roman" w:hAnsi="Times New Roman" w:cs="Times New Roman"/>
              <w:b/>
              <w:bCs/>
              <w:noProof w:val="0"/>
              <w:sz w:val="26"/>
              <w:szCs w:val="26"/>
              <w:lang w:val="pl-PL"/>
            </w:rPr>
            <w:fldChar w:fldCharType="end"/>
          </w:r>
        </w:p>
      </w:sdtContent>
    </w:sdt>
    <w:p w14:paraId="509E2321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5DB69AA7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br w:type="page"/>
      </w:r>
    </w:p>
    <w:p w14:paraId="4157E790" w14:textId="77777777" w:rsidR="00F219C6" w:rsidRPr="00D841F4" w:rsidRDefault="00F219C6" w:rsidP="00F219C6">
      <w:pPr>
        <w:pStyle w:val="Nagwek1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Cs w:val="26"/>
          <w:lang w:val="pl-PL"/>
        </w:rPr>
      </w:pPr>
      <w:bookmarkStart w:id="4" w:name="_Toc9873527"/>
      <w:bookmarkStart w:id="5" w:name="_Toc19094711"/>
      <w:bookmarkStart w:id="6" w:name="_Toc171605466"/>
      <w:bookmarkStart w:id="7" w:name="_Hlk69193489"/>
      <w:r w:rsidRPr="00D841F4">
        <w:rPr>
          <w:rFonts w:ascii="Times New Roman" w:hAnsi="Times New Roman" w:cs="Times New Roman"/>
          <w:szCs w:val="26"/>
          <w:lang w:val="pl-PL"/>
        </w:rPr>
        <w:lastRenderedPageBreak/>
        <w:t>Słownik pojęć i skrótów.</w:t>
      </w:r>
      <w:bookmarkEnd w:id="4"/>
      <w:bookmarkEnd w:id="5"/>
      <w:bookmarkEnd w:id="6"/>
    </w:p>
    <w:p w14:paraId="645B528E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1E7B0A39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b/>
          <w:sz w:val="26"/>
          <w:szCs w:val="26"/>
          <w:lang w:val="pl-PL"/>
        </w:rPr>
        <w:t>POPD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–Podstawowy Ośrod</w:t>
      </w:r>
      <w:r>
        <w:rPr>
          <w:rFonts w:ascii="Times New Roman" w:hAnsi="Times New Roman" w:cs="Times New Roman"/>
          <w:sz w:val="26"/>
          <w:szCs w:val="26"/>
          <w:lang w:val="pl-PL"/>
        </w:rPr>
        <w:t>ek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Przetwarzania Danych,</w:t>
      </w:r>
    </w:p>
    <w:p w14:paraId="7143F11D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b/>
          <w:sz w:val="26"/>
          <w:szCs w:val="26"/>
          <w:lang w:val="pl-PL"/>
        </w:rPr>
        <w:t>ZOPD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–Zapasowy Ośrod</w:t>
      </w:r>
      <w:r>
        <w:rPr>
          <w:rFonts w:ascii="Times New Roman" w:hAnsi="Times New Roman" w:cs="Times New Roman"/>
          <w:sz w:val="26"/>
          <w:szCs w:val="26"/>
          <w:lang w:val="pl-PL"/>
        </w:rPr>
        <w:t>ek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Przetwarzania Danych,</w:t>
      </w:r>
    </w:p>
    <w:p w14:paraId="5685DF84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b/>
          <w:sz w:val="26"/>
          <w:szCs w:val="26"/>
          <w:lang w:val="pl-PL"/>
        </w:rPr>
        <w:t>Oprogramowanie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– wartości niematerialne i prawne dostarczane w ramach przedmiotowego postępowania</w:t>
      </w:r>
    </w:p>
    <w:p w14:paraId="68DCC010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b/>
          <w:sz w:val="26"/>
          <w:szCs w:val="26"/>
          <w:lang w:val="pl-PL"/>
        </w:rPr>
        <w:t>ITS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– infrastruktura techniczno-systemowa</w:t>
      </w:r>
    </w:p>
    <w:p w14:paraId="77C12257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b/>
          <w:sz w:val="26"/>
          <w:szCs w:val="26"/>
          <w:lang w:val="pl-PL"/>
        </w:rPr>
        <w:t>Urządzenie/Sprzęt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– sprzęt teleinformatyczny dostarczany w ramach przedmiotowego postępowania</w:t>
      </w:r>
    </w:p>
    <w:bookmarkEnd w:id="7"/>
    <w:p w14:paraId="474F5F76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4B0E1572" w14:textId="77777777" w:rsidR="00F219C6" w:rsidRPr="00D841F4" w:rsidRDefault="00F219C6" w:rsidP="00F219C6">
      <w:pPr>
        <w:pStyle w:val="Nagwek1"/>
        <w:numPr>
          <w:ilvl w:val="0"/>
          <w:numId w:val="9"/>
        </w:numPr>
        <w:jc w:val="both"/>
        <w:rPr>
          <w:rFonts w:ascii="Times New Roman" w:hAnsi="Times New Roman" w:cs="Times New Roman"/>
          <w:szCs w:val="26"/>
          <w:lang w:val="pl-PL"/>
        </w:rPr>
      </w:pPr>
      <w:bookmarkStart w:id="8" w:name="_Toc9873535"/>
      <w:bookmarkStart w:id="9" w:name="_Toc19094712"/>
      <w:bookmarkStart w:id="10" w:name="_Toc171605467"/>
      <w:r w:rsidRPr="00D841F4">
        <w:rPr>
          <w:rFonts w:ascii="Times New Roman" w:hAnsi="Times New Roman" w:cs="Times New Roman"/>
          <w:szCs w:val="26"/>
          <w:lang w:val="pl-PL"/>
        </w:rPr>
        <w:t>Ogólny Opis Przedmiotu Zamówienia</w:t>
      </w:r>
      <w:bookmarkStart w:id="11" w:name="_Toc472915390"/>
      <w:bookmarkStart w:id="12" w:name="_Toc472964782"/>
      <w:bookmarkStart w:id="13" w:name="_Toc473107732"/>
      <w:bookmarkStart w:id="14" w:name="_Toc511139522"/>
      <w:bookmarkEnd w:id="8"/>
      <w:bookmarkEnd w:id="9"/>
      <w:bookmarkEnd w:id="10"/>
    </w:p>
    <w:p w14:paraId="76599F9C" w14:textId="77777777" w:rsidR="00F219C6" w:rsidRPr="00D841F4" w:rsidRDefault="00F219C6" w:rsidP="00F219C6">
      <w:pPr>
        <w:pStyle w:val="Nagwek2"/>
        <w:numPr>
          <w:ilvl w:val="1"/>
          <w:numId w:val="8"/>
        </w:numPr>
        <w:rPr>
          <w:rFonts w:ascii="Times New Roman" w:hAnsi="Times New Roman" w:cs="Times New Roman"/>
          <w:sz w:val="26"/>
          <w:szCs w:val="26"/>
          <w:lang w:val="pl-PL"/>
        </w:rPr>
      </w:pPr>
      <w:bookmarkStart w:id="15" w:name="_Toc9873536"/>
      <w:bookmarkStart w:id="16" w:name="_Toc9876680"/>
      <w:bookmarkStart w:id="17" w:name="_Toc9876899"/>
      <w:bookmarkStart w:id="18" w:name="_Toc9877094"/>
      <w:bookmarkStart w:id="19" w:name="_Toc9877126"/>
      <w:bookmarkStart w:id="20" w:name="_Toc9877158"/>
      <w:bookmarkStart w:id="21" w:name="_Toc9877539"/>
      <w:bookmarkStart w:id="22" w:name="_Toc9878071"/>
      <w:bookmarkStart w:id="23" w:name="_Toc9879106"/>
      <w:bookmarkStart w:id="24" w:name="_Toc9879452"/>
      <w:bookmarkStart w:id="25" w:name="_Toc9879484"/>
      <w:bookmarkStart w:id="26" w:name="_Toc9879619"/>
      <w:bookmarkStart w:id="27" w:name="_Toc9928742"/>
      <w:bookmarkStart w:id="28" w:name="_Toc9930094"/>
      <w:bookmarkStart w:id="29" w:name="_Toc9930173"/>
      <w:bookmarkStart w:id="30" w:name="_Toc14165329"/>
      <w:bookmarkStart w:id="31" w:name="_Toc14165444"/>
      <w:bookmarkStart w:id="32" w:name="_Toc14165466"/>
      <w:bookmarkStart w:id="33" w:name="_Toc15931429"/>
      <w:bookmarkStart w:id="34" w:name="_Toc15948954"/>
      <w:bookmarkStart w:id="35" w:name="_Toc15949577"/>
      <w:bookmarkStart w:id="36" w:name="_Toc16602232"/>
      <w:bookmarkStart w:id="37" w:name="_Toc16616513"/>
      <w:bookmarkStart w:id="38" w:name="_Toc17449239"/>
      <w:bookmarkStart w:id="39" w:name="_Toc17836217"/>
      <w:bookmarkStart w:id="40" w:name="_Toc9873540"/>
      <w:bookmarkStart w:id="41" w:name="_Toc19094713"/>
      <w:bookmarkStart w:id="42" w:name="_Toc171605468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D841F4">
        <w:rPr>
          <w:rFonts w:ascii="Times New Roman" w:hAnsi="Times New Roman" w:cs="Times New Roman"/>
          <w:sz w:val="26"/>
          <w:szCs w:val="26"/>
          <w:lang w:val="pl-PL"/>
        </w:rPr>
        <w:t>Kontekst postepowania</w:t>
      </w:r>
      <w:bookmarkEnd w:id="11"/>
      <w:bookmarkEnd w:id="12"/>
      <w:bookmarkEnd w:id="13"/>
      <w:bookmarkEnd w:id="14"/>
      <w:bookmarkEnd w:id="40"/>
      <w:bookmarkEnd w:id="41"/>
      <w:bookmarkEnd w:id="42"/>
    </w:p>
    <w:p w14:paraId="674D24C5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Zamawiający posiada i użytkuje system do zarządzania i rejestracji sesji kont uprzywilejowanych CyberArk oraz następujące elementy sprzętowe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niezbędne do jego funkcjonowania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>:</w:t>
      </w:r>
    </w:p>
    <w:p w14:paraId="15889893" w14:textId="77777777" w:rsidR="00F219C6" w:rsidRPr="00D841F4" w:rsidRDefault="00F219C6" w:rsidP="00F219C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350  x PAS-USER-PERP</w:t>
      </w:r>
    </w:p>
    <w:p w14:paraId="3451EE4F" w14:textId="77777777" w:rsidR="00F219C6" w:rsidRPr="00D841F4" w:rsidRDefault="00F219C6" w:rsidP="00F219C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4 x Dell PowerEdge R740 Server</w:t>
      </w:r>
    </w:p>
    <w:p w14:paraId="46301B4D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3E942134" w14:textId="77777777" w:rsidR="00F219C6" w:rsidRPr="00D841F4" w:rsidRDefault="00F219C6" w:rsidP="00F219C6">
      <w:pPr>
        <w:pStyle w:val="Nagwek2"/>
        <w:numPr>
          <w:ilvl w:val="1"/>
          <w:numId w:val="8"/>
        </w:numPr>
        <w:rPr>
          <w:rFonts w:ascii="Times New Roman" w:hAnsi="Times New Roman" w:cs="Times New Roman"/>
          <w:sz w:val="26"/>
          <w:szCs w:val="26"/>
          <w:lang w:val="pl-PL"/>
        </w:rPr>
      </w:pPr>
      <w:bookmarkStart w:id="43" w:name="_Toc472915391"/>
      <w:bookmarkStart w:id="44" w:name="_Toc472964783"/>
      <w:bookmarkStart w:id="45" w:name="_Toc473107733"/>
      <w:bookmarkStart w:id="46" w:name="_Toc511139523"/>
      <w:bookmarkStart w:id="47" w:name="_Toc9873541"/>
      <w:bookmarkStart w:id="48" w:name="_Toc19094714"/>
      <w:bookmarkStart w:id="49" w:name="_Toc171605469"/>
      <w:r w:rsidRPr="00D841F4">
        <w:rPr>
          <w:rFonts w:ascii="Times New Roman" w:hAnsi="Times New Roman" w:cs="Times New Roman"/>
          <w:sz w:val="26"/>
          <w:szCs w:val="26"/>
          <w:lang w:val="pl-PL"/>
        </w:rPr>
        <w:t>Przedmiot postępowania</w:t>
      </w:r>
      <w:bookmarkEnd w:id="43"/>
      <w:bookmarkEnd w:id="44"/>
      <w:bookmarkEnd w:id="45"/>
      <w:bookmarkEnd w:id="46"/>
      <w:bookmarkEnd w:id="47"/>
      <w:bookmarkEnd w:id="48"/>
      <w:bookmarkEnd w:id="49"/>
    </w:p>
    <w:p w14:paraId="53CAA5A0" w14:textId="77777777" w:rsidR="00F219C6" w:rsidRPr="00D841F4" w:rsidRDefault="00F219C6" w:rsidP="00F219C6">
      <w:pPr>
        <w:spacing w:before="240" w:after="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Postępowanie przetargowe ma na celu odnowienie </w:t>
      </w:r>
      <w:r>
        <w:rPr>
          <w:rFonts w:ascii="Times New Roman" w:hAnsi="Times New Roman" w:cs="Times New Roman"/>
          <w:sz w:val="26"/>
          <w:szCs w:val="26"/>
          <w:lang w:val="pl-PL"/>
        </w:rPr>
        <w:t>serwisu gwarancyjnego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producenta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>d</w:t>
      </w:r>
      <w:r>
        <w:rPr>
          <w:rFonts w:ascii="Times New Roman" w:hAnsi="Times New Roman" w:cs="Times New Roman"/>
          <w:sz w:val="26"/>
          <w:szCs w:val="26"/>
          <w:lang w:val="pl-PL"/>
        </w:rPr>
        <w:t>la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posiadanych przez Zamawiającego licencji do systemu zarządzania i rejestracji sesji kont uprzywilejowanych, wykonanie konwersji posiadanych licencji do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obecnego modelu licenjonowania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l-PL"/>
        </w:rPr>
        <w:t>producenta (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>wersji subskrypcyjnej</w:t>
      </w:r>
      <w:r>
        <w:rPr>
          <w:rFonts w:ascii="Times New Roman" w:hAnsi="Times New Roman" w:cs="Times New Roman"/>
          <w:sz w:val="26"/>
          <w:szCs w:val="26"/>
          <w:lang w:val="pl-PL"/>
        </w:rPr>
        <w:t>) na okres 36 miesięcy od dnia podpisania Protokołu Odbioru Końcowego, wymiany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aktualnego środowiska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serwerowego oraz realizację usług związanych w wykonaniem zamówienia.</w:t>
      </w:r>
    </w:p>
    <w:p w14:paraId="2040CDE2" w14:textId="77777777" w:rsidR="00F219C6" w:rsidRPr="00D841F4" w:rsidRDefault="00F219C6" w:rsidP="00F219C6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</w:p>
    <w:p w14:paraId="71271A03" w14:textId="77777777" w:rsidR="00F219C6" w:rsidRPr="00D841F4" w:rsidRDefault="00F219C6" w:rsidP="00F219C6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b/>
          <w:bCs/>
          <w:sz w:val="26"/>
          <w:szCs w:val="26"/>
          <w:lang w:val="pl-PL"/>
        </w:rPr>
        <w:t>Elementami składowymi będącymi przedmiotem postępowania są:</w:t>
      </w:r>
    </w:p>
    <w:p w14:paraId="041DC6CD" w14:textId="77777777" w:rsidR="00F219C6" w:rsidRPr="00D841F4" w:rsidRDefault="00F219C6" w:rsidP="00F219C6">
      <w:pPr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Licencje CyberArk: </w:t>
      </w:r>
    </w:p>
    <w:p w14:paraId="0560548F" w14:textId="77777777" w:rsidR="00F219C6" w:rsidRPr="00D841F4" w:rsidRDefault="00F219C6" w:rsidP="00F219C6">
      <w:pPr>
        <w:numPr>
          <w:ilvl w:val="1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Wykonanie konwersji licencji z PAS-USER-PERP do wersji subskrypcyjnej PRIV-STANDARD-USER-SUBS CONVERTED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na okres minimum 36 </w:t>
      </w:r>
      <w:r>
        <w:rPr>
          <w:rFonts w:ascii="Times New Roman" w:hAnsi="Times New Roman" w:cs="Times New Roman"/>
          <w:sz w:val="26"/>
          <w:szCs w:val="26"/>
          <w:lang w:val="pl-PL"/>
        </w:rPr>
        <w:lastRenderedPageBreak/>
        <w:t>miesięcy od dnia podpisania Protokołu Odbioru Końcowego, pozwalajającej na realizację minimum następujących funkcji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>:</w:t>
      </w:r>
    </w:p>
    <w:p w14:paraId="5B989A42" w14:textId="77777777" w:rsidR="00F219C6" w:rsidRPr="00D841F4" w:rsidRDefault="00F219C6" w:rsidP="00F219C6">
      <w:pPr>
        <w:numPr>
          <w:ilvl w:val="2"/>
          <w:numId w:val="13"/>
        </w:numPr>
        <w:spacing w:after="0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Zarządzanie kontami i dostępami uprzywilejowanymi </w:t>
      </w:r>
    </w:p>
    <w:p w14:paraId="0862CB8B" w14:textId="77777777" w:rsidR="00F219C6" w:rsidRPr="00D841F4" w:rsidRDefault="00F219C6" w:rsidP="00F219C6">
      <w:pPr>
        <w:numPr>
          <w:ilvl w:val="2"/>
          <w:numId w:val="13"/>
        </w:numPr>
        <w:spacing w:after="0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Zarządzanie sesjami uprzywilejowanymi</w:t>
      </w:r>
    </w:p>
    <w:p w14:paraId="512746BF" w14:textId="77777777" w:rsidR="00F219C6" w:rsidRPr="00D841F4" w:rsidRDefault="00F219C6" w:rsidP="00F219C6">
      <w:pPr>
        <w:numPr>
          <w:ilvl w:val="2"/>
          <w:numId w:val="13"/>
        </w:numPr>
        <w:spacing w:after="0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Zarządzanie incydentami bezpieczeństwa</w:t>
      </w:r>
    </w:p>
    <w:p w14:paraId="6AD1F084" w14:textId="77777777" w:rsidR="00F219C6" w:rsidRPr="00D841F4" w:rsidRDefault="00F219C6" w:rsidP="00F219C6">
      <w:pPr>
        <w:numPr>
          <w:ilvl w:val="2"/>
          <w:numId w:val="13"/>
        </w:numPr>
        <w:spacing w:after="0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Wieloskładnikowe uwierzytelnienie oraz zabezpieczenie dostępu do kluczowych aplikacji poprzez portal Single Sign-On</w:t>
      </w:r>
    </w:p>
    <w:p w14:paraId="1304DDB5" w14:textId="77777777" w:rsidR="00F219C6" w:rsidRPr="00D841F4" w:rsidRDefault="00F219C6" w:rsidP="00F219C6">
      <w:pPr>
        <w:numPr>
          <w:ilvl w:val="2"/>
          <w:numId w:val="13"/>
        </w:numPr>
        <w:spacing w:after="0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Ochrona dostępu zdalnego</w:t>
      </w:r>
    </w:p>
    <w:p w14:paraId="3CBA3601" w14:textId="77777777" w:rsidR="00F219C6" w:rsidRPr="00D841F4" w:rsidRDefault="00F219C6" w:rsidP="00F219C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Dostarczenie n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>iezbędn</w:t>
      </w:r>
      <w:r>
        <w:rPr>
          <w:rFonts w:ascii="Times New Roman" w:hAnsi="Times New Roman" w:cs="Times New Roman"/>
          <w:sz w:val="26"/>
          <w:szCs w:val="26"/>
          <w:lang w:val="pl-PL"/>
        </w:rPr>
        <w:t>ej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infrastruktur</w:t>
      </w:r>
      <w:r>
        <w:rPr>
          <w:rFonts w:ascii="Times New Roman" w:hAnsi="Times New Roman" w:cs="Times New Roman"/>
          <w:sz w:val="26"/>
          <w:szCs w:val="26"/>
          <w:lang w:val="pl-PL"/>
        </w:rPr>
        <w:t>y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sprzętow</w:t>
      </w:r>
      <w:r>
        <w:rPr>
          <w:rFonts w:ascii="Times New Roman" w:hAnsi="Times New Roman" w:cs="Times New Roman"/>
          <w:sz w:val="26"/>
          <w:szCs w:val="26"/>
          <w:lang w:val="pl-PL"/>
        </w:rPr>
        <w:t>ej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(Serwer</w:t>
      </w:r>
      <w:r>
        <w:rPr>
          <w:rFonts w:ascii="Times New Roman" w:hAnsi="Times New Roman" w:cs="Times New Roman"/>
          <w:sz w:val="26"/>
          <w:szCs w:val="26"/>
          <w:lang w:val="pl-PL"/>
        </w:rPr>
        <w:t>y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rack typ I, Serwer</w:t>
      </w:r>
      <w:r>
        <w:rPr>
          <w:rFonts w:ascii="Times New Roman" w:hAnsi="Times New Roman" w:cs="Times New Roman"/>
          <w:sz w:val="26"/>
          <w:szCs w:val="26"/>
          <w:lang w:val="pl-PL"/>
        </w:rPr>
        <w:t>y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rack typ II), na których zostanie zainstalowane</w:t>
      </w:r>
      <w:r>
        <w:rPr>
          <w:rFonts w:ascii="Times New Roman" w:hAnsi="Times New Roman" w:cs="Times New Roman"/>
          <w:sz w:val="26"/>
          <w:szCs w:val="26"/>
          <w:lang w:val="pl-PL"/>
        </w:rPr>
        <w:t>, zmigrowane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i skonfigurowane 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środowisko </w:t>
      </w:r>
      <w:r w:rsidRPr="00CA1286">
        <w:rPr>
          <w:rFonts w:ascii="Times New Roman" w:hAnsi="Times New Roman" w:cs="Times New Roman"/>
          <w:sz w:val="26"/>
          <w:szCs w:val="26"/>
          <w:lang w:val="pl-PL"/>
        </w:rPr>
        <w:t>systemu zarządzania i rejestracji sesji kont uprzywilejowanych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>.</w:t>
      </w:r>
    </w:p>
    <w:p w14:paraId="4EB6A89E" w14:textId="77777777" w:rsidR="00F219C6" w:rsidRPr="00D841F4" w:rsidRDefault="00F219C6" w:rsidP="00F219C6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Świadczenie usług serwisu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gwarancyjnego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producenta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na okres 36 miesięcy 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od dnia zawarcia Umowy 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oraz zapewnienie wsparcia eksperckiego 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w zakresie administracji i konfiguracji rozwiązaniem 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>w ilości 1000 roboczogodzin.</w:t>
      </w:r>
    </w:p>
    <w:p w14:paraId="506F9096" w14:textId="77777777" w:rsidR="00F219C6" w:rsidRPr="00D841F4" w:rsidRDefault="00F219C6" w:rsidP="00F219C6">
      <w:pPr>
        <w:spacing w:after="0"/>
        <w:ind w:left="773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630AA681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2AA27ECD" w14:textId="77777777" w:rsidR="00F219C6" w:rsidRPr="00D841F4" w:rsidRDefault="00F219C6" w:rsidP="00F219C6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br w:type="page"/>
      </w:r>
    </w:p>
    <w:p w14:paraId="36E75371" w14:textId="77777777" w:rsidR="00F219C6" w:rsidRPr="00D841F4" w:rsidRDefault="00F219C6" w:rsidP="00F219C6">
      <w:pPr>
        <w:pStyle w:val="Nagwek1"/>
        <w:numPr>
          <w:ilvl w:val="0"/>
          <w:numId w:val="8"/>
        </w:numPr>
        <w:jc w:val="both"/>
        <w:rPr>
          <w:rFonts w:ascii="Times New Roman" w:hAnsi="Times New Roman" w:cs="Times New Roman"/>
          <w:szCs w:val="26"/>
          <w:lang w:val="pl-PL"/>
        </w:rPr>
      </w:pPr>
      <w:bookmarkStart w:id="50" w:name="_Toc472915487"/>
      <w:bookmarkStart w:id="51" w:name="_Toc472964879"/>
      <w:bookmarkStart w:id="52" w:name="_Toc473107785"/>
      <w:bookmarkStart w:id="53" w:name="_Toc511139532"/>
      <w:bookmarkStart w:id="54" w:name="_Toc9873550"/>
      <w:bookmarkStart w:id="55" w:name="_Toc17448272"/>
      <w:bookmarkStart w:id="56" w:name="_Toc20921595"/>
      <w:bookmarkStart w:id="57" w:name="_Toc171605470"/>
      <w:r w:rsidRPr="00D841F4">
        <w:rPr>
          <w:rFonts w:ascii="Times New Roman" w:hAnsi="Times New Roman" w:cs="Times New Roman"/>
          <w:szCs w:val="26"/>
          <w:lang w:val="pl-PL"/>
        </w:rPr>
        <w:lastRenderedPageBreak/>
        <w:t>Szczegółowy opis przedmiotu zamówienia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378EF24" w14:textId="77777777" w:rsidR="00F219C6" w:rsidRPr="00D841F4" w:rsidRDefault="00F219C6" w:rsidP="00F219C6">
      <w:pPr>
        <w:pStyle w:val="Nagwek2"/>
        <w:numPr>
          <w:ilvl w:val="1"/>
          <w:numId w:val="8"/>
        </w:numPr>
        <w:ind w:left="567" w:hanging="578"/>
        <w:rPr>
          <w:rFonts w:ascii="Times New Roman" w:hAnsi="Times New Roman" w:cs="Times New Roman"/>
          <w:sz w:val="26"/>
          <w:szCs w:val="26"/>
          <w:lang w:val="pl-PL"/>
        </w:rPr>
      </w:pPr>
      <w:bookmarkStart w:id="58" w:name="_Toc171605471"/>
      <w:bookmarkStart w:id="59" w:name="_Toc511139536"/>
      <w:r w:rsidRPr="00D841F4">
        <w:rPr>
          <w:rFonts w:ascii="Times New Roman" w:hAnsi="Times New Roman" w:cs="Times New Roman"/>
          <w:sz w:val="26"/>
          <w:szCs w:val="26"/>
          <w:lang w:val="pl-PL"/>
        </w:rPr>
        <w:t>Wymagania ogólne</w:t>
      </w:r>
      <w:bookmarkEnd w:id="58"/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</w:p>
    <w:p w14:paraId="317B10CB" w14:textId="77777777" w:rsidR="00F219C6" w:rsidRPr="00D841F4" w:rsidRDefault="00F219C6" w:rsidP="00F219C6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Obligatoryjne jest spełnienie następujących wymagań ogólnych: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876"/>
      </w:tblGrid>
      <w:tr w:rsidR="00F219C6" w:rsidRPr="00697331" w14:paraId="0ACC7A27" w14:textId="77777777" w:rsidTr="00A135C6">
        <w:trPr>
          <w:tblHeader/>
        </w:trPr>
        <w:tc>
          <w:tcPr>
            <w:tcW w:w="1187" w:type="pct"/>
            <w:shd w:val="clear" w:color="auto" w:fill="DEEAF6" w:themeFill="accent5" w:themeFillTint="33"/>
            <w:vAlign w:val="center"/>
          </w:tcPr>
          <w:p w14:paraId="594017FB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Identyfikator wymagania</w:t>
            </w:r>
          </w:p>
        </w:tc>
        <w:tc>
          <w:tcPr>
            <w:tcW w:w="3813" w:type="pct"/>
            <w:shd w:val="clear" w:color="auto" w:fill="DEEAF6" w:themeFill="accent5" w:themeFillTint="33"/>
            <w:vAlign w:val="center"/>
            <w:hideMark/>
          </w:tcPr>
          <w:p w14:paraId="0AE4E907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Opis wymagania</w:t>
            </w:r>
          </w:p>
        </w:tc>
      </w:tr>
      <w:tr w:rsidR="00F219C6" w:rsidRPr="00697331" w14:paraId="5C4675E0" w14:textId="77777777" w:rsidTr="00A135C6">
        <w:tc>
          <w:tcPr>
            <w:tcW w:w="1187" w:type="pct"/>
            <w:vAlign w:val="center"/>
          </w:tcPr>
          <w:p w14:paraId="6176DE04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WYMOG-01</w:t>
            </w:r>
          </w:p>
        </w:tc>
        <w:tc>
          <w:tcPr>
            <w:tcW w:w="3813" w:type="pct"/>
            <w:vAlign w:val="center"/>
          </w:tcPr>
          <w:p w14:paraId="283033F8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Wymagane jest dostarczenie platformy serwerowej pochodzącej od jednego producenta.</w:t>
            </w:r>
          </w:p>
        </w:tc>
      </w:tr>
      <w:tr w:rsidR="00F219C6" w:rsidRPr="00697331" w14:paraId="5851A14A" w14:textId="77777777" w:rsidTr="00A135C6">
        <w:tc>
          <w:tcPr>
            <w:tcW w:w="1187" w:type="pct"/>
          </w:tcPr>
          <w:p w14:paraId="162508D7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WYMOG-02</w:t>
            </w:r>
          </w:p>
        </w:tc>
        <w:tc>
          <w:tcPr>
            <w:tcW w:w="3813" w:type="pct"/>
            <w:vAlign w:val="center"/>
          </w:tcPr>
          <w:p w14:paraId="25D0DA40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Oferowane urządzenia muszą pochodzić z bieżącej linii produkcyjnej, być wyprodukowane nie wcześniej niż 6 miesięcy przed dostawą, muszą być produktem rozwijanym, w najnowszej stabilnej wersji.</w:t>
            </w:r>
          </w:p>
        </w:tc>
      </w:tr>
      <w:tr w:rsidR="00F219C6" w:rsidRPr="00697331" w14:paraId="07FCDE30" w14:textId="77777777" w:rsidTr="00A135C6">
        <w:tc>
          <w:tcPr>
            <w:tcW w:w="1187" w:type="pct"/>
          </w:tcPr>
          <w:p w14:paraId="4EA57E21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WYMOG-03</w:t>
            </w:r>
          </w:p>
        </w:tc>
        <w:tc>
          <w:tcPr>
            <w:tcW w:w="3813" w:type="pct"/>
            <w:vAlign w:val="center"/>
          </w:tcPr>
          <w:p w14:paraId="3DE4A78F" w14:textId="77777777" w:rsidR="00F219C6" w:rsidRPr="00697331" w:rsidRDefault="00F219C6" w:rsidP="00A135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Oferowane Oprogramowanie musi być produktem rozwijanym, w najnowszej stabilnej wersji i nie może być dla niego ogłoszone zakończenie produkcji, koniec sprzedaży ani koniec wsparcia. Jeżeli oferowane Oprogramowanie posiada nowszą wersję, następcę Oprogramowania - należy zaoferować rozwiązanie najnowsze.</w:t>
            </w:r>
          </w:p>
        </w:tc>
      </w:tr>
      <w:tr w:rsidR="00F219C6" w:rsidRPr="00697331" w14:paraId="254FA1C9" w14:textId="77777777" w:rsidTr="00A135C6">
        <w:tc>
          <w:tcPr>
            <w:tcW w:w="1187" w:type="pct"/>
          </w:tcPr>
          <w:p w14:paraId="0AE4849F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WYMOG-04</w:t>
            </w:r>
          </w:p>
        </w:tc>
        <w:tc>
          <w:tcPr>
            <w:tcW w:w="3813" w:type="pct"/>
            <w:vAlign w:val="center"/>
          </w:tcPr>
          <w:p w14:paraId="7BC08F8A" w14:textId="77777777" w:rsidR="00F219C6" w:rsidRPr="00697331" w:rsidRDefault="00F219C6" w:rsidP="00A135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Jeżeli do poprawnego działania dostarczanego elementu Oprogramowania niezbędne jest wykorzystanie dodatkowych elementów, licencji, nieujętych wprost w szczegółowym opisie wymagań, to należy je przewidzieć i dostarczyć w ramach oferowanego rozwiązania i wynagrodzenia z tytułu realizacji przedmiotu zamówienia z wyłączeniem licencji dla systemów operacyjnych Microsoft Windows Server 2022 oraz licencji dostępowych Microsoft RDS CAL.</w:t>
            </w:r>
          </w:p>
        </w:tc>
      </w:tr>
      <w:tr w:rsidR="00F219C6" w:rsidRPr="00697331" w14:paraId="4AB8DD63" w14:textId="77777777" w:rsidTr="00A135C6">
        <w:tc>
          <w:tcPr>
            <w:tcW w:w="1187" w:type="pct"/>
          </w:tcPr>
          <w:p w14:paraId="7AFE7136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WYMOG-05</w:t>
            </w:r>
          </w:p>
        </w:tc>
        <w:tc>
          <w:tcPr>
            <w:tcW w:w="3813" w:type="pct"/>
            <w:vAlign w:val="center"/>
          </w:tcPr>
          <w:p w14:paraId="0E4A129E" w14:textId="77777777" w:rsidR="00F219C6" w:rsidRPr="00697331" w:rsidRDefault="00F219C6" w:rsidP="00A135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Wymagany jest dostęp dla Zamawiającego do materiałów producenta oprogramowania, które zostało zaoferowane, takich jak: dokumentacja techniczna, internetowa baza wiedzy i forum internetowe producenta o ile takie istnieje</w:t>
            </w:r>
          </w:p>
        </w:tc>
      </w:tr>
      <w:tr w:rsidR="00F219C6" w:rsidRPr="00697331" w14:paraId="08406D7B" w14:textId="77777777" w:rsidTr="00A135C6">
        <w:tc>
          <w:tcPr>
            <w:tcW w:w="1187" w:type="pct"/>
          </w:tcPr>
          <w:p w14:paraId="3111FC54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WYMOG-06</w:t>
            </w:r>
          </w:p>
        </w:tc>
        <w:tc>
          <w:tcPr>
            <w:tcW w:w="3813" w:type="pct"/>
            <w:vAlign w:val="center"/>
          </w:tcPr>
          <w:p w14:paraId="1A09E26F" w14:textId="77777777" w:rsidR="00F219C6" w:rsidRPr="00697331" w:rsidRDefault="00F219C6" w:rsidP="00A135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Wymagany jest dostęp dla Zamawiającego do poprawek i uaktualnień oprogramowania objętego gwarancją przez cały czas jej trwania</w:t>
            </w:r>
          </w:p>
        </w:tc>
      </w:tr>
      <w:tr w:rsidR="00F219C6" w:rsidRPr="00697331" w14:paraId="3280DC52" w14:textId="77777777" w:rsidTr="00A135C6">
        <w:tc>
          <w:tcPr>
            <w:tcW w:w="1187" w:type="pct"/>
          </w:tcPr>
          <w:p w14:paraId="2AB4C128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WYMOG-07</w:t>
            </w:r>
          </w:p>
        </w:tc>
        <w:tc>
          <w:tcPr>
            <w:tcW w:w="3813" w:type="pct"/>
            <w:vAlign w:val="center"/>
          </w:tcPr>
          <w:p w14:paraId="7362DB38" w14:textId="77777777" w:rsidR="00F219C6" w:rsidRPr="00697331" w:rsidRDefault="00F219C6" w:rsidP="00A135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Wykonawca zobowiązany jest zainstalować wszystkie dostarczone urządzenia w posiadanych przez Zamawiajacego szafach telekomunikacyjnych RACK. Urządzenia muszą być dostarczone wraz z wymaganymi do tego celu uchwytami, prowadnicami, przewodami itd.</w:t>
            </w:r>
          </w:p>
        </w:tc>
      </w:tr>
      <w:tr w:rsidR="00F219C6" w:rsidRPr="00697331" w14:paraId="4D38A85E" w14:textId="77777777" w:rsidTr="00A135C6">
        <w:tc>
          <w:tcPr>
            <w:tcW w:w="1187" w:type="pct"/>
          </w:tcPr>
          <w:p w14:paraId="1490FBB3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WYMOG-08</w:t>
            </w:r>
          </w:p>
        </w:tc>
        <w:tc>
          <w:tcPr>
            <w:tcW w:w="3813" w:type="pct"/>
            <w:vAlign w:val="center"/>
          </w:tcPr>
          <w:p w14:paraId="1914C790" w14:textId="77777777" w:rsidR="00F219C6" w:rsidRPr="00697331" w:rsidRDefault="00F219C6" w:rsidP="00A135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Urządzenia muszą posiadać wymiary umożliwiające montaż w szafie teleinformatycznej RACK, tj. głębokość i konstrukcja urządzenia muszą zapewnić możliwość montażu w szafie rack dostarczanych w ramach przedmiotowego postępowania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 xml:space="preserve">. </w:t>
            </w: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Dołączenie zasilania, przewodów światłowodowych oraz miedzianych musi odbywać się przy zapewnieniu wymaganych promieni zginania tych przewodów.</w:t>
            </w:r>
          </w:p>
        </w:tc>
      </w:tr>
      <w:tr w:rsidR="00F219C6" w:rsidRPr="00697331" w14:paraId="354E23F1" w14:textId="77777777" w:rsidTr="00A135C6">
        <w:tc>
          <w:tcPr>
            <w:tcW w:w="1187" w:type="pct"/>
          </w:tcPr>
          <w:p w14:paraId="119FFBD0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lastRenderedPageBreak/>
              <w:t>WYMOG-09</w:t>
            </w:r>
          </w:p>
        </w:tc>
        <w:tc>
          <w:tcPr>
            <w:tcW w:w="3813" w:type="pct"/>
            <w:vAlign w:val="center"/>
          </w:tcPr>
          <w:p w14:paraId="418C0FFD" w14:textId="77777777" w:rsidR="00F219C6" w:rsidRPr="00697331" w:rsidRDefault="00F219C6" w:rsidP="00A135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Urządzenia muszą być wyposażone w zasilacze dostosowane do napięcia przemiennego 230V i być wyposażone odpowiednią liczbę przewodów zasilających pozwalających na podłączenie wszystkich zasilaczy, w jakie jest wyposażone dane urządzenie do PDU w danej szafie teleinformatycznej. Zamawiający nie dopuszcza dodatkowych złącz, przejściówek itp. Dostarczenie odpowiednich PDU leży po stronie Wykonawcy.</w:t>
            </w:r>
          </w:p>
        </w:tc>
      </w:tr>
      <w:tr w:rsidR="00F219C6" w:rsidRPr="00697331" w14:paraId="5FE7AA74" w14:textId="77777777" w:rsidTr="00A135C6">
        <w:tc>
          <w:tcPr>
            <w:tcW w:w="1187" w:type="pct"/>
          </w:tcPr>
          <w:p w14:paraId="11C5B5E3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WYMOG-10</w:t>
            </w:r>
          </w:p>
        </w:tc>
        <w:tc>
          <w:tcPr>
            <w:tcW w:w="3813" w:type="pct"/>
            <w:vAlign w:val="center"/>
          </w:tcPr>
          <w:p w14:paraId="68DF7711" w14:textId="77777777" w:rsidR="00F219C6" w:rsidRPr="00697331" w:rsidRDefault="00F219C6" w:rsidP="00A135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Wszystkie muszą być dostarczone z redundantnymi zasilaczami zapewniającymi poprawną pracę urządzenia w pełnej, wymaganej przez Zamawiającego, konfiguracji z wykorzystaniem zasilania z jednego obwodu, przy zachowaniu pełnej funkcjonalności urządzenia.</w:t>
            </w:r>
          </w:p>
        </w:tc>
      </w:tr>
      <w:tr w:rsidR="00F219C6" w:rsidRPr="00697331" w14:paraId="3159FA3A" w14:textId="77777777" w:rsidTr="00A135C6">
        <w:tc>
          <w:tcPr>
            <w:tcW w:w="1187" w:type="pct"/>
          </w:tcPr>
          <w:p w14:paraId="558317D4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WYMOG-11</w:t>
            </w:r>
          </w:p>
        </w:tc>
        <w:tc>
          <w:tcPr>
            <w:tcW w:w="3813" w:type="pct"/>
            <w:vAlign w:val="center"/>
          </w:tcPr>
          <w:p w14:paraId="21360B3D" w14:textId="77777777" w:rsidR="00F219C6" w:rsidRPr="00697331" w:rsidRDefault="00F219C6" w:rsidP="00A135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Dostarczone urządzenia muszą umożliwiać pracę z pełną funkcjonalnością w pełnej, wymaganej przez Zamawiającego, konfiguracji przy wyłączeniu dowolnego z zasilaczy urządzenia.</w:t>
            </w:r>
          </w:p>
        </w:tc>
      </w:tr>
      <w:bookmarkEnd w:id="59"/>
    </w:tbl>
    <w:p w14:paraId="63E15F74" w14:textId="77777777" w:rsidR="00F219C6" w:rsidRDefault="00F219C6" w:rsidP="00F219C6">
      <w:pPr>
        <w:tabs>
          <w:tab w:val="left" w:pos="6958"/>
        </w:tabs>
        <w:jc w:val="both"/>
        <w:rPr>
          <w:rFonts w:ascii="Times New Roman" w:eastAsiaTheme="majorEastAsia" w:hAnsi="Times New Roman" w:cs="Times New Roman"/>
          <w:b/>
          <w:color w:val="365F91"/>
          <w:sz w:val="26"/>
          <w:szCs w:val="26"/>
          <w:lang w:val="pl-PL" w:eastAsia="fr-FR"/>
        </w:rPr>
      </w:pPr>
    </w:p>
    <w:p w14:paraId="5817E3EB" w14:textId="77777777" w:rsidR="00F219C6" w:rsidRPr="002328A9" w:rsidRDefault="00F219C6" w:rsidP="00F219C6">
      <w:pPr>
        <w:pStyle w:val="Nagwek2"/>
        <w:numPr>
          <w:ilvl w:val="1"/>
          <w:numId w:val="8"/>
        </w:numPr>
        <w:ind w:left="567" w:hanging="578"/>
        <w:rPr>
          <w:rFonts w:ascii="Times New Roman" w:hAnsi="Times New Roman" w:cs="Times New Roman"/>
          <w:sz w:val="26"/>
          <w:szCs w:val="26"/>
          <w:lang w:val="pl-PL"/>
        </w:rPr>
      </w:pPr>
      <w:bookmarkStart w:id="60" w:name="_Toc171605472"/>
      <w:r w:rsidRPr="002328A9">
        <w:rPr>
          <w:rFonts w:ascii="Times New Roman" w:hAnsi="Times New Roman" w:cs="Times New Roman"/>
          <w:sz w:val="26"/>
          <w:szCs w:val="26"/>
          <w:lang w:val="pl-PL"/>
        </w:rPr>
        <w:t>Specyfikacja produktów</w:t>
      </w:r>
      <w:bookmarkStart w:id="61" w:name="_Hlk132715796"/>
      <w:bookmarkEnd w:id="60"/>
    </w:p>
    <w:p w14:paraId="278F9519" w14:textId="77777777" w:rsidR="00F219C6" w:rsidRPr="0064216F" w:rsidRDefault="00F219C6" w:rsidP="00F219C6">
      <w:pPr>
        <w:pStyle w:val="Nagwek2"/>
        <w:numPr>
          <w:ilvl w:val="2"/>
          <w:numId w:val="25"/>
        </w:numPr>
        <w:ind w:left="1276"/>
        <w:rPr>
          <w:rFonts w:ascii="Times New Roman" w:hAnsi="Times New Roman" w:cs="Times New Roman"/>
          <w:sz w:val="26"/>
          <w:szCs w:val="26"/>
          <w:lang w:val="pl-PL"/>
        </w:rPr>
      </w:pPr>
      <w:bookmarkStart w:id="62" w:name="_Toc171605473"/>
      <w:r w:rsidRPr="0064216F">
        <w:rPr>
          <w:rFonts w:ascii="Times New Roman" w:hAnsi="Times New Roman" w:cs="Times New Roman"/>
          <w:sz w:val="26"/>
          <w:szCs w:val="26"/>
          <w:lang w:val="pl-PL"/>
        </w:rPr>
        <w:t>Odnowienie serwisu gwarancyjnego producenta dla posiadanych przez Zamawiającego licencji systemu zarządzania i rejestracji sesji kont uprzywilejowanych</w:t>
      </w:r>
      <w:bookmarkEnd w:id="62"/>
    </w:p>
    <w:p w14:paraId="4A57BB0B" w14:textId="77777777" w:rsidR="00F219C6" w:rsidRPr="00F300CB" w:rsidRDefault="00F219C6" w:rsidP="00F219C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F300CB">
        <w:rPr>
          <w:rFonts w:ascii="Times New Roman" w:hAnsi="Times New Roman" w:cs="Times New Roman"/>
          <w:sz w:val="26"/>
          <w:szCs w:val="26"/>
          <w:lang w:val="pl-PL"/>
        </w:rPr>
        <w:t>Wykonawca dokona konwersji posiadanej przez Zamawiającego licencji  PAS-USER-PERP do wersji subskrypcyjnej PRIV-STANDARD-USER-SUBS CONVERTED na okres minimum 36 miesięcy od dnia podpisania Protokołu Odbioru Końcowego, pozwalajającej na realizację minimum następujących funkcji:</w:t>
      </w:r>
    </w:p>
    <w:p w14:paraId="22AF8278" w14:textId="77777777" w:rsidR="00F219C6" w:rsidRPr="00D841F4" w:rsidRDefault="00F219C6" w:rsidP="00F219C6">
      <w:pPr>
        <w:numPr>
          <w:ilvl w:val="2"/>
          <w:numId w:val="13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Zarządzanie kontami i dostępami uprzywilejowanymi </w:t>
      </w:r>
    </w:p>
    <w:p w14:paraId="422CF788" w14:textId="77777777" w:rsidR="00F219C6" w:rsidRPr="00D841F4" w:rsidRDefault="00F219C6" w:rsidP="00F219C6">
      <w:pPr>
        <w:numPr>
          <w:ilvl w:val="2"/>
          <w:numId w:val="13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Zarządzanie sesjami uprzywilejowanymi</w:t>
      </w:r>
    </w:p>
    <w:p w14:paraId="5220F040" w14:textId="77777777" w:rsidR="00F219C6" w:rsidRPr="00D841F4" w:rsidRDefault="00F219C6" w:rsidP="00F219C6">
      <w:pPr>
        <w:numPr>
          <w:ilvl w:val="2"/>
          <w:numId w:val="13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Zarządzanie incydentami bezpieczeństwa</w:t>
      </w:r>
    </w:p>
    <w:p w14:paraId="54ADAAE7" w14:textId="77777777" w:rsidR="00F219C6" w:rsidRPr="00D841F4" w:rsidRDefault="00F219C6" w:rsidP="00F219C6">
      <w:pPr>
        <w:numPr>
          <w:ilvl w:val="2"/>
          <w:numId w:val="13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Wieloskładnikowe uwierzytelnienie oraz zabezpieczenie dostępu do kluczowych aplikacji poprzez portal Single Sign-On</w:t>
      </w:r>
    </w:p>
    <w:p w14:paraId="25825016" w14:textId="77777777" w:rsidR="00F219C6" w:rsidRPr="00D841F4" w:rsidRDefault="00F219C6" w:rsidP="00F219C6">
      <w:pPr>
        <w:numPr>
          <w:ilvl w:val="2"/>
          <w:numId w:val="13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Ochrona dostępu zdalnego</w:t>
      </w:r>
    </w:p>
    <w:p w14:paraId="1347329D" w14:textId="77777777" w:rsidR="00F219C6" w:rsidRPr="0064216F" w:rsidRDefault="00F219C6" w:rsidP="00F219C6">
      <w:pPr>
        <w:pStyle w:val="Nagwek2"/>
        <w:numPr>
          <w:ilvl w:val="2"/>
          <w:numId w:val="25"/>
        </w:numPr>
        <w:ind w:left="1276"/>
        <w:rPr>
          <w:rFonts w:ascii="Times New Roman" w:hAnsi="Times New Roman" w:cs="Times New Roman"/>
          <w:sz w:val="26"/>
          <w:szCs w:val="26"/>
          <w:lang w:val="pl-PL"/>
        </w:rPr>
      </w:pPr>
      <w:bookmarkStart w:id="63" w:name="_Toc171605474"/>
      <w:r w:rsidRPr="0064216F">
        <w:rPr>
          <w:rFonts w:ascii="Times New Roman" w:hAnsi="Times New Roman" w:cs="Times New Roman"/>
          <w:sz w:val="26"/>
          <w:szCs w:val="26"/>
          <w:lang w:val="pl-PL"/>
        </w:rPr>
        <w:t>Wymiana posiadanych przez Zamawiajacego SERWERÓW</w:t>
      </w:r>
      <w:bookmarkEnd w:id="63"/>
    </w:p>
    <w:p w14:paraId="2D6D639D" w14:textId="3AB56543" w:rsidR="00F219C6" w:rsidRDefault="00F219C6" w:rsidP="00F219C6">
      <w:pPr>
        <w:spacing w:after="0" w:line="36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  <w:lang w:val="pl-PL"/>
        </w:rPr>
      </w:pPr>
      <w:r w:rsidRPr="00D841F4">
        <w:rPr>
          <w:rFonts w:ascii="Times New Roman" w:hAnsi="Times New Roman" w:cs="Times New Roman"/>
          <w:sz w:val="26"/>
          <w:szCs w:val="26"/>
          <w:lang w:val="pl-PL"/>
        </w:rPr>
        <w:t>W ramach realizowanych usług Wykonawca dokona wymiany czterech posi</w:t>
      </w:r>
      <w:r>
        <w:rPr>
          <w:rFonts w:ascii="Times New Roman" w:hAnsi="Times New Roman" w:cs="Times New Roman"/>
          <w:sz w:val="26"/>
          <w:szCs w:val="26"/>
          <w:lang w:val="pl-PL"/>
        </w:rPr>
        <w:t>a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danych przez </w:t>
      </w:r>
      <w:r w:rsidR="00642E4F" w:rsidRPr="00D841F4">
        <w:rPr>
          <w:rFonts w:ascii="Times New Roman" w:hAnsi="Times New Roman" w:cs="Times New Roman"/>
          <w:sz w:val="26"/>
          <w:szCs w:val="26"/>
          <w:lang w:val="pl-PL"/>
        </w:rPr>
        <w:t>Zamawiającego</w:t>
      </w:r>
      <w:r w:rsidRPr="00D841F4">
        <w:rPr>
          <w:rFonts w:ascii="Times New Roman" w:hAnsi="Times New Roman" w:cs="Times New Roman"/>
          <w:sz w:val="26"/>
          <w:szCs w:val="26"/>
          <w:lang w:val="pl-PL"/>
        </w:rPr>
        <w:t xml:space="preserve"> serwerów </w:t>
      </w:r>
      <w:r w:rsidRPr="00CB6832">
        <w:rPr>
          <w:rFonts w:ascii="Times New Roman" w:hAnsi="Times New Roman" w:cs="Times New Roman"/>
          <w:sz w:val="26"/>
          <w:szCs w:val="26"/>
          <w:lang w:val="pl-PL"/>
        </w:rPr>
        <w:t>Dell PowerEdge R740 Server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na </w:t>
      </w:r>
      <w:r>
        <w:rPr>
          <w:rFonts w:ascii="Times New Roman" w:hAnsi="Times New Roman" w:cs="Times New Roman"/>
          <w:sz w:val="26"/>
          <w:szCs w:val="26"/>
          <w:lang w:val="pl-PL"/>
        </w:rPr>
        <w:lastRenderedPageBreak/>
        <w:t>dostarczane serwery</w:t>
      </w:r>
      <w:r w:rsidRPr="00CB6832">
        <w:rPr>
          <w:rFonts w:ascii="Times New Roman" w:hAnsi="Times New Roman" w:cs="Times New Roman"/>
          <w:sz w:val="26"/>
          <w:szCs w:val="26"/>
          <w:lang w:val="pl-PL"/>
        </w:rPr>
        <w:t xml:space="preserve">. Wykonawca dokona wymiany urządzeń na serwery </w:t>
      </w:r>
      <w:r>
        <w:rPr>
          <w:rFonts w:ascii="Times New Roman" w:hAnsi="Times New Roman" w:cs="Times New Roman"/>
          <w:sz w:val="26"/>
          <w:szCs w:val="26"/>
          <w:lang w:val="pl-PL"/>
        </w:rPr>
        <w:t>o specyfikacji wskazanej poniżej</w:t>
      </w:r>
      <w:r w:rsidRPr="00CB6832">
        <w:rPr>
          <w:rFonts w:ascii="Times New Roman" w:hAnsi="Times New Roman" w:cs="Times New Roman"/>
          <w:sz w:val="26"/>
          <w:szCs w:val="26"/>
          <w:lang w:val="pl-PL"/>
        </w:rPr>
        <w:t>. Wykonawca dokona odwzorowania obecnego produkcyjnego środowiska systemu zarządzania i rejestracji sesji kont uprzywilejowanych będącego w posiadaniu Zamawiającego</w:t>
      </w:r>
      <w:r>
        <w:rPr>
          <w:rFonts w:ascii="Times New Roman" w:hAnsi="Times New Roman" w:cs="Times New Roman"/>
          <w:sz w:val="26"/>
          <w:szCs w:val="26"/>
          <w:lang w:val="pl-PL"/>
        </w:rPr>
        <w:t>,</w:t>
      </w:r>
      <w:r w:rsidRPr="00CB6832">
        <w:rPr>
          <w:rFonts w:ascii="Times New Roman" w:hAnsi="Times New Roman" w:cs="Times New Roman"/>
          <w:sz w:val="26"/>
          <w:szCs w:val="26"/>
          <w:lang w:val="pl-PL"/>
        </w:rPr>
        <w:t xml:space="preserve"> opartego o oprogramowanie CyberArk na nowo zainstalowanych serwerach. </w:t>
      </w:r>
    </w:p>
    <w:p w14:paraId="589348D0" w14:textId="77777777" w:rsidR="00F219C6" w:rsidRPr="0064216F" w:rsidRDefault="00F219C6" w:rsidP="00F219C6">
      <w:pPr>
        <w:pStyle w:val="Nagwek2"/>
        <w:numPr>
          <w:ilvl w:val="3"/>
          <w:numId w:val="25"/>
        </w:numPr>
        <w:ind w:left="1134"/>
        <w:rPr>
          <w:rFonts w:ascii="Times New Roman" w:hAnsi="Times New Roman" w:cs="Times New Roman"/>
          <w:b w:val="0"/>
          <w:caps w:val="0"/>
          <w:sz w:val="26"/>
          <w:szCs w:val="26"/>
          <w:lang w:val="pl-PL"/>
        </w:rPr>
      </w:pPr>
      <w:bookmarkStart w:id="64" w:name="_Toc171605475"/>
      <w:r w:rsidRPr="0064216F">
        <w:rPr>
          <w:rFonts w:ascii="Times New Roman" w:hAnsi="Times New Roman" w:cs="Times New Roman"/>
          <w:sz w:val="26"/>
          <w:szCs w:val="26"/>
          <w:lang w:val="pl-PL"/>
        </w:rPr>
        <w:t>Serwer typ I – 2 sztuki</w:t>
      </w:r>
      <w:bookmarkEnd w:id="64"/>
    </w:p>
    <w:p w14:paraId="255D380B" w14:textId="77777777" w:rsidR="00F219C6" w:rsidRPr="00CC7575" w:rsidRDefault="00F219C6" w:rsidP="00F219C6">
      <w:pPr>
        <w:spacing w:before="24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t>Producent</w:t>
      </w:r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tab/>
        <w:t>…………………………………</w:t>
      </w:r>
    </w:p>
    <w:p w14:paraId="043BC7BB" w14:textId="77777777" w:rsidR="00F219C6" w:rsidRDefault="00F219C6" w:rsidP="00F219C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t>Model</w:t>
      </w:r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tab/>
      </w:r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tab/>
        <w:t>…………………………………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930"/>
        <w:gridCol w:w="5581"/>
      </w:tblGrid>
      <w:tr w:rsidR="00F219C6" w:rsidRPr="00697331" w14:paraId="0DB1BE27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469FA39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  <w:t>Identyfikator wymagania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B11367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  <w:t>Wymaganie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42472F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  <w:t>Opis wymagania</w:t>
            </w:r>
          </w:p>
        </w:tc>
      </w:tr>
      <w:tr w:rsidR="00F219C6" w:rsidRPr="00697331" w14:paraId="19CECACB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9D1B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SERW-I-01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004D3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Obudowa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601C5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Obudowa Rack o wysokości max. 2U umożliwiającą instalację min. 16 dysków 2,5”  z kompletem wysuwanych szyn umożliwiających montaż w szafie rack i wysuwanie serwera do celów serwisowych. </w:t>
            </w:r>
          </w:p>
        </w:tc>
      </w:tr>
      <w:tr w:rsidR="00F219C6" w:rsidRPr="00697331" w14:paraId="577EEF65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AA0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SERW-I-02</w:t>
            </w:r>
          </w:p>
          <w:p w14:paraId="08A6AD8B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C508F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Płyta główna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B7E73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</w:tr>
      <w:tr w:rsidR="00F219C6" w:rsidRPr="00697331" w14:paraId="01E0461C" w14:textId="77777777" w:rsidTr="00A135C6">
        <w:trPr>
          <w:trHeight w:val="735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EBEE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SERW-I-03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1D510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Chipset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7AB37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Dedykowany przez producenta procesora do pracy w serwerach dwuprocesorowych </w:t>
            </w:r>
          </w:p>
        </w:tc>
      </w:tr>
      <w:tr w:rsidR="00F219C6" w:rsidRPr="00697331" w14:paraId="2099F5EC" w14:textId="77777777" w:rsidTr="00A135C6">
        <w:trPr>
          <w:trHeight w:val="705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4DA8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SERW-I-04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5E353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Procesor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EC7F6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Zainstalowane dwa procesory min. dwunasto-rdzeniowe klasy x86 do pracy z zaoferowanym serwerem umożliwiające osiągnięcie wyniku min. 240</w:t>
            </w:r>
            <w:r w:rsidRPr="00697331"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val="pl-PL" w:eastAsia="zh-CN"/>
                <w14:ligatures w14:val="standardContextual"/>
              </w:rPr>
              <w:t> 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punktów w teście SPECrate2017_int_base dostępnym na stronie www.spec.org dla dwóch procesorów. Dla oferowanego serwera</w:t>
            </w:r>
          </w:p>
        </w:tc>
      </w:tr>
      <w:tr w:rsidR="00F219C6" w:rsidRPr="00697331" w14:paraId="4F097674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122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SERW-I-05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0936B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RAM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44D61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Min. 256GB DDR5 RDIMM 5600MT/s, na płycie głównej powinno znajdować się minimum 32 slotów przeznaczonych do instalacji pamięci. Płyta główna powinna obsługiwać do 8TB pamięci RAM. </w:t>
            </w:r>
          </w:p>
        </w:tc>
      </w:tr>
      <w:tr w:rsidR="00F219C6" w:rsidRPr="00697331" w14:paraId="77F8F91D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0F7E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SERW-I-06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915F7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Zabezpieczenia pamięci RAM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C5940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Demand Scrubbing, Patrol Scrubbing, Permanent Fault Detection (PFD)</w:t>
            </w:r>
          </w:p>
        </w:tc>
      </w:tr>
      <w:tr w:rsidR="00F219C6" w:rsidRPr="00697331" w14:paraId="30A49CA7" w14:textId="77777777" w:rsidTr="00A135C6">
        <w:trPr>
          <w:trHeight w:val="246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B9F5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SERW-I-07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BF8C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Gniazda PCIe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44C01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minimum sześć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slotów PCIe x8 w tym minimum cztery sloty Gen5 oraz dwa minimum sloty PCIe x16 Gen4.</w:t>
            </w:r>
          </w:p>
        </w:tc>
      </w:tr>
      <w:tr w:rsidR="00F219C6" w:rsidRPr="00697331" w14:paraId="7F8FD4EE" w14:textId="77777777" w:rsidTr="00A135C6">
        <w:trPr>
          <w:trHeight w:val="1524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87CA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SERW-I-08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8110C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Interfejsy sieciowe/FC/SAS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2C9D6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Dwa interfejsy sieciowe 25Gb Ethernet ze złączami SFP28 nie zajmujące slotów PCIe wraz z wkładkami SFP umożliwiającymi podłączenie do sieci LAN Zamawiającego.</w:t>
            </w:r>
          </w:p>
          <w:p w14:paraId="39D5CD5E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 </w:t>
            </w:r>
          </w:p>
          <w:p w14:paraId="5A345295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Możliwość instalacji wymiennie modułów udostępniających: </w:t>
            </w:r>
          </w:p>
          <w:p w14:paraId="24510A41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54031736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-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dwa interfejsy sieciowe 10Gb Ethernet w standardzie BaseT</w:t>
            </w:r>
          </w:p>
          <w:p w14:paraId="159E43EB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 dwa interfejsy sieciowe 1Gb Ethernet w standardzie BaseT </w:t>
            </w:r>
          </w:p>
          <w:p w14:paraId="73A044EB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dwa interfejsy sieciowe 10Gb Ethernet w standardzie SFP+</w:t>
            </w:r>
          </w:p>
          <w:p w14:paraId="6680CE33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cztery interfejsy sieciowe 10Gb Ethernet w standardzie BaseT </w:t>
            </w:r>
          </w:p>
          <w:p w14:paraId="76736AD8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 cztery interfejsy sieciowe 10Gb Ethernet w standardzie SFP+ </w:t>
            </w:r>
          </w:p>
          <w:p w14:paraId="44D6C506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cztery interfejsy sieciowe 1Gb Ethernet w standardzie BaseT </w:t>
            </w:r>
          </w:p>
          <w:p w14:paraId="7E514806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cztery interfejsy sieciowe 25Gb Ethernet ze złączami SFP28</w:t>
            </w:r>
          </w:p>
          <w:p w14:paraId="0F450E03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67373811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Wbudowane dwa interfejsy sieciowe 1Gb Ethernet w standardzie Base-T.</w:t>
            </w:r>
          </w:p>
          <w:p w14:paraId="4C6EE01B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54985648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Dodatkowo zainstalowane:</w:t>
            </w:r>
          </w:p>
          <w:p w14:paraId="7332E643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karta czteroportowa 1Gb Ethernet w stnadardzie Base-T.</w:t>
            </w:r>
          </w:p>
          <w:p w14:paraId="02B89DF1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karta dwuportowa FC 32Gb/s  z zainstalowanymi wkładkami FC 32Gb/s</w:t>
            </w:r>
          </w:p>
        </w:tc>
      </w:tr>
      <w:tr w:rsidR="00F219C6" w:rsidRPr="00697331" w14:paraId="4E0EAA4C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9903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SERW-I-09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2DDE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Dyski twarde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7001D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Zainstalowane 6 x 1.92TB SSD SAS 24Gb/s</w:t>
            </w:r>
          </w:p>
          <w:p w14:paraId="7BDC50A4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Zainstalowane dwa dyski hot-swap M.2 NVMe o pojemności min. 480GB skonfigurowane w RAID 1. </w:t>
            </w:r>
          </w:p>
        </w:tc>
      </w:tr>
      <w:tr w:rsidR="00F219C6" w:rsidRPr="00697331" w14:paraId="226F4E7E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63B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de-DE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SERW-I-10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98923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de-DE" w:eastAsia="zh-CN"/>
                <w14:ligatures w14:val="standardContextual"/>
              </w:rPr>
              <w:t>Wbudowane porty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EC3EE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min. port USB 2.0 oraz port USB 3.0, port VGA, port serial(COM). </w:t>
            </w:r>
          </w:p>
        </w:tc>
      </w:tr>
      <w:tr w:rsidR="00F219C6" w:rsidRPr="00697331" w14:paraId="5A2E25B6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F7C4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de-DE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SERW-I-11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7D254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de-DE" w:eastAsia="zh-CN"/>
                <w14:ligatures w14:val="standardContextual"/>
              </w:rPr>
              <w:t>Video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C95DD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Zintegrowana karta graficzna umożliwiająca wyświetlenie rozdzielczości min. 1600x900 </w:t>
            </w:r>
          </w:p>
        </w:tc>
      </w:tr>
      <w:tr w:rsidR="00F219C6" w:rsidRPr="00697331" w14:paraId="59A007D0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9C9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SERW-I-12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864A1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Wentylatory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95B49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Redundantne Hot-Plug </w:t>
            </w:r>
          </w:p>
        </w:tc>
      </w:tr>
      <w:tr w:rsidR="00F219C6" w:rsidRPr="00697331" w14:paraId="26A46F88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9FFC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SERW-I-13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E7631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Zasilacze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90227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Min. dwa zasilacze Hot-Plug min. 1100W Titanium </w:t>
            </w:r>
          </w:p>
        </w:tc>
      </w:tr>
      <w:tr w:rsidR="00F219C6" w:rsidRPr="00697331" w14:paraId="3FA3D07A" w14:textId="77777777" w:rsidTr="00A135C6">
        <w:trPr>
          <w:trHeight w:val="675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7453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00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SERW-I-14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6454E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Bezpieczeństwo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DA12B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Zatrzask górnej pokrywy oraz blokada na ramce panela zamykana na klucz służąca do ochrony nieautoryzowanego dostępu do dysków twardych. </w:t>
            </w:r>
          </w:p>
          <w:p w14:paraId="3CCCD4C0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wyłączenia w BIOS funkcji przycisku zasilania. </w:t>
            </w:r>
          </w:p>
          <w:p w14:paraId="190A9355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45C2E597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Wbudowany czujnik otwarcia obudowy współpracujący z BIOS i kartą zarządzającą </w:t>
            </w:r>
          </w:p>
          <w:p w14:paraId="60EEB728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TPM 2.0 </w:t>
            </w:r>
          </w:p>
          <w:p w14:paraId="40F5698D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dynamicznego włączania i wyłączania portów USB na obudowie – bez potrzeby restartu serwera</w:t>
            </w:r>
          </w:p>
          <w:p w14:paraId="21DF0EE8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wymazania danych ze znajdujących się dysków wewnątrz serwera – niezależne od zainstalowanego systemu operacyjnego, uruchamiane z poziomu zarządzania serwerem.</w:t>
            </w:r>
          </w:p>
          <w:p w14:paraId="054B951B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Możliwość integracji z RSA SecurID</w:t>
            </w:r>
          </w:p>
        </w:tc>
      </w:tr>
      <w:tr w:rsidR="00F219C6" w:rsidRPr="00697331" w14:paraId="4E7EBE4D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9D7C" w14:textId="77777777" w:rsidR="00F219C6" w:rsidRPr="00697331" w:rsidRDefault="00F219C6" w:rsidP="00A135C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SERW-I-15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34443" w14:textId="77777777" w:rsidR="00F219C6" w:rsidRPr="00697331" w:rsidRDefault="00F219C6" w:rsidP="00A135C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Karta Zarządzania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E8A3E" w14:textId="77777777" w:rsidR="00F219C6" w:rsidRPr="00697331" w:rsidRDefault="00F219C6" w:rsidP="00A135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Niezależna od zainstalowanego na serwerze systemu operacyjnego posiadająca dedykowane port RJ-45 Gigabit Ethernet umożliwiająca: </w:t>
            </w:r>
          </w:p>
          <w:p w14:paraId="136A4671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6F1D0F53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zdalny dostęp do graficznego interfejsu Web karty zarządzającej </w:t>
            </w:r>
          </w:p>
          <w:p w14:paraId="48E1DEC9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szyfrowane połączenie (TLS) oraz autentykacje i autoryzację użytkownika </w:t>
            </w:r>
          </w:p>
          <w:p w14:paraId="1C2C93C6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możliwość podmontowania zdalnych wirtualnych napędów </w:t>
            </w:r>
          </w:p>
          <w:p w14:paraId="752DC2BB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wirtualną konsolę z dostępem do myszy, klawiatury </w:t>
            </w:r>
          </w:p>
          <w:p w14:paraId="77947BC9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wsparcie dla IPv6 </w:t>
            </w:r>
          </w:p>
          <w:p w14:paraId="165DD7F7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lastRenderedPageBreak/>
              <w:t xml:space="preserve">wsparcie dla SNMP; IPMI2.0, VLAN tagging, SSH </w:t>
            </w:r>
          </w:p>
          <w:p w14:paraId="2932E1A5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zdalnego monitorowania w czasie rzeczywistym poboru prądu przez serwer, dane historyczne powinny być dostępne przez min. 7 dni wstecz. </w:t>
            </w:r>
          </w:p>
          <w:p w14:paraId="20073249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zdalnego ustawienia limitu poboru prądu przez konkretny serwer </w:t>
            </w:r>
          </w:p>
          <w:p w14:paraId="4F20EEF7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integracja z Active Directory </w:t>
            </w:r>
          </w:p>
          <w:p w14:paraId="3D7C4868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obsługi przez ośmiu administratorów jednocześnie </w:t>
            </w:r>
          </w:p>
          <w:p w14:paraId="63F28CFB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Wsparcie dla automatycznej rejestracji DNS </w:t>
            </w:r>
          </w:p>
          <w:p w14:paraId="6B1752CC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wsparcie dla LLDP </w:t>
            </w:r>
          </w:p>
          <w:p w14:paraId="78D03F3D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wysyłanie do administratora maila z powiadomieniem o awarii lub zmianie konfiguracji sprzętowej </w:t>
            </w:r>
          </w:p>
          <w:p w14:paraId="6816ECFC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podłączenia lokalnego poprzez złącze RS-232. </w:t>
            </w:r>
          </w:p>
          <w:p w14:paraId="528E7A0E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zarządzania bezpośredniego poprzez złącze microUSB umieszczone na froncie obudowy. </w:t>
            </w:r>
          </w:p>
          <w:p w14:paraId="3EED4440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Monitorowanie zużycia dysków SSD </w:t>
            </w:r>
          </w:p>
          <w:p w14:paraId="2F602AEF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monitorowania z jednej konsoli min. 100 serwerami fizycznymi, </w:t>
            </w:r>
          </w:p>
          <w:p w14:paraId="175BEAF1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Automatyczne zgłaszanie alertów do centrum serwisowego producenta </w:t>
            </w:r>
          </w:p>
          <w:p w14:paraId="3C50EA68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Automatyczne update firmware dla wszystkich komponentów serwera </w:t>
            </w:r>
          </w:p>
          <w:p w14:paraId="073D5CDE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Możliwość przywrócenia poprzednich wersji firmware </w:t>
            </w:r>
          </w:p>
          <w:p w14:paraId="58207641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eksportu eksportu/importu konfiguracji (ustawienie karty zarządzającej, BIOSu, kart sieciowych, HBA oraz konfiguracji kontrolera RAID) serwera do pliku XML lub JSON </w:t>
            </w:r>
          </w:p>
          <w:p w14:paraId="706591FF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Możliwość zaimportowania ustawień, poprzez bezpośrednie podłączenie plików konfiguracyjnych </w:t>
            </w:r>
          </w:p>
          <w:p w14:paraId="039EE38B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Automatyczne tworzenie kopii ustawień serwera w opraciu o harmonogram. </w:t>
            </w:r>
          </w:p>
          <w:p w14:paraId="018C0160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wykrywania odchyleń konfiguracji na poziomie konfiguracji UEFI oraz wersji firmware serwera</w:t>
            </w:r>
          </w:p>
          <w:p w14:paraId="731D63FD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lastRenderedPageBreak/>
              <w:t>Serwer musi posiadać możliwość uruchomienia funkcjonalności umożliwiającej dostęp bezpośredni poprzez urządzenia mobilne  - serwer musi posiadać możliwość konfiguracji oraz monitoringu najważniejszych komponentów serwera przy użyciu dedykowanej aplikacji mobilnej min. (Android/ Apple iOS) przy użyciu jednego z protokołów BLE lub WIFI. </w:t>
            </w:r>
          </w:p>
          <w:p w14:paraId="4991CFE1" w14:textId="77777777" w:rsidR="00F219C6" w:rsidRPr="00697331" w:rsidRDefault="00F219C6" w:rsidP="00A135C6">
            <w:pPr>
              <w:spacing w:after="0" w:line="259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79E0D090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rozszerzenia funkcjonalności karty o:</w:t>
            </w:r>
          </w:p>
          <w:p w14:paraId="40AE1EBF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72DE57BB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wysyłania danych o stanie procesora, kart sieciowych, zasilaczy, kart GPU,  lokalnych dysków i urządzeń NVMe, jak również dane wydajnościowe serwera do zewnętrznych</w:t>
            </w:r>
          </w:p>
          <w:p w14:paraId="56D892AC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kontrola stanu BIOS pod kątem naruszenia integralności oprogramowania</w:t>
            </w:r>
          </w:p>
          <w:p w14:paraId="4D7FC67F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Automatyczne odświeżanie certyfikatów SSL</w:t>
            </w:r>
          </w:p>
          <w:p w14:paraId="39EED333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wykorzystania tokenu lub aplikacji SecurID do uwierzytelniania wielkoskładnikowego przy logowaniu do karty zarządzającej</w:t>
            </w:r>
          </w:p>
          <w:p w14:paraId="1A2915EF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modyfikacji reguł chłodzenia kart w slotach PCIe, z możliwością własnych ustawień</w:t>
            </w:r>
          </w:p>
          <w:p w14:paraId="353B3376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możliwość </w:t>
            </w: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ustawienia limitu temperatury powietrza wychodzącego z serwera</w:t>
            </w:r>
          </w:p>
          <w:p w14:paraId="3B321434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ustawienia dopuszczalnego wzrostu temperatury powietrza przepływającego przez serwer</w:t>
            </w:r>
          </w:p>
          <w:p w14:paraId="0B3DDCAB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ustawienia maksymalnej temperatury powietrza dochodzącego do slotów PCIe</w:t>
            </w:r>
          </w:p>
          <w:p w14:paraId="5F47546D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monitorowanie przepływu powietrza na bieżąco</w:t>
            </w:r>
          </w:p>
        </w:tc>
      </w:tr>
      <w:tr w:rsidR="00F219C6" w:rsidRPr="00697331" w14:paraId="488FD718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6E9B" w14:textId="77777777" w:rsidR="00F219C6" w:rsidRPr="00697331" w:rsidRDefault="00F219C6" w:rsidP="00A135C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SERW-I-16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9F6" w14:textId="77777777" w:rsidR="00F219C6" w:rsidRPr="00697331" w:rsidRDefault="00F219C6" w:rsidP="00A135C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Oprogramowanie do zarządzania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FAA56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 Możliwość zainstalowania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 oprogrmowania producenta serwera do zarządznia, spełniające poniższe wymagania: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 </w:t>
            </w:r>
          </w:p>
          <w:p w14:paraId="17169962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</w:p>
          <w:p w14:paraId="59070CE8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Wsparcie dla serwerów, urządzeń sieciowych oraz pamięci masowych </w:t>
            </w:r>
          </w:p>
          <w:p w14:paraId="7E8704FB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integracja z Active Directory </w:t>
            </w:r>
          </w:p>
          <w:p w14:paraId="1CD7162F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lastRenderedPageBreak/>
              <w:t>Możliwość zarządzania dostarczonymi serwerami bez udziału dedykowanego agenta </w:t>
            </w:r>
          </w:p>
          <w:p w14:paraId="027ACC70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Wsparcie dla protokołów SNMP, IPMI, Linux SSH, Redfish </w:t>
            </w:r>
          </w:p>
          <w:p w14:paraId="3C01A37A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uruchamiania procesu wykrywania urządzeń w oparciu o harmonogram </w:t>
            </w:r>
          </w:p>
          <w:p w14:paraId="25E96168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Szczegółowy opis wykrytych systemów oraz ich komponentów </w:t>
            </w:r>
          </w:p>
          <w:p w14:paraId="054A9459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eksportu raportu do CSV, HTML, XLS, PDF </w:t>
            </w:r>
          </w:p>
          <w:p w14:paraId="1929CB56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tworzenia własnych raportów w opraciu o wszystkie informacje zawarte w inwentarzu. </w:t>
            </w:r>
          </w:p>
          <w:p w14:paraId="736A7423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Grupowanie urządzeń w oparciu o kryteria użytkownika </w:t>
            </w:r>
          </w:p>
          <w:p w14:paraId="55F65102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Tworzenie automatycznie grup urządzeń w opraciu o dowolny element konfiguracji serwera np.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Nazwa, lokalizacja, system operacyjny, obsadzenie slotów PCIe, pozostałego czasu gwarancji </w:t>
            </w:r>
          </w:p>
          <w:p w14:paraId="658EA1F3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uruchamiania narzędzi zarządzających w poszczególnych urządzeniach </w:t>
            </w:r>
          </w:p>
          <w:p w14:paraId="2BE7DA85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Szybki podgląd stanu środowiska </w:t>
            </w:r>
          </w:p>
          <w:p w14:paraId="78B6E1BA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Podsumowanie stanu dla każdego urządzenia </w:t>
            </w:r>
          </w:p>
          <w:p w14:paraId="1AFE8C5E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Szczegółowy status urządzenia/elementu/komponentu </w:t>
            </w:r>
          </w:p>
          <w:p w14:paraId="325BA5ED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Generowanie alertów przy zmianie stanu urządzenia. </w:t>
            </w:r>
          </w:p>
          <w:p w14:paraId="00F93C49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Filtry raportów umożliwiające podgląd najważniejszych zdarzeń </w:t>
            </w:r>
          </w:p>
          <w:p w14:paraId="748A5F0F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Integracja z service desk producenta dostarczonej platformy sprzętowej </w:t>
            </w:r>
          </w:p>
          <w:p w14:paraId="7B6DB889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Możliwość przejęcia zdalnego pulpitu </w:t>
            </w:r>
          </w:p>
          <w:p w14:paraId="3B4D4F57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Możliwość podmontowania wirtualnego napędu </w:t>
            </w:r>
          </w:p>
          <w:p w14:paraId="1FE981EB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Kreator umożliwiający dostosowanie akcji dla wybranych alertów </w:t>
            </w:r>
          </w:p>
          <w:p w14:paraId="5C29C885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Możliwość importu plików MIB </w:t>
            </w:r>
          </w:p>
          <w:p w14:paraId="49FE8057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Przesyłanie alertów „as-is” do innych konsol firm trzecich </w:t>
            </w:r>
          </w:p>
          <w:p w14:paraId="438E6445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Możliwość definiowania ról administratorów </w:t>
            </w:r>
          </w:p>
          <w:p w14:paraId="48A97CAA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zdalnej aktualizacji oprogramowania wewnętrznego serwerów </w:t>
            </w:r>
          </w:p>
          <w:p w14:paraId="2920582E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lastRenderedPageBreak/>
              <w:t>Aktualizacja oparta o wybranie źródła bibliotek (lokalna, on-line producenta oferowanego rozwiązania) </w:t>
            </w:r>
          </w:p>
          <w:p w14:paraId="58E3AF0E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instalacji oprogramowania wewnętrznego bez potrzeby instalacji agenta </w:t>
            </w:r>
          </w:p>
          <w:p w14:paraId="31BF9DD4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automatycznego generowania i zgłaszania incydentów awarii bezpośrednio do centrum serwisowego producenta serwerów </w:t>
            </w:r>
          </w:p>
          <w:p w14:paraId="1F169D84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aletrów, MAC adresów kart sieciowych, stanie poszczególnych komponentów serwera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>. </w:t>
            </w:r>
          </w:p>
          <w:p w14:paraId="41A5A014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tworzenia sprzętowej konfiguracji bazowej i na jej podstwie weryfikacji środowiska w celu wykrycia rozbieżności. </w:t>
            </w:r>
          </w:p>
          <w:p w14:paraId="09FAF1EA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>Wdrażanie serwerów, rozwiązań modularnych oraz przełączników sieciowych w opraciu o profile </w:t>
            </w:r>
          </w:p>
          <w:p w14:paraId="7B1F5EE4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Możliwość migracji ustawień serwera wraz z wirtualnymi adresami sieciowymi (MAC, WWN, IQN) między urządzeniami. </w:t>
            </w:r>
          </w:p>
          <w:p w14:paraId="7D885C91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Tworzenie gotowych paczek informacji umożliwiających zdiagnozowanie awarii urządzenia przez serwis producenta. </w:t>
            </w:r>
          </w:p>
          <w:p w14:paraId="73541DBC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  <w:t>Zdalne uruchamianie diagnostyki serwera. </w:t>
            </w:r>
          </w:p>
          <w:p w14:paraId="7D05A742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Dedykowana aplikacja na urządzenia mobilne integrująca się z wyżej opisanymi oprogramowaniem zarzadzającym. </w:t>
            </w:r>
          </w:p>
          <w:p w14:paraId="5CEE99D1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>Oprogramowanie dostarczane jako wirtualny appliance dla KVM, ESXi i Hyper-V. </w:t>
            </w:r>
          </w:p>
        </w:tc>
      </w:tr>
      <w:tr w:rsidR="00F219C6" w:rsidRPr="00697331" w14:paraId="07077D12" w14:textId="77777777" w:rsidTr="00A135C6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8A56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SERW-I-17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6DE2E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Certyfikaty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67BD9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Serwer musi być wyprodukowany zgodnie z normą ISO-9001:2015 oraz ISO-14001.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br/>
              <w:t>Serwer musi posiadać deklaracja CE. </w:t>
            </w:r>
          </w:p>
          <w:p w14:paraId="45FA3ED3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Urządzenia wyprodukowane są przez producenta, zgodnie z normą PN-EN ISO 50001 lub oświadczenie producenta o stosowaniu w fabrykach polityki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lastRenderedPageBreak/>
              <w:t xml:space="preserve">zarządzania energią, która jest zgodna z obowiązującymi przepisami na terenie Unii Europejskiej. </w:t>
            </w:r>
          </w:p>
          <w:p w14:paraId="2C48FC65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 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br/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Oferowany serwer musi znajdować się na liście Windows Server Catalog i posiadać status „Certified for Windows” dla systemów Microsoft Windows 2019 x64, Microsoft Windows 2022 x64. </w:t>
            </w:r>
          </w:p>
        </w:tc>
      </w:tr>
      <w:tr w:rsidR="00F219C6" w:rsidRPr="00697331" w14:paraId="0448C647" w14:textId="77777777" w:rsidTr="00A135C6">
        <w:trPr>
          <w:trHeight w:val="615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CEDD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SERW-I-18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DE63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Komponenty dodatkowe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73C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 - dwa moduły nadawczo-odbiorcze 10GbE SFP+ SR.</w:t>
            </w:r>
          </w:p>
        </w:tc>
      </w:tr>
      <w:tr w:rsidR="00F219C6" w:rsidRPr="00697331" w14:paraId="14BD0AE4" w14:textId="77777777" w:rsidTr="00A135C6">
        <w:trPr>
          <w:trHeight w:val="615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3E39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SERW-I-19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F05E5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Normy Środowiskowe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1FF53" w14:textId="77777777" w:rsidR="00F219C6" w:rsidRPr="00697331" w:rsidRDefault="00F219C6" w:rsidP="00A135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</w:t>
            </w:r>
            <w:r w:rsidRPr="00697331">
              <w:rPr>
                <w:rFonts w:ascii="Times New Roman" w:hAnsi="Times New Roman" w:cs="Times New Roman"/>
                <w:color w:val="2C363A"/>
                <w:kern w:val="2"/>
                <w:sz w:val="26"/>
                <w:szCs w:val="26"/>
                <w:shd w:val="clear" w:color="auto" w:fill="FFFFFF"/>
                <w:lang w:val="pl-PL" w:eastAsia="zh-CN"/>
                <w14:ligatures w14:val="standardContextual"/>
              </w:rPr>
              <w:t>Rozporządzenia nr 1272/2008WE. 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Epeat Silver według normy wprowadzonej w 2019 roku.</w:t>
            </w:r>
          </w:p>
        </w:tc>
      </w:tr>
      <w:tr w:rsidR="00F219C6" w:rsidRPr="00697331" w14:paraId="4595DA90" w14:textId="77777777" w:rsidTr="00A135C6">
        <w:trPr>
          <w:trHeight w:val="30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8A7F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SERW-I-20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8F06B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Dokumentacja użytkownika </w:t>
            </w:r>
          </w:p>
        </w:tc>
        <w:tc>
          <w:tcPr>
            <w:tcW w:w="3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C2140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Zamawiający wymaga dokumentacji w języku polskim lub angielskim. </w:t>
            </w:r>
          </w:p>
          <w:p w14:paraId="5BF448B3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telefonicznego sprawdzenia konfiguracji sprzętowej serwera oraz warunków gwarancji po podaniu numeru seryjnego bezpośrednio u producenta lub jego przedstawiciela. </w:t>
            </w:r>
          </w:p>
        </w:tc>
      </w:tr>
    </w:tbl>
    <w:p w14:paraId="20EE907E" w14:textId="77777777" w:rsidR="00F219C6" w:rsidRDefault="00F219C6" w:rsidP="00F219C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</w:p>
    <w:p w14:paraId="7B2A04DE" w14:textId="77777777" w:rsidR="00F219C6" w:rsidRPr="0064216F" w:rsidRDefault="00F219C6" w:rsidP="00F219C6">
      <w:pPr>
        <w:pStyle w:val="Nagwek2"/>
        <w:numPr>
          <w:ilvl w:val="3"/>
          <w:numId w:val="25"/>
        </w:numPr>
        <w:ind w:left="1134"/>
        <w:rPr>
          <w:rFonts w:ascii="Times New Roman" w:hAnsi="Times New Roman" w:cs="Times New Roman"/>
          <w:sz w:val="26"/>
          <w:szCs w:val="26"/>
          <w:lang w:val="pl-PL"/>
        </w:rPr>
      </w:pPr>
      <w:bookmarkStart w:id="65" w:name="_Toc171605476"/>
      <w:r w:rsidRPr="0064216F">
        <w:rPr>
          <w:rFonts w:ascii="Times New Roman" w:hAnsi="Times New Roman" w:cs="Times New Roman"/>
          <w:sz w:val="26"/>
          <w:szCs w:val="26"/>
          <w:lang w:val="pl-PL"/>
        </w:rPr>
        <w:t>Serwer typ II – 2 sztuki</w:t>
      </w:r>
      <w:bookmarkEnd w:id="65"/>
    </w:p>
    <w:p w14:paraId="1609A359" w14:textId="77777777" w:rsidR="00F219C6" w:rsidRPr="00CC7575" w:rsidRDefault="00F219C6" w:rsidP="00F219C6">
      <w:pPr>
        <w:spacing w:before="24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  <w:bookmarkStart w:id="66" w:name="_Toc15652902"/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t>Producent</w:t>
      </w:r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tab/>
        <w:t>…………………………………</w:t>
      </w:r>
    </w:p>
    <w:p w14:paraId="0ACC59FD" w14:textId="77777777" w:rsidR="00F219C6" w:rsidRPr="00CC7575" w:rsidRDefault="00F219C6" w:rsidP="00F219C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lastRenderedPageBreak/>
        <w:t>Model</w:t>
      </w:r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tab/>
      </w:r>
      <w:r w:rsidRPr="00CC7575">
        <w:rPr>
          <w:rFonts w:ascii="Times New Roman" w:hAnsi="Times New Roman" w:cs="Times New Roman"/>
          <w:b/>
          <w:sz w:val="26"/>
          <w:szCs w:val="26"/>
          <w:lang w:val="pl-PL"/>
        </w:rPr>
        <w:tab/>
        <w:t>…………………………………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930"/>
        <w:gridCol w:w="5581"/>
      </w:tblGrid>
      <w:tr w:rsidR="00F219C6" w:rsidRPr="00697331" w14:paraId="3BA32CAD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bookmarkEnd w:id="66"/>
          <w:p w14:paraId="5CA4EB6B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  <w:t>Identyfikator wymagania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E83DAA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  <w:t>Wymaganie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1927BC7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  <w:t>Opis Wymagania</w:t>
            </w:r>
          </w:p>
        </w:tc>
      </w:tr>
      <w:tr w:rsidR="00F219C6" w:rsidRPr="00697331" w14:paraId="2215AA8D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C934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SERW-II-01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4C05B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Obudowa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4559F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Obudowa Rack o wysokości max. 2U umożliwiającą instalację min. 16 dysków 2,5”  z kompletem wysuwanych szyn umożliwiających montaż w szafie rack i wysuwanie serwera do celów serwisowych. </w:t>
            </w:r>
          </w:p>
        </w:tc>
      </w:tr>
      <w:tr w:rsidR="00F219C6" w:rsidRPr="00697331" w14:paraId="43B58DAD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AB61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SERW-II-02</w:t>
            </w:r>
          </w:p>
          <w:p w14:paraId="16877F0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303D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Płyta główna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77D0F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</w:tr>
      <w:tr w:rsidR="00F219C6" w:rsidRPr="00697331" w14:paraId="3CAF5333" w14:textId="77777777" w:rsidTr="00A135C6">
        <w:trPr>
          <w:trHeight w:val="735"/>
        </w:trPr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0EE6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SERW-II-03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D5A5C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Chipset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035DE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Dedykowany przez producenta procesora do pracy w serwerach dwuprocesorowych </w:t>
            </w:r>
          </w:p>
        </w:tc>
      </w:tr>
      <w:tr w:rsidR="00F219C6" w:rsidRPr="00697331" w14:paraId="6202963B" w14:textId="77777777" w:rsidTr="00A135C6">
        <w:trPr>
          <w:trHeight w:val="705"/>
        </w:trPr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A54B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SERW-II-04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CF8F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Procesor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75FC9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Zainstalowane dwa procesory min. czterdziestoośmio-rdzeniowe klasy x86 do pracy z zaoferowanym serwerem umożliwiające osiągnięcie wyniku min. 905</w:t>
            </w:r>
            <w:r w:rsidRPr="00697331"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val="pl-PL" w:eastAsia="zh-CN"/>
                <w14:ligatures w14:val="standardContextual"/>
              </w:rPr>
              <w:t> 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punktów w teście SPECrate2017_int_base dostępnym na stronie www.spec.org dla dwóch procesorów. Dla oferowanego serwera</w:t>
            </w:r>
          </w:p>
        </w:tc>
      </w:tr>
      <w:tr w:rsidR="00F219C6" w:rsidRPr="00697331" w14:paraId="4E256379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4B26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SERW-II-05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1B1FD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RAM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6382A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Min. 1TB DDR5 RDIMM 5600MT/s, na płycie głównej powinno znajdować się minimum 32 slotów przeznaczonych do instalacji pamięci. Płyta główna powinna obsługiwać do 8TB pamięci RAM. </w:t>
            </w:r>
          </w:p>
        </w:tc>
      </w:tr>
      <w:tr w:rsidR="00F219C6" w:rsidRPr="00697331" w14:paraId="2F04C6EA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E5FD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SERW-II-06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4C3E5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Zabezpieczenia pamięci RAM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C0FBF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Demand Scrubbing, Patrol Scrubbing, Permanent Fault Detection (PFD)</w:t>
            </w:r>
          </w:p>
        </w:tc>
      </w:tr>
      <w:tr w:rsidR="00F219C6" w:rsidRPr="00697331" w14:paraId="2DC18A4A" w14:textId="77777777" w:rsidTr="00A135C6">
        <w:trPr>
          <w:trHeight w:val="246"/>
        </w:trPr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BF25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SERW-II-07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DADD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Gniazda PCIe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D23C2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minimum sześć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slotów PCIe x8 w tym minimum cztery sloty Gen5 oraz dwa minimum sloty PCIe x16 Gen4.</w:t>
            </w:r>
          </w:p>
        </w:tc>
      </w:tr>
      <w:tr w:rsidR="00F219C6" w:rsidRPr="00697331" w14:paraId="39CDB225" w14:textId="77777777" w:rsidTr="00A135C6">
        <w:trPr>
          <w:trHeight w:val="1524"/>
        </w:trPr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174A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SERW-II-08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16CFD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Interfejsy sieciowe/FC/SAS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F1089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Dwa interfejsy sieciowe 25Gb Ethernet ze złączami SFP28 nie zajmujące slotów PCIe wraz z wkładkami SFP umożliwiającymi podłączenie do sieci LAN Zamawiającego.</w:t>
            </w:r>
          </w:p>
          <w:p w14:paraId="68EA1D73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 </w:t>
            </w:r>
          </w:p>
          <w:p w14:paraId="7878C221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Możliwość instalacji wymiennie modułów udostępniających: </w:t>
            </w:r>
          </w:p>
          <w:p w14:paraId="4BBC67C5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15E5CD1B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lastRenderedPageBreak/>
              <w:t xml:space="preserve">-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dwa interfejsy sieciowe 10Gb Ethernet w standardzie BaseT</w:t>
            </w:r>
          </w:p>
          <w:p w14:paraId="2BFA44CD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 dwa interfejsy sieciowe 1Gb Ethernet w standardzie BaseT </w:t>
            </w:r>
          </w:p>
          <w:p w14:paraId="3B2E2498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dwa interfejsy sieciowe 10Gb Ethernet w standardzie SFP+</w:t>
            </w:r>
          </w:p>
          <w:p w14:paraId="743EB6EE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cztery interfejsy sieciowe 10Gb Ethernet w standardzie BaseT </w:t>
            </w:r>
          </w:p>
          <w:p w14:paraId="24FCAEE4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 cztery interfejsy sieciowe 10Gb Ethernet w standardzie SFP+ </w:t>
            </w:r>
          </w:p>
          <w:p w14:paraId="0CCE1FFF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cztery interfejsy sieciowe 1Gb Ethernet w standardzie BaseT </w:t>
            </w:r>
          </w:p>
          <w:p w14:paraId="5AAE31D5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cztery interfejsy sieciowe 25Gb Ethernet ze złączami SFP28</w:t>
            </w:r>
          </w:p>
          <w:p w14:paraId="67BA9B0F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7CDB70C0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Wbudowane dwa interfejsy sieciowe 1Gb Ethernet w standardzie Base-T.</w:t>
            </w:r>
          </w:p>
          <w:p w14:paraId="098181F2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4862CEB2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Dodatkowo zainstalowane:</w:t>
            </w:r>
          </w:p>
          <w:p w14:paraId="11A05BD5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karta czteroportowa 1Gb Ethernet w stnadardzie Base-T.</w:t>
            </w:r>
          </w:p>
          <w:p w14:paraId="4FEFB3B3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- karta dwuportowa FC 32Gb/s z zainstalowanymi wkładkami FC 32Gb/s</w:t>
            </w:r>
          </w:p>
        </w:tc>
      </w:tr>
      <w:tr w:rsidR="00F219C6" w:rsidRPr="00697331" w14:paraId="0E967EAF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004C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SERW-II-09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028B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Dyski twarde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5FA47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Zainstalowane 6 x 1.92TB SSD SAS 24Gb/s skonfigurowane fabrycznie w RAID 5.</w:t>
            </w:r>
          </w:p>
          <w:p w14:paraId="36EF1F74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Zainstalowane dwa dyski hot-swap M.2 NVMe o pojemności min. 480GB skonfigurowane w RAID 1. </w:t>
            </w:r>
          </w:p>
        </w:tc>
      </w:tr>
      <w:tr w:rsidR="00F219C6" w:rsidRPr="00697331" w14:paraId="60A59923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560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de-DE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SERW-II-10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8E76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de-DE" w:eastAsia="zh-CN"/>
                <w14:ligatures w14:val="standardContextual"/>
              </w:rPr>
              <w:t>Wbudowane porty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18DB2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min. port USB 2.0 oraz port USB 3.0, port VGA, port serial(COM). </w:t>
            </w:r>
          </w:p>
        </w:tc>
      </w:tr>
      <w:tr w:rsidR="00F219C6" w:rsidRPr="00697331" w14:paraId="3EA3D117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CBC0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de-DE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SERW-II-11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55E23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de-DE" w:eastAsia="zh-CN"/>
                <w14:ligatures w14:val="standardContextual"/>
              </w:rPr>
              <w:t>Video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9594F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Zintegrowana karta graficzna umożliwiająca wyświetlenie rozdzielczości min. 1600x900 </w:t>
            </w:r>
          </w:p>
        </w:tc>
      </w:tr>
      <w:tr w:rsidR="00F219C6" w:rsidRPr="00697331" w14:paraId="475B7080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2B56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SERW-II-12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053C3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Wentylatory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A51A8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Redundantne Hot-Plug </w:t>
            </w:r>
          </w:p>
        </w:tc>
      </w:tr>
      <w:tr w:rsidR="00F219C6" w:rsidRPr="00697331" w14:paraId="56B6C527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A98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SERW-II-13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E8CE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Zasilacze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F9DD6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Min. dwa zasilacze Hot-Plug min. 1100W Titanium </w:t>
            </w:r>
          </w:p>
        </w:tc>
      </w:tr>
      <w:tr w:rsidR="00F219C6" w:rsidRPr="00697331" w14:paraId="313446DA" w14:textId="77777777" w:rsidTr="00A135C6">
        <w:trPr>
          <w:trHeight w:val="675"/>
        </w:trPr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3BAA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00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SERW-II-14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BC213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Bezpieczeństwo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11A28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Zatrzask górnej pokrywy oraz blokada na ramce panela zamykana na klucz służąca do ochrony nieautoryzowanego dostępu do dysków twardych. </w:t>
            </w:r>
          </w:p>
          <w:p w14:paraId="798566C4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wyłączenia w BIOS funkcji przycisku zasilania. </w:t>
            </w:r>
          </w:p>
          <w:p w14:paraId="0DC45F2C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lastRenderedPageBreak/>
              <w:t xml:space="preserve">BIOS ma możliwość przejścia do bezpiecznego trybu rozruchowego z możliwością zarządzania blokadą zasilania, panelem sterowania oraz zmianą hasła </w:t>
            </w:r>
          </w:p>
          <w:p w14:paraId="4183D91A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Wbudowany czujnik otwarcia obudowy współpracujący z BIOS i kartą zarządzającą </w:t>
            </w:r>
          </w:p>
          <w:p w14:paraId="7A2C842C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TPM 2.0 </w:t>
            </w:r>
          </w:p>
          <w:p w14:paraId="18D78200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dynamicznego włączania I wyłączania portów USB na obudowie – bez potrzeby restartu serwera</w:t>
            </w:r>
          </w:p>
          <w:p w14:paraId="1EA2F0C6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wymazania danych ze znajdujących się dysków wewnątrz serwera – niezależne od zainstalowanego systemu operacyjnego, uruchamiane z poziomu zarządzania serwerem.</w:t>
            </w:r>
          </w:p>
          <w:p w14:paraId="6BFBAD4D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Możliwość integracji z RSA SecurID</w:t>
            </w:r>
          </w:p>
        </w:tc>
      </w:tr>
      <w:tr w:rsidR="00F219C6" w:rsidRPr="00697331" w14:paraId="76BC1FEA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F7FB" w14:textId="77777777" w:rsidR="00F219C6" w:rsidRPr="00697331" w:rsidRDefault="00F219C6" w:rsidP="00A135C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SERW-II-15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C2968" w14:textId="77777777" w:rsidR="00F219C6" w:rsidRPr="00697331" w:rsidRDefault="00F219C6" w:rsidP="00A135C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Karta Zarządzania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D50BA" w14:textId="77777777" w:rsidR="00F219C6" w:rsidRPr="00697331" w:rsidRDefault="00F219C6" w:rsidP="00A135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Niezależna od zainstalowanego na serwerze systemu operacyjnego posiadająca dedykowane port RJ-45 Gigabit Ethernet umożliwiająca: </w:t>
            </w:r>
          </w:p>
          <w:p w14:paraId="4DEEB028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58E8DE66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zdalny dostęp do graficznego interfejsu Web karty zarządzającej </w:t>
            </w:r>
          </w:p>
          <w:p w14:paraId="78A8D029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szyfrowane połączenie (TLS) oraz autentykacje i autoryzację użytkownika </w:t>
            </w:r>
          </w:p>
          <w:p w14:paraId="7F469E51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możliwość podmontowania zdalnych wirtualnych napędów </w:t>
            </w:r>
          </w:p>
          <w:p w14:paraId="53347925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wirtualną konsolę z dostępem do myszy, klawiatury </w:t>
            </w:r>
          </w:p>
          <w:p w14:paraId="1F1853B0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wsparcie dla IPv6 </w:t>
            </w:r>
          </w:p>
          <w:p w14:paraId="034F5936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wsparcie dla SNMP; IPMI2.0, VLAN tagging, SSH </w:t>
            </w:r>
          </w:p>
          <w:p w14:paraId="161E3108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zdalnego monitorowania w czasie rzeczywistym poboru prądu przez serwer, dane historyczne powinny być dostępne przez min. 7 dni wstecz. </w:t>
            </w:r>
          </w:p>
          <w:p w14:paraId="1F4BAD2B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zdalnego ustawienia limitu poboru prądu przez konkretny serwer </w:t>
            </w:r>
          </w:p>
          <w:p w14:paraId="353F0A03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integracja z Active Directory </w:t>
            </w:r>
          </w:p>
          <w:p w14:paraId="4E6FE231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obsługi przez ośmiu administratorów jednocześnie </w:t>
            </w:r>
          </w:p>
          <w:p w14:paraId="3545481F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Wsparcie dla automatycznej rejestracji DNS </w:t>
            </w:r>
          </w:p>
          <w:p w14:paraId="3DEC8A54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wsparcie dla LLDP </w:t>
            </w:r>
          </w:p>
          <w:p w14:paraId="368393C7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lastRenderedPageBreak/>
              <w:t>wysyłanie do administratora maila z powiadomieniem o awarii lub zmianie konfiguracji sprzętowej </w:t>
            </w:r>
          </w:p>
          <w:p w14:paraId="70C91C45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podłączenia lokalnego poprzez złącze RS-232. </w:t>
            </w:r>
          </w:p>
          <w:p w14:paraId="6E4E813E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zarządzania bezpośredniego poprzez złącze microUSB umieszczone na froncie obudowy. </w:t>
            </w:r>
          </w:p>
          <w:p w14:paraId="54C1233B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Monitorowanie zużycia dysków SSD </w:t>
            </w:r>
          </w:p>
          <w:p w14:paraId="10716414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monitorowania z jednej konsoli min. 100 serwerami fizycznymi, </w:t>
            </w:r>
          </w:p>
          <w:p w14:paraId="69191E57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Automatyczne zgłaszanie alertów do centrum serwisowego producenta </w:t>
            </w:r>
          </w:p>
          <w:p w14:paraId="03ADEFF6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Automatyczne update firmware dla wszystkich komponentów serwera </w:t>
            </w:r>
          </w:p>
          <w:p w14:paraId="42DB699D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  <w14:ligatures w14:val="standardContextual"/>
              </w:rPr>
              <w:t>Możliwość przywrócenia poprzednich wersji firmware </w:t>
            </w:r>
          </w:p>
          <w:p w14:paraId="766F7D2E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eksportu eksportu/importu konfiguracji (ustawienie karty zarządzającej, BIOSu, kart sieciowych, HBA oraz konfiguracji kontrolera RAID) serwera do pliku XML lub JSON </w:t>
            </w:r>
          </w:p>
          <w:p w14:paraId="2E22430D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Możliwość zaimportowania ustawień, poprzez bezpośrednie podłączenie plików konfiguracyjnych </w:t>
            </w:r>
          </w:p>
          <w:p w14:paraId="73730E94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Automatyczne tworzenie kopii ustawień serwera w opraciu o harmonogram. </w:t>
            </w:r>
          </w:p>
          <w:p w14:paraId="20034133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wykrywania odchyleń konfiguracji na poziomie konfiguracji UEFI oraz wersji firmware serwera</w:t>
            </w:r>
          </w:p>
          <w:p w14:paraId="37E8F7B4" w14:textId="77777777" w:rsidR="00F219C6" w:rsidRPr="00697331" w:rsidRDefault="00F219C6" w:rsidP="00A135C6">
            <w:pPr>
              <w:numPr>
                <w:ilvl w:val="0"/>
                <w:numId w:val="17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Serwer musi posiadać możliwość uruchomienia funkcjonalności umożliwiającej dostęp bezpośredni poprzez urządzenia mobilne  - serwer musi posiadać możliwość konfiguracji oraz monitoringu najważniejszych komponentów serwera przy użyciu dedykowanej aplikacji mobilnej min. (Android/ Apple iOS) przy użyciu jednego z protokołów BLE lub WIFI. </w:t>
            </w:r>
          </w:p>
          <w:p w14:paraId="7F737460" w14:textId="77777777" w:rsidR="00F219C6" w:rsidRPr="00697331" w:rsidRDefault="00F219C6" w:rsidP="00A135C6">
            <w:pPr>
              <w:spacing w:after="0" w:line="259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0B448BBA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rozszerzenia funkcjonalności karty o:</w:t>
            </w:r>
          </w:p>
          <w:p w14:paraId="5FB113FE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</w:p>
          <w:p w14:paraId="2758E4AC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lastRenderedPageBreak/>
              <w:t>możliwość wysyłania danych o stanie procesora, kart sieciowych, zasilaczy, kart GPU,  lokalnych dysków i urządzeń NVMe, jak również dane wydajnościowe serwera do zewnętrznych</w:t>
            </w:r>
          </w:p>
          <w:p w14:paraId="18495575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kontrola stanu BIOS pod kątem naruszenia integralności oprogramowania</w:t>
            </w:r>
          </w:p>
          <w:p w14:paraId="50601B1B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Automatyczne odświeżanie certyfikatów SSL</w:t>
            </w:r>
          </w:p>
          <w:p w14:paraId="11FCBE17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wykorzystania tokenu lub aplikacji SecurID do uwierzytelniania wielkoskładnikowego przy logowaniu do karty zarządzającej</w:t>
            </w:r>
          </w:p>
          <w:p w14:paraId="281545AF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modyfikacji reguł chłodzenia kart w slotach PCIe, z możliwością własnych ustawień</w:t>
            </w:r>
          </w:p>
          <w:p w14:paraId="531F0F6F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możliwość </w:t>
            </w: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ustawienia limitu temperatury powietrza wychodzącego z serwera</w:t>
            </w:r>
          </w:p>
          <w:p w14:paraId="699FEC64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ustawienia dopuszczalnego wzrostu temperatury powietrza przepływającego przez serwer</w:t>
            </w:r>
          </w:p>
          <w:p w14:paraId="373C94B7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ustawienia maksymalnej temperatury powietrza dochodzącego do slotów PCIe</w:t>
            </w:r>
          </w:p>
          <w:p w14:paraId="2A2208E6" w14:textId="77777777" w:rsidR="00F219C6" w:rsidRPr="00697331" w:rsidRDefault="00F219C6" w:rsidP="00A135C6">
            <w:pPr>
              <w:numPr>
                <w:ilvl w:val="0"/>
                <w:numId w:val="19"/>
              </w:numPr>
              <w:spacing w:after="0" w:line="259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monitorowanie przepływu powietrza na bieżąco</w:t>
            </w:r>
          </w:p>
        </w:tc>
      </w:tr>
      <w:tr w:rsidR="00F219C6" w:rsidRPr="00697331" w14:paraId="2D3F4582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5556" w14:textId="77777777" w:rsidR="00F219C6" w:rsidRPr="00697331" w:rsidRDefault="00F219C6" w:rsidP="00A135C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SERW-II-16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8B7F" w14:textId="77777777" w:rsidR="00F219C6" w:rsidRPr="00697331" w:rsidRDefault="00F219C6" w:rsidP="00A135C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Oprogramowanie do zarządzania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B7D5F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 Możliwość zainstalowania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 oprogrmowania producenta serwera do zarządznia, spełniające poniższe wymagania: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 </w:t>
            </w:r>
          </w:p>
          <w:p w14:paraId="3125977B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</w:p>
          <w:p w14:paraId="0A3107BA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Wsparcie dla serwerów, urządzeń sieciowych oraz pamięci masowych </w:t>
            </w:r>
          </w:p>
          <w:p w14:paraId="16022D56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integracja z Active Directory </w:t>
            </w:r>
          </w:p>
          <w:p w14:paraId="6C91E9A5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zarządzania dostarczonymi serwerami bez udziału dedykowanego agenta </w:t>
            </w:r>
          </w:p>
          <w:p w14:paraId="34BD61FE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Wsparcie dla protokołów SNMP, IPMI, Linux SSH, Redfish </w:t>
            </w:r>
          </w:p>
          <w:p w14:paraId="60651B46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uruchamiania procesu wykrywania urządzeń w oparciu o harmonogram </w:t>
            </w:r>
          </w:p>
          <w:p w14:paraId="21D429A5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Szczegółowy opis wykrytych systemów oraz ich komponentów </w:t>
            </w:r>
          </w:p>
          <w:p w14:paraId="634E50EB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eksportu raportu do CSV, HTML, XLS, PDF </w:t>
            </w:r>
          </w:p>
          <w:p w14:paraId="4E832721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tworzenia własnych raportów w opraciu o wszystkie informacje zawarte w inwentarzu. </w:t>
            </w:r>
          </w:p>
          <w:p w14:paraId="1880FC13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lastRenderedPageBreak/>
              <w:t>Grupowanie urządzeń w oparciu o kryteria użytkownika </w:t>
            </w:r>
          </w:p>
          <w:p w14:paraId="27532BA3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Tworzenie automatycznie grup urządzeń w opraciu o dowolny element konfiguracji serwera np.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Nazwa, lokalizacja, system operacyjny, obsadzenie slotów PCIe, pozostałego czasu gwarancji </w:t>
            </w:r>
          </w:p>
          <w:p w14:paraId="3CBDD1AD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uruchamiania narzędzi zarządzających w poszczególnych urządzeniach </w:t>
            </w:r>
          </w:p>
          <w:p w14:paraId="59219BEF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Szybki podgląd stanu środowiska </w:t>
            </w:r>
          </w:p>
          <w:p w14:paraId="7968019A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Podsumowanie stanu dla każdego urządzenia </w:t>
            </w:r>
          </w:p>
          <w:p w14:paraId="261272B9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Szczegółowy status urządzenia/elementu/komponentu </w:t>
            </w:r>
          </w:p>
          <w:p w14:paraId="2CC7EDC3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Generowanie alertów przy zmianie stanu urządzenia. </w:t>
            </w:r>
          </w:p>
          <w:p w14:paraId="0CF9216B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Filtry raportów umożliwiające podgląd najważniejszych zdarzeń </w:t>
            </w:r>
          </w:p>
          <w:p w14:paraId="4C83B59A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Integracja z service desk producenta dostarczonej platformy sprzętowej </w:t>
            </w:r>
          </w:p>
          <w:p w14:paraId="73DAA378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Możliwość przejęcia zdalnego pulpitu </w:t>
            </w:r>
          </w:p>
          <w:p w14:paraId="25BE1A39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Możliwość podmontowania wirtualnego napędu </w:t>
            </w:r>
          </w:p>
          <w:p w14:paraId="0900B847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Kreator umożliwiający dostosowanie akcji dla wybranych alertów </w:t>
            </w:r>
          </w:p>
          <w:p w14:paraId="7BAA3EC7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Możliwość importu plików MIB </w:t>
            </w:r>
          </w:p>
          <w:p w14:paraId="4D3740F8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Przesyłanie alertów „as-is” do innych konsol firm trzecich </w:t>
            </w:r>
          </w:p>
          <w:p w14:paraId="5BC43A7E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Możliwość definiowania ról administratorów </w:t>
            </w:r>
          </w:p>
          <w:p w14:paraId="1204C9CB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zdalnej aktualizacji oprogramowania wewnętrznego serwerów </w:t>
            </w:r>
          </w:p>
          <w:p w14:paraId="5CBE384D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Aktualizacja oparta o wybranie źródła bibliotek (lokalna, on-line producenta oferowanego rozwiązania) </w:t>
            </w:r>
          </w:p>
          <w:p w14:paraId="0882CDB9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instalacji oprogramowania wewnętrznego bez potrzeby instalacji agenta </w:t>
            </w:r>
          </w:p>
          <w:p w14:paraId="1D1AED54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automatycznego generowania i zgłaszania incydentów awarii bezpośrednio do centrum serwisowego producenta serwerów </w:t>
            </w:r>
          </w:p>
          <w:p w14:paraId="2D0F6F0E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Moduł raportujący pozwalający na wygenerowanie następujących informacji: nr seryjne sprzętu, konfiguracja poszczególnych urządzeń, wersje oprogramowania wewnętrznego, obsadzenie slotów PCI i gniazd pamięci,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en-US"/>
                <w14:ligatures w14:val="standardContextual"/>
              </w:rPr>
              <w:lastRenderedPageBreak/>
              <w:t>informację o maszynach wirtualnych, aktualne informacje o stanie i poziomie gwarancji, adresy IP kart sieciowych, występujących aletrów, MAC adresów kart sieciowych, stanie poszczególnych komponentów serwera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>. </w:t>
            </w:r>
          </w:p>
          <w:p w14:paraId="44244720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>Możliwość tworzenia sprzętowej konfiguracji bazowej i na jej podstwie weryfikacji środowiska w celu wykrycia rozbieżności. </w:t>
            </w:r>
          </w:p>
          <w:p w14:paraId="3EC964B3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>Wdrażanie serwerów, rozwiązań modularnych oraz przełączników sieciowych w opraciu o profile </w:t>
            </w:r>
          </w:p>
          <w:p w14:paraId="4F290B35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Możliwość migracji ustawień serwera wraz z wirtualnymi adresami sieciowymi (MAC, WWN, IQN) między urządzeniami. </w:t>
            </w:r>
          </w:p>
          <w:p w14:paraId="749FC478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Tworzenie gotowych paczek informacji umożliwiających zdiagnozowanie awarii urządzenia przez serwis producenta. </w:t>
            </w:r>
          </w:p>
          <w:p w14:paraId="30413617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  <w14:ligatures w14:val="standardContextual"/>
              </w:rPr>
              <w:t>Zdalne uruchamianie diagnostyki serwera. </w:t>
            </w:r>
          </w:p>
          <w:p w14:paraId="50C4EBFE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 xml:space="preserve">Dedykowana aplikacja na urządzenia mobilne integrująca się z wyżej opisanymi oprogramowaniem zarzadzającym. </w:t>
            </w:r>
          </w:p>
          <w:p w14:paraId="2D9E4EBC" w14:textId="77777777" w:rsidR="00F219C6" w:rsidRPr="00697331" w:rsidRDefault="00F219C6" w:rsidP="00A135C6">
            <w:pPr>
              <w:numPr>
                <w:ilvl w:val="0"/>
                <w:numId w:val="18"/>
              </w:numPr>
              <w:spacing w:after="0" w:line="259" w:lineRule="auto"/>
              <w:ind w:left="360" w:firstLine="0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en-US"/>
                <w14:ligatures w14:val="standardContextual"/>
              </w:rPr>
              <w:t>Oprogramowanie dostarczane jako wirtualny appliance dla KVM, ESXi i Hyper-V. </w:t>
            </w:r>
          </w:p>
        </w:tc>
      </w:tr>
      <w:tr w:rsidR="00F219C6" w:rsidRPr="00697331" w14:paraId="1326831D" w14:textId="77777777" w:rsidTr="00A135C6"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6371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SERW-II-17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5D05F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Certyfikaty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7C31F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Serwer musi być wyprodukowany zgodnie z normą ISO-9001:2015 oraz ISO-14001. 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br/>
              <w:t>Serwer musi posiadać deklaracja CE. </w:t>
            </w:r>
          </w:p>
          <w:p w14:paraId="1B456AC9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Urządzenia wyprodukowane są przez producenta, zgodnie z normą PN-EN ISO 50001 lub oświadczenie producenta o stosowaniu w fabrykach polityki zarządzania energią, która jest zgodna z obowiązującymi przepisami na terenie Unii Europejskiej. </w:t>
            </w:r>
          </w:p>
          <w:p w14:paraId="511E516C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 </w:t>
            </w: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br/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Oferowany serwer musi znajdować się na liście Windows Server Catalog i posiadać status „Certified for Windows” dla systemów Microsoft Windows 2019 x64, Microsoft Windows 2022 x64. </w:t>
            </w:r>
          </w:p>
        </w:tc>
      </w:tr>
      <w:tr w:rsidR="00F219C6" w:rsidRPr="00697331" w14:paraId="516EBB6A" w14:textId="77777777" w:rsidTr="00A135C6">
        <w:trPr>
          <w:trHeight w:val="615"/>
        </w:trPr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B212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SERW-II-18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C41C5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Komponenty dodatkowe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3E541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 - dwa moduły nadawczo-odbiorcze 10GbE SFP+ SR.</w:t>
            </w:r>
          </w:p>
        </w:tc>
      </w:tr>
      <w:tr w:rsidR="00F219C6" w:rsidRPr="00697331" w14:paraId="559A3F58" w14:textId="77777777" w:rsidTr="00A135C6">
        <w:trPr>
          <w:trHeight w:val="615"/>
        </w:trPr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B251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lastRenderedPageBreak/>
              <w:t>SERW-II-19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D9AF9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Normy Środowiskowe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F4295" w14:textId="77777777" w:rsidR="00F219C6" w:rsidRPr="00697331" w:rsidRDefault="00F219C6" w:rsidP="00A135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</w:t>
            </w:r>
            <w:r w:rsidRPr="00697331">
              <w:rPr>
                <w:rFonts w:ascii="Times New Roman" w:hAnsi="Times New Roman" w:cs="Times New Roman"/>
                <w:color w:val="2C363A"/>
                <w:kern w:val="2"/>
                <w:sz w:val="26"/>
                <w:szCs w:val="26"/>
                <w:shd w:val="clear" w:color="auto" w:fill="FFFFFF"/>
                <w:lang w:val="pl-PL" w:eastAsia="zh-CN"/>
                <w14:ligatures w14:val="standardContextual"/>
              </w:rPr>
              <w:t>Rozporządzenia nr 1272/2008WE. </w:t>
            </w:r>
            <w:r w:rsidRPr="0069733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pl-PL" w:eastAsia="zh-CN"/>
                <w14:ligatures w14:val="standardContextual"/>
              </w:rPr>
              <w:t>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Epeat Silver według normy wprowadzonej w 2019 roku.</w:t>
            </w:r>
          </w:p>
        </w:tc>
      </w:tr>
      <w:tr w:rsidR="00F219C6" w:rsidRPr="00697331" w14:paraId="319EA069" w14:textId="77777777" w:rsidTr="00A135C6">
        <w:trPr>
          <w:trHeight w:val="300"/>
        </w:trPr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E6B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SERW-II-20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9147A" w14:textId="77777777" w:rsidR="00F219C6" w:rsidRPr="00697331" w:rsidRDefault="00F219C6" w:rsidP="00A135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Dokumentacja użytkownika 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382B6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Zamawiający wymaga dokumentacji w języku polskim lub angielskim. </w:t>
            </w:r>
          </w:p>
          <w:p w14:paraId="584A334B" w14:textId="77777777" w:rsidR="00F219C6" w:rsidRPr="00697331" w:rsidRDefault="00F219C6" w:rsidP="00A135C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</w:pPr>
            <w:r w:rsidRPr="0069733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pl-PL" w:eastAsia="zh-CN"/>
                <w14:ligatures w14:val="standardContextual"/>
              </w:rPr>
              <w:t>Możliwość telefonicznego sprawdzenia konfiguracji sprzętowej serwera oraz warunków gwarancji po podaniu numeru seryjnego bezpośrednio u producenta lub jego przedstawiciela. </w:t>
            </w:r>
          </w:p>
        </w:tc>
      </w:tr>
    </w:tbl>
    <w:p w14:paraId="2D7C9FA8" w14:textId="77777777" w:rsidR="00F219C6" w:rsidRPr="00D841F4" w:rsidRDefault="00F219C6" w:rsidP="00F219C6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val="pl-PL"/>
        </w:rPr>
      </w:pPr>
    </w:p>
    <w:p w14:paraId="2105BCC3" w14:textId="77777777" w:rsidR="00F219C6" w:rsidRPr="0064216F" w:rsidRDefault="00F219C6" w:rsidP="00F219C6">
      <w:pPr>
        <w:pStyle w:val="Nagwek2"/>
        <w:numPr>
          <w:ilvl w:val="2"/>
          <w:numId w:val="25"/>
        </w:numPr>
        <w:ind w:left="1276"/>
        <w:rPr>
          <w:rFonts w:ascii="Times New Roman" w:hAnsi="Times New Roman" w:cs="Times New Roman"/>
          <w:sz w:val="26"/>
          <w:szCs w:val="26"/>
          <w:lang w:val="pl-PL"/>
        </w:rPr>
      </w:pPr>
      <w:bookmarkStart w:id="67" w:name="_Toc171605477"/>
      <w:r w:rsidRPr="0064216F">
        <w:rPr>
          <w:rFonts w:ascii="Times New Roman" w:hAnsi="Times New Roman" w:cs="Times New Roman"/>
          <w:sz w:val="26"/>
          <w:szCs w:val="26"/>
          <w:lang w:val="pl-PL"/>
        </w:rPr>
        <w:t>Zakres prac Wykonawcy</w:t>
      </w:r>
      <w:bookmarkEnd w:id="67"/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7330"/>
      </w:tblGrid>
      <w:tr w:rsidR="00F219C6" w:rsidRPr="00DC22FB" w14:paraId="16A291A0" w14:textId="77777777" w:rsidTr="00A135C6">
        <w:trPr>
          <w:tblHeader/>
        </w:trPr>
        <w:tc>
          <w:tcPr>
            <w:tcW w:w="998" w:type="pct"/>
            <w:shd w:val="clear" w:color="auto" w:fill="D5DCE4" w:themeFill="text2" w:themeFillTint="33"/>
            <w:noWrap/>
            <w:vAlign w:val="center"/>
            <w:hideMark/>
          </w:tcPr>
          <w:p w14:paraId="74273850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DC22FB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Identyfikator wymagania</w:t>
            </w:r>
          </w:p>
        </w:tc>
        <w:tc>
          <w:tcPr>
            <w:tcW w:w="4002" w:type="pct"/>
            <w:shd w:val="clear" w:color="auto" w:fill="D5DCE4" w:themeFill="text2" w:themeFillTint="33"/>
            <w:noWrap/>
            <w:vAlign w:val="center"/>
            <w:hideMark/>
          </w:tcPr>
          <w:p w14:paraId="1FA84D1A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DC22FB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Opis wymagania</w:t>
            </w:r>
          </w:p>
        </w:tc>
      </w:tr>
      <w:tr w:rsidR="00F219C6" w:rsidRPr="00152C26" w14:paraId="11AD347A" w14:textId="77777777" w:rsidTr="00A135C6">
        <w:tc>
          <w:tcPr>
            <w:tcW w:w="998" w:type="pct"/>
            <w:shd w:val="clear" w:color="auto" w:fill="auto"/>
            <w:noWrap/>
            <w:vAlign w:val="center"/>
          </w:tcPr>
          <w:p w14:paraId="75B95CEC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AC</w:t>
            </w: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-01</w:t>
            </w:r>
          </w:p>
        </w:tc>
        <w:tc>
          <w:tcPr>
            <w:tcW w:w="4002" w:type="pct"/>
            <w:shd w:val="clear" w:color="auto" w:fill="auto"/>
            <w:noWrap/>
            <w:vAlign w:val="center"/>
          </w:tcPr>
          <w:p w14:paraId="632EB39B" w14:textId="1596EBAA" w:rsidR="00F219C6" w:rsidRPr="00DC22FB" w:rsidRDefault="00F219C6" w:rsidP="00A135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Wykonawca opracuje Projekt Techniczny 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migracji obecnego rozwiązania do dostarczanego rozwiązania w nowym modelu licencyjnym na dostarczane w ramach przedmiotowego postępowania serwery. </w:t>
            </w: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Projekt zostanie opracowany w uzgodnieniu z Zamawiającym. </w:t>
            </w:r>
            <w:r w:rsidR="00735E0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Wykonawca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przeprowadzi analizę obecnego rozwiązania oraz zaprojektuje w ramach Projektu Technicznego sposób dojścia do stanu docelowego w nowym modelu licencjonowania rozwiązania.</w:t>
            </w:r>
          </w:p>
        </w:tc>
      </w:tr>
      <w:tr w:rsidR="00F219C6" w:rsidRPr="00152C26" w14:paraId="1A41AB4C" w14:textId="77777777" w:rsidTr="00A135C6">
        <w:tc>
          <w:tcPr>
            <w:tcW w:w="998" w:type="pct"/>
            <w:shd w:val="clear" w:color="auto" w:fill="auto"/>
            <w:noWrap/>
          </w:tcPr>
          <w:p w14:paraId="3CC2E6C4" w14:textId="77777777" w:rsidR="00F219C6" w:rsidRPr="00F22F3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PRAC-0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2</w:t>
            </w:r>
          </w:p>
        </w:tc>
        <w:tc>
          <w:tcPr>
            <w:tcW w:w="4002" w:type="pct"/>
            <w:shd w:val="clear" w:color="auto" w:fill="auto"/>
            <w:noWrap/>
            <w:vAlign w:val="center"/>
          </w:tcPr>
          <w:p w14:paraId="1C1BBAC2" w14:textId="77777777" w:rsidR="00F219C6" w:rsidRPr="00F22F3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Projekt Techniczny musi zawierać minimum:</w:t>
            </w:r>
          </w:p>
          <w:p w14:paraId="6ED857E0" w14:textId="77777777" w:rsidR="00F219C6" w:rsidRPr="00F22F3B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lastRenderedPageBreak/>
              <w:t>Wykaz wykorzystanego sprzętu i licencji oprogramowania,</w:t>
            </w:r>
          </w:p>
          <w:p w14:paraId="7CB01D70" w14:textId="77777777" w:rsidR="00F219C6" w:rsidRPr="00F22F3B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Przyjęte nazewnictwo elementów infrastruktury,</w:t>
            </w:r>
          </w:p>
          <w:p w14:paraId="0B6655A4" w14:textId="77777777" w:rsidR="00F219C6" w:rsidRPr="00F22F3B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Ilustracja graficzna rozmieszczenia serwerów w szafie rack </w:t>
            </w: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w pomieszczeniach serwerowni,</w:t>
            </w:r>
          </w:p>
          <w:p w14:paraId="6FF0231B" w14:textId="77777777" w:rsidR="00F219C6" w:rsidRPr="00F22F3B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Wymagania dotyczące zasilania i klimatyzacji oraz wagi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instalowanych serwerów</w:t>
            </w: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,</w:t>
            </w:r>
          </w:p>
          <w:p w14:paraId="6A7FBB4B" w14:textId="77777777" w:rsidR="00F219C6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Projekt zarządzania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dostarczanymi serwerami (interfejsy zarządzające)</w:t>
            </w: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.</w:t>
            </w:r>
          </w:p>
          <w:p w14:paraId="41410915" w14:textId="6BEDED65" w:rsidR="00F219C6" w:rsidRPr="001E355A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947752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Projekt monitorowania dostarczanej infrastruktury z wykorzystaniem posiadanego przez </w:t>
            </w:r>
            <w:r w:rsidR="004831A3" w:rsidRPr="00947752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Zamawiającego</w:t>
            </w:r>
            <w:r w:rsidRPr="00947752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rozwiązania </w:t>
            </w:r>
            <w:r w:rsidRPr="001E355A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SCOM.</w:t>
            </w:r>
          </w:p>
          <w:p w14:paraId="7706467D" w14:textId="5AAE8CC4" w:rsidR="00F219C6" w:rsidRPr="00F22F3B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Projekt konfiguracji infrastruktury wirtualizacji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(licencje oprogramowania wirtualizacyjnego dostarczy </w:t>
            </w:r>
            <w:r w:rsidR="004831A3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Zamawiający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)</w:t>
            </w: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.</w:t>
            </w:r>
          </w:p>
          <w:p w14:paraId="46CB1DC6" w14:textId="41884113" w:rsidR="00F219C6" w:rsidRPr="00F22F3B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Projekt konfiguracji zasobów dyskowych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(</w:t>
            </w:r>
            <w:r w:rsidR="004831A3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Zamawiający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udostępni przestrzeń dyskową na posiadanej macierzy przeznaczoną na przechowywanie nagrań sesji dostępu zdalnego)</w:t>
            </w: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.</w:t>
            </w:r>
          </w:p>
          <w:p w14:paraId="79421236" w14:textId="77777777" w:rsidR="00F219C6" w:rsidRPr="00F22F3B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Projekt instalacji systemów operacyjnych na dostarczonych serwerach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wraz z utwardzeniem konfiguracji</w:t>
            </w: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.</w:t>
            </w:r>
          </w:p>
          <w:p w14:paraId="76C1A749" w14:textId="77777777" w:rsidR="00F219C6" w:rsidRPr="00F22F3B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22F3B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Projekt konfiguracji infrastruktury sieci LAN oraz dostęp ze wskazanych stacji administracyjnych.</w:t>
            </w:r>
          </w:p>
          <w:p w14:paraId="7E3B9D84" w14:textId="77777777" w:rsidR="00F219C6" w:rsidRPr="005418C6" w:rsidRDefault="00F219C6" w:rsidP="00A135C6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Projekt i</w:t>
            </w:r>
            <w:r w:rsidRPr="005418C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nstalacj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i</w:t>
            </w:r>
            <w:r w:rsidRPr="005418C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nowych komponentów 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systemu rejestracji i zarządzania sesjami kont uprzywilejowanych w lokalizacji ZOPD. Uruchomienie rozwiązania a architekturze Active/Passive w oparciu o dostarczane serwery i licencje. Opracowanie scenariuszy testowych związanych z przełączaniem rozwiązania pomiędzy POPD i ZOPD.</w:t>
            </w:r>
          </w:p>
          <w:p w14:paraId="5016D6D9" w14:textId="77777777" w:rsidR="00F219C6" w:rsidRPr="00143572" w:rsidRDefault="00F219C6" w:rsidP="00A135C6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K</w:t>
            </w:r>
            <w:r w:rsidRPr="00143572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onfiguracja serwera 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NTP, DNS oraz SMTP na potrzeby migrowanego rozwiązania.</w:t>
            </w:r>
          </w:p>
          <w:p w14:paraId="173D3374" w14:textId="77777777" w:rsidR="00F219C6" w:rsidRPr="00143572" w:rsidRDefault="00F219C6" w:rsidP="00A135C6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K</w:t>
            </w:r>
            <w:r w:rsidRPr="00143572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onfiguracja użytkowników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, integracja z Active Directory Zamawiającego</w:t>
            </w:r>
          </w:p>
          <w:p w14:paraId="21EB9CD8" w14:textId="6224EF2A" w:rsidR="00F219C6" w:rsidRPr="00143572" w:rsidRDefault="00F219C6" w:rsidP="00A135C6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Konfiguracja wykonywania kopii zapasowych z wykorzystaniem posiadanego przez </w:t>
            </w:r>
            <w:r w:rsidR="00D9772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Zamawiającego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rozwiązania </w:t>
            </w:r>
            <w:r w:rsidRPr="00143572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NetWorker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.</w:t>
            </w:r>
          </w:p>
          <w:p w14:paraId="66ECCAAE" w14:textId="5D865D20" w:rsidR="00F219C6" w:rsidRDefault="00F219C6" w:rsidP="00A135C6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K</w:t>
            </w:r>
            <w:r w:rsidRPr="00143572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onfiguracja notyfikacji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użytkowników o podejmowanych/wymaganych akcjach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np. związanych z akceptacją wniosków o dostęp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.</w:t>
            </w:r>
          </w:p>
          <w:p w14:paraId="06AF7C7B" w14:textId="154724B9" w:rsidR="00F12376" w:rsidRDefault="00F12376" w:rsidP="00A135C6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lastRenderedPageBreak/>
              <w:t>Konfiguracja schematu akceptacji żądań połączeń użytkowników zdalnych oraz zatwierdzanie dostępu.</w:t>
            </w:r>
          </w:p>
          <w:p w14:paraId="6D6B8373" w14:textId="133C050E" w:rsidR="00D9772C" w:rsidRDefault="00D9772C" w:rsidP="00F12376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Konfiguracja dostępu zdalnego dla kontraktorów zewnętrznych </w:t>
            </w:r>
            <w:r w:rsidRPr="00D9772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dla poszczególnych systemów teleinformatycznych eksploatowanych w Prokuraturze Krajowej (PROK-SYS, CUI, infrastruktura sieciowa)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z podziałem na różne podmioty świadczące poszczególne usługi oraz różne poziomy dostępu do różnych zasobów dla poszczególnych </w:t>
            </w:r>
            <w:r w:rsidR="00992225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kontraktorów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.</w:t>
            </w:r>
          </w:p>
          <w:p w14:paraId="2528689A" w14:textId="3DF7FB2B" w:rsidR="00F219C6" w:rsidRPr="00F22F3B" w:rsidRDefault="00F12376" w:rsidP="00F12376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Konfiguracja przekazywania zdarzeń do rozwiązania SIEM posiadanego przez Zamawiającego oraz konfiguracja scenariuszy powodujących incydent bezpieczeństwa.</w:t>
            </w:r>
          </w:p>
        </w:tc>
      </w:tr>
      <w:tr w:rsidR="00F219C6" w:rsidRPr="00152C26" w14:paraId="2269F424" w14:textId="77777777" w:rsidTr="00A135C6">
        <w:tc>
          <w:tcPr>
            <w:tcW w:w="998" w:type="pct"/>
            <w:shd w:val="clear" w:color="auto" w:fill="auto"/>
            <w:noWrap/>
          </w:tcPr>
          <w:p w14:paraId="645543CC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lastRenderedPageBreak/>
              <w:t>PRAC-0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3</w:t>
            </w:r>
          </w:p>
        </w:tc>
        <w:tc>
          <w:tcPr>
            <w:tcW w:w="4002" w:type="pct"/>
            <w:shd w:val="clear" w:color="auto" w:fill="auto"/>
            <w:noWrap/>
            <w:vAlign w:val="center"/>
          </w:tcPr>
          <w:p w14:paraId="3616C400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Dostawa i uruchomienie sprzętu serwerowego wraz z kompletem niezbędnych licencji i subskrypcji</w:t>
            </w:r>
          </w:p>
        </w:tc>
      </w:tr>
      <w:tr w:rsidR="00F219C6" w:rsidRPr="00152C26" w14:paraId="6E05033F" w14:textId="77777777" w:rsidTr="00A135C6">
        <w:tc>
          <w:tcPr>
            <w:tcW w:w="998" w:type="pct"/>
            <w:shd w:val="clear" w:color="auto" w:fill="auto"/>
            <w:noWrap/>
          </w:tcPr>
          <w:p w14:paraId="55C7CF23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PRAC-0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4</w:t>
            </w:r>
          </w:p>
        </w:tc>
        <w:tc>
          <w:tcPr>
            <w:tcW w:w="4002" w:type="pct"/>
            <w:shd w:val="clear" w:color="auto" w:fill="auto"/>
            <w:noWrap/>
            <w:vAlign w:val="center"/>
          </w:tcPr>
          <w:p w14:paraId="6D62452F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Połączenie okablowania, adresacja i weryfikacja połączeń.</w:t>
            </w:r>
          </w:p>
        </w:tc>
      </w:tr>
      <w:tr w:rsidR="00F219C6" w:rsidRPr="00152C26" w14:paraId="3D9BE706" w14:textId="77777777" w:rsidTr="00A135C6">
        <w:tc>
          <w:tcPr>
            <w:tcW w:w="998" w:type="pct"/>
            <w:shd w:val="clear" w:color="auto" w:fill="auto"/>
            <w:noWrap/>
          </w:tcPr>
          <w:p w14:paraId="515A8CBC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PRAC-0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5</w:t>
            </w:r>
          </w:p>
        </w:tc>
        <w:tc>
          <w:tcPr>
            <w:tcW w:w="4002" w:type="pct"/>
            <w:shd w:val="clear" w:color="auto" w:fill="auto"/>
            <w:noWrap/>
            <w:vAlign w:val="center"/>
          </w:tcPr>
          <w:p w14:paraId="19D5E416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Wykonanie weryfikacji ilościowej i jakościowej serwerów (poprzez interfejs iDRAC)</w:t>
            </w:r>
          </w:p>
        </w:tc>
      </w:tr>
      <w:tr w:rsidR="00F219C6" w:rsidRPr="00DC22FB" w14:paraId="1023E1DF" w14:textId="77777777" w:rsidTr="00A135C6">
        <w:tc>
          <w:tcPr>
            <w:tcW w:w="998" w:type="pct"/>
            <w:shd w:val="clear" w:color="auto" w:fill="auto"/>
            <w:noWrap/>
          </w:tcPr>
          <w:p w14:paraId="20FAB284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PRAC-0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6</w:t>
            </w:r>
          </w:p>
        </w:tc>
        <w:tc>
          <w:tcPr>
            <w:tcW w:w="4002" w:type="pct"/>
            <w:shd w:val="clear" w:color="auto" w:fill="auto"/>
            <w:noWrap/>
            <w:vAlign w:val="center"/>
          </w:tcPr>
          <w:p w14:paraId="4C9F238E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Wykonanie upgrade firmware’u dostarczanych serwerów do najnowszej rekomendowanej przez producenta wersji.</w:t>
            </w:r>
          </w:p>
        </w:tc>
      </w:tr>
      <w:tr w:rsidR="00F219C6" w:rsidRPr="00152C26" w14:paraId="455C1747" w14:textId="77777777" w:rsidTr="00A135C6">
        <w:tc>
          <w:tcPr>
            <w:tcW w:w="998" w:type="pct"/>
            <w:shd w:val="clear" w:color="auto" w:fill="auto"/>
            <w:noWrap/>
          </w:tcPr>
          <w:p w14:paraId="4B9CCEF9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PRAC-0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7</w:t>
            </w:r>
          </w:p>
        </w:tc>
        <w:tc>
          <w:tcPr>
            <w:tcW w:w="4002" w:type="pct"/>
            <w:shd w:val="clear" w:color="auto" w:fill="auto"/>
            <w:noWrap/>
            <w:vAlign w:val="center"/>
          </w:tcPr>
          <w:p w14:paraId="59BD11AE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Wykonanie instalacji serwerów ESXi/vmWare (licencje oprogramowania zapewni Zamawiający).</w:t>
            </w:r>
          </w:p>
        </w:tc>
      </w:tr>
      <w:tr w:rsidR="00F219C6" w:rsidRPr="00152C26" w14:paraId="40034E5A" w14:textId="77777777" w:rsidTr="00A135C6">
        <w:tc>
          <w:tcPr>
            <w:tcW w:w="998" w:type="pct"/>
            <w:shd w:val="clear" w:color="auto" w:fill="auto"/>
          </w:tcPr>
          <w:p w14:paraId="78F5DB2D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PRAC-0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8</w:t>
            </w:r>
          </w:p>
        </w:tc>
        <w:tc>
          <w:tcPr>
            <w:tcW w:w="4002" w:type="pct"/>
            <w:shd w:val="clear" w:color="auto" w:fill="auto"/>
            <w:vAlign w:val="center"/>
            <w:hideMark/>
          </w:tcPr>
          <w:p w14:paraId="0AE64C21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Przygotowanie planu migracji, harmonogramu, wymagań, zaplanowanie okien serwisowych.</w:t>
            </w:r>
          </w:p>
        </w:tc>
      </w:tr>
      <w:tr w:rsidR="00F219C6" w:rsidRPr="00152C26" w14:paraId="61BD5DCC" w14:textId="77777777" w:rsidTr="00A135C6">
        <w:tc>
          <w:tcPr>
            <w:tcW w:w="998" w:type="pct"/>
            <w:shd w:val="clear" w:color="auto" w:fill="auto"/>
          </w:tcPr>
          <w:p w14:paraId="59E1ADA8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PRAC-0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9</w:t>
            </w:r>
          </w:p>
        </w:tc>
        <w:tc>
          <w:tcPr>
            <w:tcW w:w="4002" w:type="pct"/>
            <w:shd w:val="clear" w:color="auto" w:fill="auto"/>
            <w:vAlign w:val="center"/>
            <w:hideMark/>
          </w:tcPr>
          <w:p w14:paraId="41CFF380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Przygotowanie koncepcji wymaganych zmian, obszarów migracji, kolejności migracji poszczególnych elementów rozwiązania.</w:t>
            </w:r>
          </w:p>
        </w:tc>
      </w:tr>
      <w:tr w:rsidR="00F219C6" w:rsidRPr="00152C26" w14:paraId="1A193770" w14:textId="77777777" w:rsidTr="00A135C6">
        <w:tc>
          <w:tcPr>
            <w:tcW w:w="998" w:type="pct"/>
            <w:shd w:val="clear" w:color="auto" w:fill="auto"/>
          </w:tcPr>
          <w:p w14:paraId="38C45551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10</w:t>
            </w:r>
          </w:p>
        </w:tc>
        <w:tc>
          <w:tcPr>
            <w:tcW w:w="4002" w:type="pct"/>
            <w:shd w:val="clear" w:color="auto" w:fill="auto"/>
            <w:vAlign w:val="center"/>
            <w:hideMark/>
          </w:tcPr>
          <w:p w14:paraId="5F09E814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Instalacja Windows Server 2022 dostarczonych przez Zamawiającego na serwerach (licencje oprogramowania Windows Server 2022 zapewni Zamawiający).</w:t>
            </w:r>
          </w:p>
        </w:tc>
      </w:tr>
      <w:tr w:rsidR="00F219C6" w:rsidRPr="00152C26" w14:paraId="5E9E558D" w14:textId="77777777" w:rsidTr="00A135C6">
        <w:tc>
          <w:tcPr>
            <w:tcW w:w="998" w:type="pct"/>
            <w:shd w:val="clear" w:color="auto" w:fill="auto"/>
          </w:tcPr>
          <w:p w14:paraId="547073F1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11</w:t>
            </w:r>
          </w:p>
        </w:tc>
        <w:tc>
          <w:tcPr>
            <w:tcW w:w="4002" w:type="pct"/>
            <w:shd w:val="clear" w:color="auto" w:fill="auto"/>
            <w:vAlign w:val="center"/>
            <w:hideMark/>
          </w:tcPr>
          <w:p w14:paraId="791CBD7D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Migracja maszyn wirtualnych na nowe serwery ESXi oraz migracja dotychczasowego rozwiązania na nowe zasoby udostęnianae na dostarczanych serwerach. Weryfikacja przełączania pomiędzy POPD i ZOPD.</w:t>
            </w:r>
          </w:p>
        </w:tc>
      </w:tr>
      <w:tr w:rsidR="00F219C6" w:rsidRPr="00152C26" w14:paraId="7CE8B5D7" w14:textId="77777777" w:rsidTr="00A135C6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E6D9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12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10DD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Weryfikacja połączeń zdalnych realizowanych na nowym systemie (we współpracy z Zamawiającym).</w:t>
            </w:r>
          </w:p>
        </w:tc>
      </w:tr>
      <w:tr w:rsidR="00F219C6" w:rsidRPr="00152C26" w14:paraId="70BB727D" w14:textId="77777777" w:rsidTr="00A135C6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E4DB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13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60D4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Asysta inżyniera Wykonawcy w siedzibie Zamawiającego lub poprzez połączenie w sesji zdalnej w okresie stabilizacji (2 tygodnie robocze od dnia podpisania Protokołu Odbioru Końcowego) zmigrowanych komponentów.</w:t>
            </w:r>
          </w:p>
        </w:tc>
      </w:tr>
      <w:tr w:rsidR="00F219C6" w:rsidRPr="00152C26" w14:paraId="3745FC4B" w14:textId="77777777" w:rsidTr="00A135C6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1E91" w14:textId="77777777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lastRenderedPageBreak/>
              <w:t>PRAC-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14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95F1" w14:textId="2D0D5DC0" w:rsidR="00F219C6" w:rsidRPr="00697331" w:rsidRDefault="00F219C6" w:rsidP="00F123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Aktualizacja dokumentacji powykonawczej systemu rejestracji i zarządzania sesjami kont uprzywilejowanych.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W ramach aktualizacji dokumentacji powykonawczej Wykonawca uwzględni dokonane zmiany w środowisku realizowane w ramach przedmiotowej umowy oraz dokona aktualizacji 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Dokumentacj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i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administratora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w tym aktualizacji posiadanych przez Zamawiającego p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rocedur administracyjn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ych, p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rocedur instalacji i konfiguracji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, p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rocedur bieżących działań administracyjnych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, p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rocedur okresowych/planowanych działań administracyjnych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, p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rocedur aktualizacji dostarczonego 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systemu rejestracji i zarządzania sesjami kont uprzywilejowanych, p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rocedur włączenia i wyłączenia całości 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systemu rejestracji i zarządzania sesjami kont uprzywilejowanych (łącze z infrastrukturą fizyczną)</w:t>
            </w:r>
            <w:r w:rsidR="00F12376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w przypadku prac planowych.</w:t>
            </w:r>
          </w:p>
        </w:tc>
      </w:tr>
      <w:tr w:rsidR="00F12376" w:rsidRPr="00DC22FB" w14:paraId="0E43DA73" w14:textId="77777777" w:rsidTr="00A135C6">
        <w:trPr>
          <w:trHeight w:val="1896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D985" w14:textId="30BA6163" w:rsidR="00F12376" w:rsidRPr="00E52390" w:rsidRDefault="00F1237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PRAC-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15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7CE9" w14:textId="5C71A5FD" w:rsidR="00F12376" w:rsidRPr="00F12376" w:rsidRDefault="00F12376" w:rsidP="00F123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W ramach dokumentacji powykonawczej Wykonawca opracuje Politykę </w:t>
            </w:r>
            <w:r w:rsidR="003048CF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Dostępu Zdalnego Kontraktorów</w:t>
            </w:r>
            <w:r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</w:t>
            </w:r>
            <w:r w:rsidR="003048CF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Zewnętrznych</w:t>
            </w:r>
            <w:r w:rsidR="003048CF"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</w:t>
            </w:r>
            <w:r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(P</w:t>
            </w:r>
            <w:r w:rsidR="003048CF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DZKZ</w:t>
            </w:r>
            <w:r w:rsidRP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) spełniającą poniższe wymagania:</w:t>
            </w:r>
          </w:p>
          <w:p w14:paraId="5DC0E7C9" w14:textId="08004310" w:rsidR="00F12376" w:rsidRPr="0093599C" w:rsidRDefault="003048CF" w:rsidP="00692DB6">
            <w:pPr>
              <w:pStyle w:val="Akapitzlist"/>
              <w:numPr>
                <w:ilvl w:val="0"/>
                <w:numId w:val="30"/>
              </w:numPr>
              <w:spacing w:after="0"/>
              <w:ind w:left="364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PDZKZ</w:t>
            </w:r>
            <w:r w:rsidR="00F12376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musi określać zbiór zasad, standardów i wytycznych w obszarze </w:t>
            </w: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dostępu zdalnego</w:t>
            </w:r>
            <w:r w:rsidR="00F12376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w Prokuraturze Krajowej</w:t>
            </w: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;</w:t>
            </w:r>
          </w:p>
          <w:p w14:paraId="4C88EEA6" w14:textId="7A28A00F" w:rsidR="00F12376" w:rsidRPr="0093599C" w:rsidRDefault="00F12376" w:rsidP="00692DB6">
            <w:pPr>
              <w:pStyle w:val="Akapitzlist"/>
              <w:numPr>
                <w:ilvl w:val="0"/>
                <w:numId w:val="30"/>
              </w:numPr>
              <w:spacing w:after="0"/>
              <w:ind w:left="364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</w:t>
            </w:r>
            <w:r w:rsidR="003048CF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DZKZ</w:t>
            </w: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musi być opracowana w odniesieniu do Polityki Bezpieczeństwa Informacji Prokuratury Krajowej</w:t>
            </w:r>
            <w:r w:rsidR="003048CF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oraz Polityk Bezpieczeństwa poszczególnych systemów teleinformatycznych eksploatowanych w Prokuraturze Krajowej;</w:t>
            </w:r>
          </w:p>
          <w:p w14:paraId="3C382DF9" w14:textId="246B0008" w:rsidR="00F12376" w:rsidRPr="0093599C" w:rsidRDefault="003048CF" w:rsidP="00692DB6">
            <w:pPr>
              <w:pStyle w:val="Akapitzlist"/>
              <w:numPr>
                <w:ilvl w:val="0"/>
                <w:numId w:val="30"/>
              </w:numPr>
              <w:spacing w:after="0"/>
              <w:ind w:left="364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PDZKZ</w:t>
            </w:r>
            <w:r w:rsidR="00F12376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musi być opracowana jako zestaw polityk i procedur </w:t>
            </w: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związanych z dostępem zdalnym </w:t>
            </w:r>
            <w:r w:rsidR="00F12376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dla poszczególnych systemów teleinformatycznych eksploatowanych w Prokuraturze Krajowej</w:t>
            </w: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(PROK-SYS, CUI, infrastruktura sieciowa) dla kontraktorów zewnętrznych;</w:t>
            </w:r>
          </w:p>
          <w:p w14:paraId="7CADC873" w14:textId="55AAC916" w:rsidR="00F12376" w:rsidRPr="0093599C" w:rsidRDefault="003048CF" w:rsidP="00692DB6">
            <w:pPr>
              <w:pStyle w:val="Akapitzlist"/>
              <w:numPr>
                <w:ilvl w:val="0"/>
                <w:numId w:val="30"/>
              </w:numPr>
              <w:spacing w:after="0"/>
              <w:ind w:left="364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PDZKZ</w:t>
            </w:r>
            <w:r w:rsidR="00F12376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musi być opracowana zgodnie ze standardem dokumentów w Prokuraturze Krajowej</w:t>
            </w: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;</w:t>
            </w:r>
          </w:p>
          <w:p w14:paraId="31EFDBF7" w14:textId="4F322714" w:rsidR="00F12376" w:rsidRPr="0093599C" w:rsidRDefault="003048CF" w:rsidP="0093599C">
            <w:pPr>
              <w:pStyle w:val="Akapitzlist"/>
              <w:numPr>
                <w:ilvl w:val="0"/>
                <w:numId w:val="30"/>
              </w:numPr>
              <w:spacing w:after="0"/>
              <w:ind w:left="364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PDZKZ</w:t>
            </w:r>
            <w:r w:rsidR="00F12376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musi zawierać zdefiniowane role i odpowiedzialności niezbędne do realizacji w sposób kompletny i spójny przedstawionych w polityce procesów i procedur</w:t>
            </w: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;</w:t>
            </w:r>
          </w:p>
          <w:p w14:paraId="53A18A33" w14:textId="1C3B9ED0" w:rsidR="0093599C" w:rsidRPr="0093599C" w:rsidRDefault="004C3079" w:rsidP="0093599C">
            <w:pPr>
              <w:pStyle w:val="Akapitzlist"/>
              <w:numPr>
                <w:ilvl w:val="0"/>
                <w:numId w:val="30"/>
              </w:numPr>
              <w:spacing w:after="0"/>
              <w:ind w:left="364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PDZKZ</w:t>
            </w:r>
            <w:r w:rsidR="0093599C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musi zawierać analizę ryzyka dla poszczególnych systemów teleinformatycznych eksploatowanych w Prokuraturze Krajowej</w:t>
            </w:r>
          </w:p>
          <w:p w14:paraId="5737AF10" w14:textId="0F36CF2B" w:rsidR="00F12376" w:rsidRPr="0093599C" w:rsidRDefault="004C3079" w:rsidP="0093599C">
            <w:pPr>
              <w:pStyle w:val="Akapitzlist"/>
              <w:numPr>
                <w:ilvl w:val="0"/>
                <w:numId w:val="30"/>
              </w:numPr>
              <w:spacing w:after="0"/>
              <w:ind w:left="364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PDZKZ</w:t>
            </w:r>
            <w:r w:rsidR="00F12376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 xml:space="preserve"> musi zawierać sposób zarządzania dokumentem oraz jego aktualizacją</w:t>
            </w:r>
            <w:r w:rsidR="003048CF" w:rsidRPr="0093599C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;</w:t>
            </w:r>
          </w:p>
        </w:tc>
      </w:tr>
      <w:tr w:rsidR="00F219C6" w:rsidRPr="00DC22FB" w14:paraId="233C5985" w14:textId="77777777" w:rsidTr="004C3079">
        <w:trPr>
          <w:trHeight w:val="907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9680" w14:textId="4AEB0F39" w:rsidR="00F219C6" w:rsidRPr="00DC22FB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52390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lastRenderedPageBreak/>
              <w:t>PRAC-</w:t>
            </w:r>
            <w:r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1</w:t>
            </w:r>
            <w:r w:rsidR="00F12376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6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6A65" w14:textId="77777777" w:rsidR="00F219C6" w:rsidRPr="00697331" w:rsidRDefault="00F219C6" w:rsidP="00A135C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 w:eastAsia="en-US"/>
              </w:rPr>
              <w:t>Nie rzadziej niż raz na 180 dni Wykonawca dokona aktualizacji systemu rejestracji i zarządzania sesjami kont uprzywilejowanych do najnowszej rekomendowanej przez producenta wersji oraz zaktualizuje systemy operacyjne i firmware sprzętu serwerowego. Po każdej aktualizacji Wykonawca w asyście Zamawiającego przetestuje wskazane przez Zamawiającego procedury a w przypadku rozbieżności lub błędów dokona aktualizacji procedur lub rekonfiguracji systemu. Wymaganie nie może być realizowane z roboczogodzin wsparcia eksperckiego.</w:t>
            </w:r>
          </w:p>
        </w:tc>
      </w:tr>
      <w:bookmarkEnd w:id="61"/>
    </w:tbl>
    <w:p w14:paraId="5D42F8F7" w14:textId="2142E282" w:rsidR="00F219C6" w:rsidRDefault="00F219C6" w:rsidP="00F219C6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pl-PL"/>
        </w:rPr>
      </w:pPr>
    </w:p>
    <w:p w14:paraId="6D55F7AA" w14:textId="77777777" w:rsidR="00F219C6" w:rsidRPr="0064216F" w:rsidRDefault="00F219C6" w:rsidP="00F219C6">
      <w:pPr>
        <w:pStyle w:val="Nagwek2"/>
        <w:numPr>
          <w:ilvl w:val="2"/>
          <w:numId w:val="25"/>
        </w:numPr>
        <w:ind w:left="1276"/>
        <w:rPr>
          <w:rFonts w:ascii="Times New Roman" w:hAnsi="Times New Roman" w:cs="Times New Roman"/>
          <w:sz w:val="26"/>
          <w:szCs w:val="26"/>
          <w:lang w:val="pl-PL"/>
        </w:rPr>
      </w:pPr>
      <w:bookmarkStart w:id="68" w:name="_Toc171605478"/>
      <w:bookmarkStart w:id="69" w:name="_Toc511139553"/>
      <w:bookmarkStart w:id="70" w:name="_Toc15652890"/>
      <w:r w:rsidRPr="0064216F">
        <w:rPr>
          <w:rFonts w:ascii="Times New Roman" w:hAnsi="Times New Roman" w:cs="Times New Roman"/>
          <w:sz w:val="26"/>
          <w:szCs w:val="26"/>
          <w:lang w:val="pl-PL"/>
        </w:rPr>
        <w:t>Wsparcie eksperckie</w:t>
      </w:r>
      <w:bookmarkEnd w:id="68"/>
    </w:p>
    <w:tbl>
      <w:tblPr>
        <w:tblW w:w="53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7723"/>
      </w:tblGrid>
      <w:tr w:rsidR="00F219C6" w:rsidRPr="00D841F4" w14:paraId="3C699CDF" w14:textId="77777777" w:rsidTr="00A135C6">
        <w:trPr>
          <w:trHeight w:val="385"/>
          <w:tblHeader/>
        </w:trPr>
        <w:tc>
          <w:tcPr>
            <w:tcW w:w="1016" w:type="pct"/>
            <w:shd w:val="clear" w:color="auto" w:fill="D5DCE4" w:themeFill="text2" w:themeFillTint="33"/>
          </w:tcPr>
          <w:bookmarkEnd w:id="69"/>
          <w:bookmarkEnd w:id="70"/>
          <w:p w14:paraId="160B3018" w14:textId="77777777" w:rsidR="00F219C6" w:rsidRPr="00D841F4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pl-PL"/>
              </w:rPr>
            </w:pPr>
            <w:r w:rsidRPr="00D841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pl-PL" w:eastAsia="pl-PL"/>
              </w:rPr>
              <w:t>Identyfikator wymagania</w:t>
            </w:r>
          </w:p>
        </w:tc>
        <w:tc>
          <w:tcPr>
            <w:tcW w:w="3984" w:type="pct"/>
            <w:shd w:val="clear" w:color="auto" w:fill="D5DCE4" w:themeFill="text2" w:themeFillTint="33"/>
          </w:tcPr>
          <w:p w14:paraId="4640BB98" w14:textId="77777777" w:rsidR="00F219C6" w:rsidRPr="00D841F4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pl-PL"/>
              </w:rPr>
            </w:pPr>
            <w:r w:rsidRPr="00D841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pl-PL"/>
              </w:rPr>
              <w:t>Opis wymagania</w:t>
            </w:r>
          </w:p>
        </w:tc>
      </w:tr>
      <w:tr w:rsidR="00F219C6" w:rsidRPr="00152C26" w14:paraId="7406217C" w14:textId="77777777" w:rsidTr="00A135C6">
        <w:tc>
          <w:tcPr>
            <w:tcW w:w="1016" w:type="pct"/>
            <w:shd w:val="clear" w:color="auto" w:fill="auto"/>
          </w:tcPr>
          <w:p w14:paraId="3AB3EB02" w14:textId="77777777" w:rsidR="00F219C6" w:rsidRPr="00D841F4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WSPEKS</w:t>
            </w:r>
            <w:r w:rsidRPr="00D84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1</w:t>
            </w:r>
          </w:p>
        </w:tc>
        <w:tc>
          <w:tcPr>
            <w:tcW w:w="3984" w:type="pct"/>
            <w:shd w:val="clear" w:color="auto" w:fill="auto"/>
          </w:tcPr>
          <w:p w14:paraId="234B76F5" w14:textId="77777777" w:rsidR="00F219C6" w:rsidRPr="00880CEB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pl-PL" w:eastAsia="pl-PL"/>
              </w:rPr>
            </w:pPr>
            <w:r w:rsidRPr="00880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pl-PL" w:eastAsia="pl-PL"/>
              </w:rPr>
              <w:t xml:space="preserve">Wykonawca zapewni wsparcie eksperckie, zgodnie z potrzebami Zamawiającego, przez minimum jednego inżyniera w okresie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pl-PL" w:eastAsia="pl-PL"/>
              </w:rPr>
              <w:t>obowiązywania Umowy</w:t>
            </w:r>
            <w:r w:rsidRPr="00880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pl-PL" w:eastAsia="pl-PL"/>
              </w:rPr>
              <w:t>, licząc od dnia podpisania Protokołu Odbioru Końcowego, w wymiarze do 1000 roboczogodzin (w roboczogodzinę wsparcia nie wlicza się czasu dojazdu oraz ilości osób świadczących usługę, tzn. nie ma znaczenia ile osób jednocześnie będzie świadczyło usługę w ramach jednej roboczogodziny).</w:t>
            </w:r>
          </w:p>
          <w:p w14:paraId="211F5692" w14:textId="77777777" w:rsidR="00F219C6" w:rsidRPr="00880CEB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</w:pPr>
            <w:r w:rsidRPr="00880C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>Wymagania dla inżyniera świadczącego wsparcie eksperckie:</w:t>
            </w:r>
          </w:p>
          <w:p w14:paraId="4A48D00B" w14:textId="77777777" w:rsidR="00F219C6" w:rsidRPr="00880CEB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</w:pPr>
            <w:r w:rsidRPr="00880C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>a)</w:t>
            </w:r>
            <w:r w:rsidRPr="00880C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ab/>
              <w:t xml:space="preserve">posiada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 xml:space="preserve">udokumentowane </w:t>
            </w:r>
            <w:r w:rsidRPr="00880C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>doświadczenie zawodowe w zakresie wsparcia eksperckiego dla oferowanego rozwiązania</w:t>
            </w:r>
          </w:p>
          <w:p w14:paraId="666207E4" w14:textId="77777777" w:rsidR="00F219C6" w:rsidRPr="00880CEB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</w:pPr>
            <w:r w:rsidRPr="00880C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>b)</w:t>
            </w:r>
            <w:r w:rsidRPr="00880C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ab/>
              <w:t xml:space="preserve">posiada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 xml:space="preserve">udokumentowane </w:t>
            </w:r>
            <w:r w:rsidRPr="00880C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>doświadczenie zawodowe w zakresie administracji oferowanego rozwiązania</w:t>
            </w:r>
          </w:p>
          <w:p w14:paraId="59D5A41F" w14:textId="77777777" w:rsidR="00F219C6" w:rsidRPr="00D841F4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pl-PL"/>
              </w:rPr>
            </w:pPr>
            <w:r w:rsidRPr="00880C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>c)</w:t>
            </w:r>
            <w:r w:rsidRPr="00880C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pl-PL"/>
              </w:rPr>
              <w:tab/>
              <w:t>posiada kwalifikacje eksperckie z obszaru dostarczonej architektury potwierdzone certyfikatem wydanym przez producenta oferowanego rozwiązania w oficjalnie dostępnej ścieżce certyfikacji.</w:t>
            </w:r>
          </w:p>
        </w:tc>
      </w:tr>
      <w:tr w:rsidR="00F219C6" w:rsidRPr="00152C26" w14:paraId="48E7D1C8" w14:textId="77777777" w:rsidTr="00A135C6">
        <w:tc>
          <w:tcPr>
            <w:tcW w:w="1016" w:type="pct"/>
            <w:shd w:val="clear" w:color="auto" w:fill="auto"/>
          </w:tcPr>
          <w:p w14:paraId="2A3F854A" w14:textId="77777777" w:rsidR="00F219C6" w:rsidRPr="00D841F4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</w:pPr>
            <w:r w:rsidRPr="008A2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WSPEKS-0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2</w:t>
            </w:r>
          </w:p>
        </w:tc>
        <w:tc>
          <w:tcPr>
            <w:tcW w:w="3984" w:type="pct"/>
            <w:shd w:val="clear" w:color="auto" w:fill="auto"/>
          </w:tcPr>
          <w:p w14:paraId="61E92971" w14:textId="77777777" w:rsidR="00F219C6" w:rsidRPr="00D841F4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D84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 xml:space="preserve">Zakres czynności wykonywanych w ramach wsparcia eksperckiego nie może być tożsamy z zakresem objętym usługami w ramach udzielonej gwarancji. </w:t>
            </w:r>
          </w:p>
        </w:tc>
      </w:tr>
      <w:tr w:rsidR="00F219C6" w:rsidRPr="00152C26" w14:paraId="7143D22D" w14:textId="77777777" w:rsidTr="00A135C6">
        <w:trPr>
          <w:trHeight w:val="914"/>
        </w:trPr>
        <w:tc>
          <w:tcPr>
            <w:tcW w:w="1016" w:type="pct"/>
            <w:shd w:val="clear" w:color="auto" w:fill="auto"/>
          </w:tcPr>
          <w:p w14:paraId="0067B78F" w14:textId="77777777" w:rsidR="00F219C6" w:rsidRPr="00D841F4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</w:pPr>
            <w:r w:rsidRPr="008A2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WSPEKS-0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3</w:t>
            </w:r>
          </w:p>
        </w:tc>
        <w:tc>
          <w:tcPr>
            <w:tcW w:w="3984" w:type="pct"/>
            <w:shd w:val="clear" w:color="auto" w:fill="auto"/>
          </w:tcPr>
          <w:p w14:paraId="25F98A85" w14:textId="77777777" w:rsidR="00F219C6" w:rsidRPr="00D841F4" w:rsidRDefault="00F219C6" w:rsidP="00A135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D84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Zlecenia w ramach wsparcia eksperckiego będą dotyczyły w szczególności  modyfikacji wdrożonych rozwiązań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,</w:t>
            </w:r>
            <w:r w:rsidRPr="00D84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 xml:space="preserve"> wsparciu w zakresie utrzymania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 xml:space="preserve"> oraz rozbudowy o dodatkowe moduły funkcjonalne</w:t>
            </w:r>
            <w:r w:rsidRPr="00D84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l-PL" w:eastAsia="pl-PL"/>
              </w:rPr>
              <w:t>.</w:t>
            </w:r>
          </w:p>
        </w:tc>
      </w:tr>
    </w:tbl>
    <w:p w14:paraId="51E309F9" w14:textId="77777777" w:rsidR="00F219C6" w:rsidRDefault="00F219C6" w:rsidP="00F219C6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pl-PL" w:eastAsia="en-US"/>
        </w:rPr>
      </w:pPr>
      <w:r>
        <w:rPr>
          <w:rFonts w:ascii="Times New Roman" w:hAnsi="Times New Roman" w:cs="Times New Roman"/>
          <w:sz w:val="26"/>
          <w:szCs w:val="26"/>
          <w:lang w:val="pl-PL" w:eastAsia="en-US"/>
        </w:rPr>
        <w:br w:type="page"/>
      </w:r>
    </w:p>
    <w:p w14:paraId="0E027897" w14:textId="77777777" w:rsidR="00F219C6" w:rsidRPr="003F3566" w:rsidRDefault="00F219C6" w:rsidP="00F219C6">
      <w:pPr>
        <w:pStyle w:val="Nagwek1"/>
        <w:numPr>
          <w:ilvl w:val="0"/>
          <w:numId w:val="10"/>
        </w:numPr>
        <w:rPr>
          <w:rFonts w:ascii="Times New Roman" w:hAnsi="Times New Roman" w:cs="Times New Roman"/>
          <w:szCs w:val="26"/>
          <w:lang w:val="pl-PL"/>
        </w:rPr>
      </w:pPr>
      <w:bookmarkStart w:id="71" w:name="_Toc171605479"/>
      <w:r w:rsidRPr="003F3566">
        <w:rPr>
          <w:rFonts w:ascii="Times New Roman" w:hAnsi="Times New Roman" w:cs="Times New Roman"/>
          <w:szCs w:val="26"/>
          <w:lang w:val="pl-PL"/>
        </w:rPr>
        <w:lastRenderedPageBreak/>
        <w:t>Zamówienie realizowane w ramach Prawa Opcji</w:t>
      </w:r>
      <w:bookmarkEnd w:id="71"/>
      <w:r w:rsidRPr="003F3566">
        <w:rPr>
          <w:rFonts w:ascii="Times New Roman" w:hAnsi="Times New Roman" w:cs="Times New Roman"/>
          <w:szCs w:val="26"/>
          <w:lang w:val="pl-PL"/>
        </w:rPr>
        <w:t xml:space="preserve"> </w:t>
      </w:r>
    </w:p>
    <w:p w14:paraId="0FD8F840" w14:textId="77777777" w:rsidR="00F219C6" w:rsidRPr="003F3566" w:rsidRDefault="00F219C6" w:rsidP="00F219C6">
      <w:pPr>
        <w:spacing w:after="160" w:line="259" w:lineRule="auto"/>
        <w:textAlignment w:val="baseline"/>
        <w:rPr>
          <w:rFonts w:ascii="Times New Roman" w:eastAsiaTheme="minorHAnsi" w:hAnsi="Times New Roman" w:cs="Times New Roman"/>
          <w:sz w:val="22"/>
          <w:lang w:val="pl-PL" w:eastAsia="en-US"/>
        </w:rPr>
      </w:pPr>
    </w:p>
    <w:p w14:paraId="11B855FE" w14:textId="77777777" w:rsidR="00F219C6" w:rsidRPr="003F3566" w:rsidRDefault="00F219C6" w:rsidP="00F219C6">
      <w:pPr>
        <w:spacing w:after="0" w:line="480" w:lineRule="auto"/>
        <w:rPr>
          <w:rFonts w:ascii="Times New Roman" w:eastAsiaTheme="minorHAnsi" w:hAnsi="Times New Roman" w:cs="Times New Roman"/>
          <w:b/>
          <w:sz w:val="24"/>
          <w:szCs w:val="24"/>
          <w:lang w:val="pl-PL" w:eastAsia="en-US"/>
        </w:rPr>
      </w:pPr>
      <w:r w:rsidRPr="003F3566">
        <w:rPr>
          <w:rFonts w:ascii="Times New Roman" w:eastAsiaTheme="minorHAnsi" w:hAnsi="Times New Roman" w:cs="Times New Roman"/>
          <w:b/>
          <w:sz w:val="24"/>
          <w:szCs w:val="24"/>
          <w:lang w:val="pl-PL" w:eastAsia="en-US"/>
        </w:rPr>
        <w:t>Producent:………………………………</w:t>
      </w:r>
      <w:r w:rsidRPr="003F3566">
        <w:rPr>
          <w:rFonts w:ascii="Times New Roman" w:eastAsiaTheme="minorHAnsi" w:hAnsi="Times New Roman" w:cs="Times New Roman"/>
          <w:i/>
          <w:sz w:val="22"/>
          <w:lang w:val="pl-PL" w:eastAsia="en-US"/>
        </w:rPr>
        <w:t xml:space="preserve"> *</w:t>
      </w:r>
    </w:p>
    <w:p w14:paraId="67C7A13A" w14:textId="77777777" w:rsidR="00F219C6" w:rsidRPr="003F3566" w:rsidRDefault="00F219C6" w:rsidP="00F219C6">
      <w:pPr>
        <w:spacing w:after="0" w:line="480" w:lineRule="auto"/>
        <w:rPr>
          <w:rFonts w:ascii="Times New Roman" w:eastAsiaTheme="minorHAnsi" w:hAnsi="Times New Roman" w:cs="Times New Roman"/>
          <w:b/>
          <w:sz w:val="24"/>
          <w:szCs w:val="24"/>
          <w:highlight w:val="yellow"/>
          <w:lang w:val="pl-PL" w:eastAsia="en-US"/>
        </w:rPr>
      </w:pPr>
      <w:r w:rsidRPr="003F3566">
        <w:rPr>
          <w:rFonts w:ascii="Times New Roman" w:eastAsiaTheme="minorHAnsi" w:hAnsi="Times New Roman" w:cs="Times New Roman"/>
          <w:b/>
          <w:sz w:val="24"/>
          <w:szCs w:val="24"/>
          <w:lang w:val="pl-PL" w:eastAsia="en-US"/>
        </w:rPr>
        <w:t>Nazwa produktu:………….....................</w:t>
      </w:r>
      <w:r w:rsidRPr="003F3566">
        <w:rPr>
          <w:rFonts w:ascii="Times New Roman" w:eastAsiaTheme="minorHAnsi" w:hAnsi="Times New Roman" w:cs="Times New Roman"/>
          <w:i/>
          <w:sz w:val="22"/>
          <w:lang w:val="pl-PL" w:eastAsia="en-US"/>
        </w:rPr>
        <w:t xml:space="preserve"> *</w:t>
      </w:r>
    </w:p>
    <w:p w14:paraId="7081117F" w14:textId="77777777" w:rsidR="00F219C6" w:rsidRPr="003F3566" w:rsidRDefault="00F219C6" w:rsidP="00F219C6">
      <w:pPr>
        <w:spacing w:after="0"/>
        <w:rPr>
          <w:rFonts w:ascii="Times New Roman" w:eastAsiaTheme="minorHAnsi" w:hAnsi="Times New Roman" w:cs="Times New Roman"/>
          <w:i/>
          <w:sz w:val="22"/>
          <w:lang w:val="pl-PL" w:eastAsia="en-US"/>
        </w:rPr>
      </w:pPr>
      <w:r w:rsidRPr="00C54DE9">
        <w:rPr>
          <w:rFonts w:ascii="Times New Roman" w:eastAsiaTheme="minorHAnsi" w:hAnsi="Times New Roman" w:cs="Times New Roman"/>
          <w:i/>
          <w:sz w:val="22"/>
          <w:lang w:val="pl-PL" w:eastAsia="en-US"/>
        </w:rPr>
        <w:t>* (w przypadku oferowania wskazanych niżej produktów, pola powyżej należy uzupełnić poprzez wpisanie „zgodnie z wymaganiami OPZ”)</w:t>
      </w:r>
    </w:p>
    <w:p w14:paraId="228936C4" w14:textId="77777777" w:rsidR="00F219C6" w:rsidRPr="003F3566" w:rsidRDefault="00F219C6" w:rsidP="00F219C6">
      <w:pPr>
        <w:spacing w:after="160" w:line="259" w:lineRule="auto"/>
        <w:rPr>
          <w:rFonts w:ascii="Times New Roman" w:eastAsiaTheme="minorHAnsi" w:hAnsi="Times New Roman" w:cs="Times New Roman"/>
          <w:sz w:val="22"/>
          <w:lang w:val="pl-PL"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"/>
        <w:gridCol w:w="6166"/>
        <w:gridCol w:w="2185"/>
      </w:tblGrid>
      <w:tr w:rsidR="00F219C6" w:rsidRPr="00697331" w14:paraId="6E1944D8" w14:textId="77777777" w:rsidTr="00A135C6">
        <w:trPr>
          <w:jc w:val="center"/>
        </w:trPr>
        <w:tc>
          <w:tcPr>
            <w:tcW w:w="0" w:type="auto"/>
            <w:gridSpan w:val="3"/>
            <w:vAlign w:val="center"/>
          </w:tcPr>
          <w:p w14:paraId="0506B9F9" w14:textId="77777777" w:rsidR="00F219C6" w:rsidRPr="00697331" w:rsidRDefault="00F219C6" w:rsidP="00A135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pl-PL" w:eastAsia="en-US"/>
              </w:rPr>
            </w:pPr>
            <w:bookmarkStart w:id="72" w:name="_Hlk148878229"/>
            <w:r w:rsidRPr="006973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pl-PL"/>
              </w:rPr>
              <w:t xml:space="preserve">Rozbudowa obecnie posiadanego Oprogramowania systemu rejestracji i zarządzania sesjami kont uprzywilejowanych wraz z serwisem gwarancyjnym producenta </w:t>
            </w:r>
            <w:r w:rsidRPr="0069733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pl-PL" w:eastAsia="en-US"/>
              </w:rPr>
              <w:t>i prawem do aktualizacji</w:t>
            </w:r>
            <w:bookmarkEnd w:id="72"/>
          </w:p>
        </w:tc>
      </w:tr>
      <w:tr w:rsidR="00F219C6" w:rsidRPr="00697331" w14:paraId="32602062" w14:textId="77777777" w:rsidTr="00A135C6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305EF" w14:textId="77777777" w:rsidR="00F219C6" w:rsidRPr="00697331" w:rsidRDefault="00F219C6" w:rsidP="00A135C6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pl-PL" w:eastAsia="en-US"/>
              </w:rPr>
              <w:t>L.p.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77838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pl-PL" w:eastAsia="en-US"/>
              </w:rPr>
              <w:t>Opis produktu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BC061" w14:textId="77777777" w:rsidR="00F219C6" w:rsidRPr="00697331" w:rsidRDefault="00F219C6" w:rsidP="00A135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pl-PL" w:eastAsia="en-US"/>
              </w:rPr>
              <w:t>Liczba licencji</w:t>
            </w:r>
          </w:p>
        </w:tc>
      </w:tr>
      <w:tr w:rsidR="00F219C6" w:rsidRPr="00697331" w14:paraId="4CCFB4BE" w14:textId="77777777" w:rsidTr="00A135C6">
        <w:trPr>
          <w:jc w:val="center"/>
        </w:trPr>
        <w:tc>
          <w:tcPr>
            <w:tcW w:w="0" w:type="auto"/>
            <w:vAlign w:val="center"/>
          </w:tcPr>
          <w:p w14:paraId="2CC70C98" w14:textId="77777777" w:rsidR="00F219C6" w:rsidRPr="00697331" w:rsidRDefault="00F219C6" w:rsidP="00A135C6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pl-PL" w:eastAsia="en-US"/>
              </w:rPr>
            </w:pPr>
          </w:p>
        </w:tc>
        <w:tc>
          <w:tcPr>
            <w:tcW w:w="6390" w:type="dxa"/>
            <w:vAlign w:val="center"/>
          </w:tcPr>
          <w:p w14:paraId="6B3AF783" w14:textId="77777777" w:rsidR="00F219C6" w:rsidRPr="00697331" w:rsidRDefault="00F219C6" w:rsidP="00A135C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PRIV-STANDARD-USER-SUBS</w:t>
            </w:r>
          </w:p>
        </w:tc>
        <w:tc>
          <w:tcPr>
            <w:tcW w:w="0" w:type="auto"/>
            <w:vAlign w:val="center"/>
          </w:tcPr>
          <w:p w14:paraId="503643B1" w14:textId="77777777" w:rsidR="00F219C6" w:rsidRPr="00697331" w:rsidRDefault="00F219C6" w:rsidP="00A135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pl-PL" w:eastAsia="en-US"/>
              </w:rPr>
              <w:t>200</w:t>
            </w:r>
          </w:p>
        </w:tc>
      </w:tr>
      <w:tr w:rsidR="00F219C6" w:rsidRPr="00697331" w14:paraId="621F8E95" w14:textId="77777777" w:rsidTr="00A135C6">
        <w:trPr>
          <w:jc w:val="center"/>
        </w:trPr>
        <w:tc>
          <w:tcPr>
            <w:tcW w:w="0" w:type="auto"/>
            <w:vAlign w:val="center"/>
          </w:tcPr>
          <w:p w14:paraId="5755B5E3" w14:textId="77777777" w:rsidR="00F219C6" w:rsidRPr="00697331" w:rsidRDefault="00F219C6" w:rsidP="00A135C6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pl-PL" w:eastAsia="en-US"/>
              </w:rPr>
            </w:pPr>
          </w:p>
        </w:tc>
        <w:tc>
          <w:tcPr>
            <w:tcW w:w="8351" w:type="dxa"/>
            <w:gridSpan w:val="2"/>
            <w:vAlign w:val="center"/>
          </w:tcPr>
          <w:p w14:paraId="0E2FAFA4" w14:textId="77777777" w:rsidR="00F219C6" w:rsidRPr="00F0351E" w:rsidRDefault="00F219C6" w:rsidP="00A1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F0351E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przypadku oferowania Oprogramowania równoważnego względem wskazanego przez  Zamawiającego, Wykonawca musi na swoją odpowiedzialność i swój koszt udowodnić, że zaoferowane produkty spełniają wszystkie wymagania i warunki jakimi charakteryzuje się produkt wskazany w OPZ oraz posiada pełną funkcjonalność opisaną w pkt. 4.1, w szczególności w zakresie:</w:t>
            </w:r>
          </w:p>
          <w:p w14:paraId="5671E8D0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warunki licencji/ sublicencji /wsparcia zaoferowanych produktów równoważnych w każdym aspekcie, które nie mogą być gorsze niż dla produktów wymienionych w OPZ,</w:t>
            </w:r>
          </w:p>
          <w:p w14:paraId="6AFD6347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funkcjonalności zaoferowanych produktów równoważnych, które nie mogą być ograniczone i gorsze względem funkcjonalności produktów wymienionych w OPZ,</w:t>
            </w:r>
          </w:p>
          <w:p w14:paraId="15D69454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zakresu kompatybilności i współdziałania zaoferowanych produktów równoważnych ze sprzętem i Oprogramowaniem funkcjonującym u Zamawiającego, który nie może być gorszy niż dla produktów wymienionych w OPZ,</w:t>
            </w:r>
          </w:p>
          <w:p w14:paraId="640525F7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poziomu zakłóceń pracy środowiska systemowo-programowego Zamawiającego spowodowanego wykorzystaniem zaoferowanych produktów równoważnych, wymienionych w OPZ, który nie może być większe niż dla produktów wymienionych w OPZ,</w:t>
            </w:r>
          </w:p>
          <w:p w14:paraId="348E7190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poziomu współpracy zaoferowanych produktów równoważnych z systemem Zamawiającego, które nie może być gorszy niż dla produktów wymienionych w OPZ,</w:t>
            </w:r>
          </w:p>
          <w:p w14:paraId="57A76C51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zapewnienie pełnej, równoległej współpracy w czasie rzeczywistym i pełnej funkcjonalnej zamienności zaoferowanych produktów równoważnych z produktami wymienionymi w OPZ,</w:t>
            </w:r>
          </w:p>
          <w:p w14:paraId="4CF33272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warunków i zakresu usług gwarancji, asysty technicznej i konserwacji zaoferowanych produktów równoważnych, które nie mogą być gorsze niż dla produktów wymienionych w OPZ,</w:t>
            </w:r>
          </w:p>
          <w:p w14:paraId="28E32325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lastRenderedPageBreak/>
              <w:t>obsługi przez zaoferowane produkty równoważne języków interfejsu, w ilości i rodzaju nie mniejszych niż produkty wymienione w OPZ,</w:t>
            </w:r>
          </w:p>
          <w:p w14:paraId="2CC81337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wymagań sprzętowych dla zaoferowanych produktów równoważnych, które nie mogą być wyższe niż dla produktów wymienionych w OPZ,</w:t>
            </w:r>
          </w:p>
          <w:p w14:paraId="1295F77B" w14:textId="77777777" w:rsidR="00F219C6" w:rsidRPr="00697331" w:rsidRDefault="00F219C6" w:rsidP="00A135C6">
            <w:pPr>
              <w:pStyle w:val="Akapitzlist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dostępności wersji bitowych zaoferowanych produktów równoważnych, które nie może być mniejsza niż dla produktów wymienionych w OPZ,</w:t>
            </w:r>
          </w:p>
          <w:p w14:paraId="1E43DCA3" w14:textId="77777777" w:rsidR="00F219C6" w:rsidRPr="00697331" w:rsidRDefault="00F219C6" w:rsidP="00A135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przypadku zaoferowania przez Wykonawcę produktu równoważnego Wykonawca dokona wspólnie z Zamawiającym instalacji i testowania produktu równoważnego w środowisku sprzętowo-programowym Zamawiającego.</w:t>
            </w:r>
          </w:p>
          <w:p w14:paraId="2C742079" w14:textId="77777777" w:rsidR="00F219C6" w:rsidRPr="00697331" w:rsidRDefault="00F219C6" w:rsidP="00A135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przypadku zaoferowania przez Wykonawcę Oprogramowania równoważnego Wykonawca dokona transferu wiedzy w zakresie utrzymania i rozwoju rozwiązania opartego o zaproponowane produkty.</w:t>
            </w:r>
          </w:p>
          <w:p w14:paraId="7E0E91D4" w14:textId="77777777" w:rsidR="00F219C6" w:rsidRPr="00697331" w:rsidRDefault="00F219C6" w:rsidP="00A135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przypadku, gdy zaoferowany przez Wykonawcę produkt równoważny nie będzie właściwie współdziałać ze sprzętem i Oprogramowaniem funkcjonującymi w infrastrukturze Zamawiającego, Wykonawca pokryje wszystkie koszty związane z przywróceniem i sprawnym działaniem infrastruktury sprzętowo-programowej Zamawiającego oraz na własny koszt dokona niezbędnych modyfikacji przywracających właściwe działanie środowiska sprzętowo programowego Zamawiającego również po usunięciu produktu równoważnego.</w:t>
            </w:r>
          </w:p>
          <w:p w14:paraId="0FFD63FC" w14:textId="77777777" w:rsidR="00F219C6" w:rsidRPr="00697331" w:rsidRDefault="00F219C6" w:rsidP="00A135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Oprogramowanie równoważne dostarczone przez Wykonawcę nie może powodować utraty kompatybilności oraz wsparcia producentów innego używanego i współpracującego z nim Oprogramowania.</w:t>
            </w:r>
          </w:p>
          <w:p w14:paraId="06F178AB" w14:textId="77777777" w:rsidR="00F219C6" w:rsidRPr="00697331" w:rsidRDefault="00F219C6" w:rsidP="00A135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Oprogramowanie równoważne będzie zarządzane z poziomu tej samej konsoli zarządzającej co Oprogramowanie podlegające Serwisowi gwarancyjnemu.</w:t>
            </w:r>
          </w:p>
          <w:p w14:paraId="78AEDB7C" w14:textId="77777777" w:rsidR="00F219C6" w:rsidRPr="00697331" w:rsidRDefault="00F219C6" w:rsidP="00A135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ogłosił zaprzestanie wsparcia w jego nowszych wersjach.</w:t>
            </w:r>
          </w:p>
          <w:p w14:paraId="67271A0F" w14:textId="77777777" w:rsidR="00F219C6" w:rsidRPr="00697331" w:rsidRDefault="00F219C6" w:rsidP="00A135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pl-PL" w:eastAsia="en-US"/>
              </w:rPr>
            </w:pPr>
            <w:r w:rsidRPr="0069733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przypadku zaoferowania rozwiązania równoważnego Wykonawca jest zobowiązany uwzględnić w ofercie wszelkie koszty jego wdrożenia i integracji z infrastrukturą sprzętowo-programową Zamawiającego, w tym koszty ewentualnych szkoleń i migracji danych. Wykonawca pokryje również wszelkie udokumentowane koszty po stronie Zamawiającego, związane z wdrożeniem rozwiązania równoważnego.</w:t>
            </w:r>
          </w:p>
        </w:tc>
      </w:tr>
    </w:tbl>
    <w:p w14:paraId="5AC4B908" w14:textId="77777777" w:rsidR="0026242F" w:rsidRDefault="0026242F"/>
    <w:sectPr w:rsidR="0026242F" w:rsidSect="00A135C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01F1A" w14:textId="77777777" w:rsidR="000D7CAB" w:rsidRDefault="000D7CAB">
      <w:pPr>
        <w:spacing w:after="0" w:line="240" w:lineRule="auto"/>
      </w:pPr>
      <w:r>
        <w:separator/>
      </w:r>
    </w:p>
  </w:endnote>
  <w:endnote w:type="continuationSeparator" w:id="0">
    <w:p w14:paraId="7B3250AE" w14:textId="77777777" w:rsidR="000D7CAB" w:rsidRDefault="000D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l Repl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ICTFontTextStyleEmphasized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541215"/>
      <w:docPartObj>
        <w:docPartGallery w:val="Page Numbers (Bottom of Page)"/>
        <w:docPartUnique/>
      </w:docPartObj>
    </w:sdtPr>
    <w:sdtContent>
      <w:p w14:paraId="7CBEBF29" w14:textId="77777777" w:rsidR="00A135C6" w:rsidRDefault="00A135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26C93">
          <w:rPr>
            <w:noProof/>
            <w:lang w:val="pl-PL"/>
          </w:rPr>
          <w:t>48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9503A" w14:textId="77777777" w:rsidR="000D7CAB" w:rsidRDefault="000D7CAB">
      <w:pPr>
        <w:spacing w:after="0" w:line="240" w:lineRule="auto"/>
      </w:pPr>
      <w:r>
        <w:separator/>
      </w:r>
    </w:p>
  </w:footnote>
  <w:footnote w:type="continuationSeparator" w:id="0">
    <w:p w14:paraId="5EDC6A1B" w14:textId="77777777" w:rsidR="000D7CAB" w:rsidRDefault="000D7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08C42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467974"/>
    <w:multiLevelType w:val="hybridMultilevel"/>
    <w:tmpl w:val="A47E0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0969"/>
    <w:multiLevelType w:val="hybridMultilevel"/>
    <w:tmpl w:val="251E576E"/>
    <w:lvl w:ilvl="0" w:tplc="1E4C8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ED519D"/>
    <w:multiLevelType w:val="hybridMultilevel"/>
    <w:tmpl w:val="1DCA14F8"/>
    <w:lvl w:ilvl="0" w:tplc="AF027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57A9"/>
    <w:multiLevelType w:val="multilevel"/>
    <w:tmpl w:val="72FE075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12433E85"/>
    <w:multiLevelType w:val="hybridMultilevel"/>
    <w:tmpl w:val="28A00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E6C49"/>
    <w:multiLevelType w:val="hybridMultilevel"/>
    <w:tmpl w:val="F5824664"/>
    <w:lvl w:ilvl="0" w:tplc="56CC258E">
      <w:start w:val="1"/>
      <w:numFmt w:val="bullet"/>
      <w:pStyle w:val="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5BEC"/>
    <w:multiLevelType w:val="hybridMultilevel"/>
    <w:tmpl w:val="AEB4C990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0F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CB72D6"/>
    <w:multiLevelType w:val="hybridMultilevel"/>
    <w:tmpl w:val="3ECEF9DC"/>
    <w:lvl w:ilvl="0" w:tplc="0415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2094160A"/>
    <w:multiLevelType w:val="multilevel"/>
    <w:tmpl w:val="481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9E680E"/>
    <w:multiLevelType w:val="hybridMultilevel"/>
    <w:tmpl w:val="D9DAFA3A"/>
    <w:lvl w:ilvl="0" w:tplc="BED46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9589C"/>
    <w:multiLevelType w:val="multilevel"/>
    <w:tmpl w:val="EF4AB0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666654"/>
    <w:multiLevelType w:val="multilevel"/>
    <w:tmpl w:val="FC6E8C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5" w15:restartNumberingAfterBreak="0">
    <w:nsid w:val="37DC421F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eastAsiaTheme="majorEastAsia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ajorEastAsia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ajorEastAsia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ajorEastAsia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  <w:b/>
      </w:rPr>
    </w:lvl>
  </w:abstractNum>
  <w:abstractNum w:abstractNumId="16" w15:restartNumberingAfterBreak="0">
    <w:nsid w:val="4BD8667F"/>
    <w:multiLevelType w:val="multilevel"/>
    <w:tmpl w:val="CB2865E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4405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-2538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86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3" w:hanging="1584"/>
      </w:pPr>
      <w:rPr>
        <w:rFonts w:hint="default"/>
      </w:rPr>
    </w:lvl>
  </w:abstractNum>
  <w:abstractNum w:abstractNumId="17" w15:restartNumberingAfterBreak="0">
    <w:nsid w:val="52B41525"/>
    <w:multiLevelType w:val="hybridMultilevel"/>
    <w:tmpl w:val="0A4C61BE"/>
    <w:lvl w:ilvl="0" w:tplc="1ACA20B8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274A7"/>
    <w:multiLevelType w:val="multilevel"/>
    <w:tmpl w:val="2408B1C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5917AC"/>
    <w:multiLevelType w:val="hybridMultilevel"/>
    <w:tmpl w:val="1DCA14F8"/>
    <w:lvl w:ilvl="0" w:tplc="AF027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3D09"/>
    <w:multiLevelType w:val="hybridMultilevel"/>
    <w:tmpl w:val="7FFA0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47A59"/>
    <w:multiLevelType w:val="hybridMultilevel"/>
    <w:tmpl w:val="DB200EC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681D6E73"/>
    <w:multiLevelType w:val="multilevel"/>
    <w:tmpl w:val="22A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051713"/>
    <w:multiLevelType w:val="multilevel"/>
    <w:tmpl w:val="DB9467E8"/>
    <w:lvl w:ilvl="0">
      <w:start w:val="1"/>
      <w:numFmt w:val="decimal"/>
      <w:pStyle w:val="Heading61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71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81"/>
      <w:suff w:val="space"/>
      <w:lvlText w:val="%1.%2.%3"/>
      <w:lvlJc w:val="left"/>
      <w:pPr>
        <w:ind w:left="1080" w:hanging="360"/>
      </w:pPr>
      <w:rPr>
        <w:rFonts w:hint="default"/>
        <w:sz w:val="26"/>
        <w:szCs w:val="26"/>
      </w:rPr>
    </w:lvl>
    <w:lvl w:ilvl="3">
      <w:start w:val="1"/>
      <w:numFmt w:val="decimal"/>
      <w:pStyle w:val="Heading91"/>
      <w:suff w:val="space"/>
      <w:lvlText w:val="%1.%2.%3.%4"/>
      <w:lvlJc w:val="left"/>
      <w:pPr>
        <w:ind w:left="1440" w:hanging="360"/>
      </w:pPr>
      <w:rPr>
        <w:rFonts w:hint="default"/>
        <w:sz w:val="24"/>
        <w:szCs w:val="24"/>
      </w:rPr>
    </w:lvl>
    <w:lvl w:ilvl="4">
      <w:start w:val="1"/>
      <w:numFmt w:val="decimal"/>
      <w:pStyle w:val="Heading51"/>
      <w:suff w:val="space"/>
      <w:lvlText w:val="%1.%2.%3.%4.%5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decimal"/>
      <w:pStyle w:val="Heading61"/>
      <w:suff w:val="space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1"/>
      <w:suff w:val="space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1"/>
      <w:suff w:val="spac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1"/>
      <w:suff w:val="spac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4507E0"/>
    <w:multiLevelType w:val="multilevel"/>
    <w:tmpl w:val="33D4A3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54F1701"/>
    <w:multiLevelType w:val="hybridMultilevel"/>
    <w:tmpl w:val="709A3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C0146"/>
    <w:multiLevelType w:val="hybridMultilevel"/>
    <w:tmpl w:val="3C26D344"/>
    <w:lvl w:ilvl="0" w:tplc="53E04C88">
      <w:start w:val="1"/>
      <w:numFmt w:val="bullet"/>
      <w:pStyle w:val="Punktowaniepoziom2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1" w:tplc="7864F844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7" w15:restartNumberingAfterBreak="0">
    <w:nsid w:val="79800471"/>
    <w:multiLevelType w:val="hybridMultilevel"/>
    <w:tmpl w:val="3328E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C5E6F"/>
    <w:multiLevelType w:val="multilevel"/>
    <w:tmpl w:val="10CCA576"/>
    <w:lvl w:ilvl="0">
      <w:start w:val="1"/>
      <w:numFmt w:val="decimal"/>
      <w:lvlText w:val="%1"/>
      <w:lvlJc w:val="left"/>
      <w:pPr>
        <w:ind w:left="5961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34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9653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991" w:hanging="8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639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8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72" w:hanging="1584"/>
      </w:pPr>
      <w:rPr>
        <w:rFonts w:hint="default"/>
      </w:rPr>
    </w:lvl>
  </w:abstractNum>
  <w:abstractNum w:abstractNumId="29" w15:restartNumberingAfterBreak="0">
    <w:nsid w:val="7DB323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26"/>
  </w:num>
  <w:num w:numId="5">
    <w:abstractNumId w:val="6"/>
  </w:num>
  <w:num w:numId="6">
    <w:abstractNumId w:val="8"/>
  </w:num>
  <w:num w:numId="7">
    <w:abstractNumId w:val="28"/>
  </w:num>
  <w:num w:numId="8">
    <w:abstractNumId w:val="13"/>
  </w:num>
  <w:num w:numId="9">
    <w:abstractNumId w:val="16"/>
  </w:num>
  <w:num w:numId="10">
    <w:abstractNumId w:val="18"/>
  </w:num>
  <w:num w:numId="11">
    <w:abstractNumId w:val="9"/>
  </w:num>
  <w:num w:numId="12">
    <w:abstractNumId w:val="27"/>
  </w:num>
  <w:num w:numId="13">
    <w:abstractNumId w:val="21"/>
  </w:num>
  <w:num w:numId="14">
    <w:abstractNumId w:val="19"/>
  </w:num>
  <w:num w:numId="15">
    <w:abstractNumId w:val="15"/>
  </w:num>
  <w:num w:numId="16">
    <w:abstractNumId w:val="5"/>
  </w:num>
  <w:num w:numId="17">
    <w:abstractNumId w:val="22"/>
  </w:num>
  <w:num w:numId="18">
    <w:abstractNumId w:val="10"/>
  </w:num>
  <w:num w:numId="19">
    <w:abstractNumId w:val="11"/>
  </w:num>
  <w:num w:numId="20">
    <w:abstractNumId w:val="3"/>
  </w:num>
  <w:num w:numId="21">
    <w:abstractNumId w:val="2"/>
  </w:num>
  <w:num w:numId="22">
    <w:abstractNumId w:val="12"/>
  </w:num>
  <w:num w:numId="23">
    <w:abstractNumId w:val="24"/>
  </w:num>
  <w:num w:numId="24">
    <w:abstractNumId w:val="4"/>
  </w:num>
  <w:num w:numId="25">
    <w:abstractNumId w:val="14"/>
  </w:num>
  <w:num w:numId="26">
    <w:abstractNumId w:val="7"/>
  </w:num>
  <w:num w:numId="27">
    <w:abstractNumId w:val="25"/>
  </w:num>
  <w:num w:numId="28">
    <w:abstractNumId w:val="29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C6"/>
    <w:rsid w:val="000D7CAB"/>
    <w:rsid w:val="001C5AE5"/>
    <w:rsid w:val="00234EB7"/>
    <w:rsid w:val="00235A08"/>
    <w:rsid w:val="0026242F"/>
    <w:rsid w:val="003048CF"/>
    <w:rsid w:val="004831A3"/>
    <w:rsid w:val="004C3079"/>
    <w:rsid w:val="005365DB"/>
    <w:rsid w:val="005E39EF"/>
    <w:rsid w:val="00642E4F"/>
    <w:rsid w:val="00692DB6"/>
    <w:rsid w:val="00735E0C"/>
    <w:rsid w:val="0093599C"/>
    <w:rsid w:val="00992225"/>
    <w:rsid w:val="00A135C6"/>
    <w:rsid w:val="00A92E36"/>
    <w:rsid w:val="00D9772C"/>
    <w:rsid w:val="00DA5192"/>
    <w:rsid w:val="00E317D2"/>
    <w:rsid w:val="00E77419"/>
    <w:rsid w:val="00F12376"/>
    <w:rsid w:val="00F2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58B9"/>
  <w15:chartTrackingRefBased/>
  <w15:docId w15:val="{B4808D9A-D266-461C-B290-50A41933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9C6"/>
    <w:pPr>
      <w:spacing w:after="200" w:line="276" w:lineRule="auto"/>
    </w:pPr>
    <w:rPr>
      <w:rFonts w:ascii="Verdana" w:eastAsiaTheme="minorEastAsia" w:hAnsi="Verdana"/>
      <w:sz w:val="20"/>
      <w:lang w:val="en-US" w:eastAsia="en-IN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,l1"/>
    <w:basedOn w:val="Normalny"/>
    <w:next w:val="Normalny"/>
    <w:link w:val="Nagwek1Znak"/>
    <w:uiPriority w:val="9"/>
    <w:qFormat/>
    <w:rsid w:val="00F219C6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color w:val="2F5496" w:themeColor="accent1" w:themeShade="BF"/>
      <w:sz w:val="26"/>
      <w:szCs w:val="28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,2 Heading 2,Heading 2 Hidden"/>
    <w:basedOn w:val="Default"/>
    <w:next w:val="Normalny"/>
    <w:link w:val="Nagwek2Znak"/>
    <w:unhideWhenUsed/>
    <w:qFormat/>
    <w:rsid w:val="00F219C6"/>
    <w:pPr>
      <w:keepLines/>
      <w:overflowPunct w:val="0"/>
      <w:spacing w:before="120" w:after="120" w:line="260" w:lineRule="atLeast"/>
      <w:jc w:val="both"/>
      <w:textAlignment w:val="baseline"/>
      <w:outlineLvl w:val="1"/>
    </w:pPr>
    <w:rPr>
      <w:rFonts w:ascii="Verdana" w:hAnsi="Verdana" w:cs="Arial"/>
      <w:b/>
      <w:caps/>
      <w:color w:val="2F5496" w:themeColor="accent1" w:themeShade="BF"/>
      <w:szCs w:val="20"/>
      <w:lang w:val="en-GB" w:eastAsia="en-US"/>
    </w:rPr>
  </w:style>
  <w:style w:type="paragraph" w:styleId="Nagwek3">
    <w:name w:val="heading 3"/>
    <w:aliases w:val="Arial 12 Fett,H3,numer strony + Tahoma pogrubione"/>
    <w:basedOn w:val="Normalny"/>
    <w:next w:val="Normalny"/>
    <w:link w:val="Nagwek3Znak"/>
    <w:unhideWhenUsed/>
    <w:qFormat/>
    <w:rsid w:val="00F219C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2F5496" w:themeColor="accent1" w:themeShade="BF"/>
      <w:sz w:val="22"/>
      <w:lang w:val="en-GB" w:eastAsia="fr-FR"/>
    </w:rPr>
  </w:style>
  <w:style w:type="paragraph" w:styleId="Nagwek4">
    <w:name w:val="heading 4"/>
    <w:aliases w:val="H4"/>
    <w:basedOn w:val="Normalny"/>
    <w:next w:val="Normalny"/>
    <w:link w:val="Nagwek4Znak"/>
    <w:uiPriority w:val="99"/>
    <w:unhideWhenUsed/>
    <w:qFormat/>
    <w:rsid w:val="00F219C6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2F5496" w:themeColor="accent1" w:themeShade="BF"/>
      <w:szCs w:val="20"/>
      <w:lang w:val="en-GB" w:eastAsia="fr-FR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F219C6"/>
    <w:pPr>
      <w:keepNext/>
      <w:keepLines/>
      <w:spacing w:before="200" w:after="0"/>
      <w:outlineLvl w:val="4"/>
    </w:pPr>
    <w:rPr>
      <w:rFonts w:eastAsiaTheme="majorEastAsia" w:cstheme="majorBidi"/>
      <w:b/>
      <w:color w:val="365F91"/>
      <w:lang w:val="en-GB" w:eastAsia="fr-FR"/>
    </w:rPr>
  </w:style>
  <w:style w:type="paragraph" w:styleId="Nagwek6">
    <w:name w:val="heading 6"/>
    <w:aliases w:val="H6"/>
    <w:basedOn w:val="Normalny"/>
    <w:next w:val="Normalny"/>
    <w:link w:val="Nagwek6Znak"/>
    <w:uiPriority w:val="9"/>
    <w:unhideWhenUsed/>
    <w:qFormat/>
    <w:rsid w:val="00F219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219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F219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F219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,l1 Znak"/>
    <w:basedOn w:val="Domylnaczcionkaakapitu"/>
    <w:link w:val="Nagwek1"/>
    <w:uiPriority w:val="9"/>
    <w:rsid w:val="00F219C6"/>
    <w:rPr>
      <w:rFonts w:ascii="Verdana" w:eastAsiaTheme="majorEastAsia" w:hAnsi="Verdana" w:cstheme="majorBidi"/>
      <w:b/>
      <w:bCs/>
      <w:caps/>
      <w:color w:val="2F5496" w:themeColor="accent1" w:themeShade="BF"/>
      <w:sz w:val="26"/>
      <w:szCs w:val="28"/>
      <w:lang w:val="en-US" w:eastAsia="en-IN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basedOn w:val="Domylnaczcionkaakapitu"/>
    <w:link w:val="Nagwek2"/>
    <w:rsid w:val="00F219C6"/>
    <w:rPr>
      <w:rFonts w:ascii="Verdana" w:eastAsia="Times New Roman" w:hAnsi="Verdana" w:cs="Arial"/>
      <w:b/>
      <w:caps/>
      <w:color w:val="2F5496" w:themeColor="accent1" w:themeShade="BF"/>
      <w:sz w:val="24"/>
      <w:szCs w:val="20"/>
      <w:lang w:val="en-GB"/>
    </w:rPr>
  </w:style>
  <w:style w:type="character" w:customStyle="1" w:styleId="Nagwek3Znak">
    <w:name w:val="Nagłówek 3 Znak"/>
    <w:aliases w:val="Arial 12 Fett Znak,H3 Znak,numer strony + Tahoma pogrubione Znak"/>
    <w:basedOn w:val="Domylnaczcionkaakapitu"/>
    <w:link w:val="Nagwek3"/>
    <w:rsid w:val="00F219C6"/>
    <w:rPr>
      <w:rFonts w:ascii="Verdana" w:eastAsiaTheme="majorEastAsia" w:hAnsi="Verdana" w:cstheme="majorBidi"/>
      <w:b/>
      <w:bCs/>
      <w:color w:val="2F5496" w:themeColor="accent1" w:themeShade="BF"/>
      <w:lang w:val="en-GB" w:eastAsia="fr-FR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rsid w:val="00F219C6"/>
    <w:rPr>
      <w:rFonts w:ascii="Verdana" w:eastAsiaTheme="majorEastAsia" w:hAnsi="Verdana" w:cstheme="majorBidi"/>
      <w:b/>
      <w:bCs/>
      <w:iCs/>
      <w:color w:val="2F5496" w:themeColor="accent1" w:themeShade="BF"/>
      <w:sz w:val="20"/>
      <w:szCs w:val="20"/>
      <w:lang w:val="en-GB" w:eastAsia="fr-FR"/>
    </w:rPr>
  </w:style>
  <w:style w:type="character" w:customStyle="1" w:styleId="Nagwek5Znak">
    <w:name w:val="Nagłówek 5 Znak"/>
    <w:basedOn w:val="Domylnaczcionkaakapitu"/>
    <w:link w:val="Nagwek5"/>
    <w:uiPriority w:val="99"/>
    <w:rsid w:val="00F219C6"/>
    <w:rPr>
      <w:rFonts w:ascii="Verdana" w:eastAsiaTheme="majorEastAsia" w:hAnsi="Verdana" w:cstheme="majorBidi"/>
      <w:b/>
      <w:color w:val="365F91"/>
      <w:sz w:val="20"/>
      <w:lang w:val="en-GB" w:eastAsia="fr-FR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"/>
    <w:rsid w:val="00F219C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US" w:eastAsia="en-IN"/>
    </w:rPr>
  </w:style>
  <w:style w:type="character" w:customStyle="1" w:styleId="Nagwek7Znak">
    <w:name w:val="Nagłówek 7 Znak"/>
    <w:basedOn w:val="Domylnaczcionkaakapitu"/>
    <w:link w:val="Nagwek7"/>
    <w:uiPriority w:val="9"/>
    <w:rsid w:val="00F219C6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en-IN"/>
    </w:rPr>
  </w:style>
  <w:style w:type="character" w:customStyle="1" w:styleId="Nagwek8Znak">
    <w:name w:val="Nagłówek 8 Znak"/>
    <w:basedOn w:val="Domylnaczcionkaakapitu"/>
    <w:link w:val="Nagwek8"/>
    <w:rsid w:val="00F219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IN"/>
    </w:rPr>
  </w:style>
  <w:style w:type="character" w:customStyle="1" w:styleId="Nagwek9Znak">
    <w:name w:val="Nagłówek 9 Znak"/>
    <w:basedOn w:val="Domylnaczcionkaakapitu"/>
    <w:link w:val="Nagwek9"/>
    <w:rsid w:val="00F219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IN"/>
    </w:rPr>
  </w:style>
  <w:style w:type="paragraph" w:customStyle="1" w:styleId="Default">
    <w:name w:val="Default"/>
    <w:rsid w:val="00F219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9C6"/>
    <w:rPr>
      <w:rFonts w:ascii="Tahoma" w:eastAsiaTheme="minorEastAsia" w:hAnsi="Tahoma" w:cs="Tahoma"/>
      <w:sz w:val="16"/>
      <w:szCs w:val="16"/>
      <w:lang w:val="en-US" w:eastAsia="en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F219C6"/>
    <w:rPr>
      <w:rFonts w:ascii="Segoe UI" w:eastAsiaTheme="minorEastAsia" w:hAnsi="Segoe UI" w:cs="Segoe UI"/>
      <w:sz w:val="18"/>
      <w:szCs w:val="18"/>
      <w:lang w:val="en-US" w:eastAsia="en-IN"/>
    </w:rPr>
  </w:style>
  <w:style w:type="table" w:styleId="Tabela-Siatka">
    <w:name w:val="Table Grid"/>
    <w:aliases w:val="Tabla Microsoft Servicios"/>
    <w:basedOn w:val="Standardowy"/>
    <w:uiPriority w:val="39"/>
    <w:qFormat/>
    <w:rsid w:val="00F219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F219C6"/>
    <w:pPr>
      <w:tabs>
        <w:tab w:val="left" w:pos="851"/>
        <w:tab w:val="right" w:leader="dot" w:pos="9040"/>
      </w:tabs>
      <w:spacing w:after="100"/>
    </w:pPr>
    <w:rPr>
      <w:noProof/>
      <w:color w:val="000000" w:themeColor="tex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9C6"/>
    <w:pPr>
      <w:numPr>
        <w:ilvl w:val="1"/>
      </w:numPr>
    </w:pPr>
    <w:rPr>
      <w:rFonts w:eastAsiaTheme="majorEastAsia" w:cstheme="majorBidi"/>
      <w:b/>
      <w:iCs/>
      <w:color w:val="2F5496" w:themeColor="accent1" w:themeShade="BF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219C6"/>
    <w:rPr>
      <w:rFonts w:ascii="Verdana" w:eastAsiaTheme="majorEastAsia" w:hAnsi="Verdana" w:cstheme="majorBidi"/>
      <w:b/>
      <w:iCs/>
      <w:color w:val="2F5496" w:themeColor="accent1" w:themeShade="BF"/>
      <w:spacing w:val="15"/>
      <w:sz w:val="20"/>
      <w:szCs w:val="24"/>
      <w:lang w:val="en-US" w:eastAsia="en-IN"/>
    </w:rPr>
  </w:style>
  <w:style w:type="paragraph" w:styleId="Legenda">
    <w:name w:val="caption"/>
    <w:basedOn w:val="Normalny"/>
    <w:next w:val="Normalny"/>
    <w:uiPriority w:val="35"/>
    <w:unhideWhenUsed/>
    <w:qFormat/>
    <w:rsid w:val="00F219C6"/>
    <w:pPr>
      <w:spacing w:line="240" w:lineRule="auto"/>
    </w:pPr>
    <w:rPr>
      <w:b/>
      <w:bCs/>
      <w:color w:val="4472C4" w:themeColor="accent1"/>
      <w:szCs w:val="18"/>
    </w:rPr>
  </w:style>
  <w:style w:type="paragraph" w:styleId="Spistreci2">
    <w:name w:val="toc 2"/>
    <w:basedOn w:val="Spistreci1"/>
    <w:next w:val="Normalny"/>
    <w:autoRedefine/>
    <w:uiPriority w:val="39"/>
    <w:unhideWhenUsed/>
    <w:rsid w:val="00F219C6"/>
  </w:style>
  <w:style w:type="paragraph" w:styleId="Spistreci3">
    <w:name w:val="toc 3"/>
    <w:basedOn w:val="Spistreci1"/>
    <w:next w:val="Normalny"/>
    <w:autoRedefine/>
    <w:uiPriority w:val="39"/>
    <w:unhideWhenUsed/>
    <w:rsid w:val="00F219C6"/>
  </w:style>
  <w:style w:type="paragraph" w:styleId="Nagwek">
    <w:name w:val="header"/>
    <w:basedOn w:val="Normalny"/>
    <w:link w:val="NagwekZnak"/>
    <w:uiPriority w:val="99"/>
    <w:unhideWhenUsed/>
    <w:rsid w:val="00F21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9C6"/>
    <w:rPr>
      <w:rFonts w:ascii="Verdana" w:eastAsiaTheme="minorEastAsia" w:hAnsi="Verdana"/>
      <w:sz w:val="20"/>
      <w:lang w:val="en-US" w:eastAsia="en-IN"/>
    </w:rPr>
  </w:style>
  <w:style w:type="paragraph" w:styleId="Stopka">
    <w:name w:val="footer"/>
    <w:basedOn w:val="Normalny"/>
    <w:link w:val="StopkaZnak"/>
    <w:uiPriority w:val="99"/>
    <w:unhideWhenUsed/>
    <w:qFormat/>
    <w:rsid w:val="00F21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9C6"/>
    <w:rPr>
      <w:rFonts w:ascii="Verdana" w:eastAsiaTheme="minorEastAsia" w:hAnsi="Verdana"/>
      <w:sz w:val="20"/>
      <w:lang w:val="en-US" w:eastAsia="en-IN"/>
    </w:rPr>
  </w:style>
  <w:style w:type="paragraph" w:styleId="Akapitzlist">
    <w:name w:val="List Paragraph"/>
    <w:aliases w:val="Numerowanie,Akapit z listą BS,Kolorowa lista — akcent 11,Bullet Number,List Paragraph1,lp1,List Paragraph2,ISCG Numerowanie,lp11,List Paragraph11,Bullet 1,Use Case List Paragraph,Body MS Bullet,T_SZ_List Paragraph,L1,Akapit z listą5"/>
    <w:basedOn w:val="Normalny"/>
    <w:link w:val="AkapitzlistZnak"/>
    <w:uiPriority w:val="99"/>
    <w:qFormat/>
    <w:rsid w:val="00F219C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Bullet Number Znak,List Paragraph1 Znak,lp1 Znak,List Paragraph2 Znak,ISCG Numerowanie Znak,lp11 Znak,List Paragraph11 Znak,Bullet 1 Znak,Body MS Bullet Znak"/>
    <w:link w:val="Akapitzlist"/>
    <w:uiPriority w:val="99"/>
    <w:qFormat/>
    <w:rsid w:val="00F219C6"/>
    <w:rPr>
      <w:rFonts w:ascii="Verdana" w:eastAsiaTheme="minorEastAsia" w:hAnsi="Verdana"/>
      <w:sz w:val="20"/>
      <w:lang w:val="en-US" w:eastAsia="en-IN"/>
    </w:rPr>
  </w:style>
  <w:style w:type="character" w:styleId="Hipercze">
    <w:name w:val="Hyperlink"/>
    <w:uiPriority w:val="99"/>
    <w:unhideWhenUsed/>
    <w:rsid w:val="00F219C6"/>
    <w:rPr>
      <w:color w:val="0000FF"/>
      <w:u w:val="single"/>
    </w:rPr>
  </w:style>
  <w:style w:type="paragraph" w:customStyle="1" w:styleId="Tabela-tekstwkomrce">
    <w:name w:val="Tabela - tekst w komórce"/>
    <w:basedOn w:val="Normalny"/>
    <w:rsid w:val="00F219C6"/>
    <w:pPr>
      <w:spacing w:before="20" w:after="20" w:line="240" w:lineRule="auto"/>
    </w:pPr>
    <w:rPr>
      <w:rFonts w:ascii="Arial" w:eastAsia="Times New Roman" w:hAnsi="Arial" w:cs="Times New Roman"/>
      <w:szCs w:val="20"/>
      <w:lang w:val="de-DE" w:eastAsia="pl-PL"/>
    </w:rPr>
  </w:style>
  <w:style w:type="paragraph" w:customStyle="1" w:styleId="tekstukryty">
    <w:name w:val="tekst ukryty"/>
    <w:basedOn w:val="Nagwek4"/>
    <w:rsid w:val="00F219C6"/>
    <w:pPr>
      <w:keepNext w:val="0"/>
      <w:keepLines w:val="0"/>
      <w:tabs>
        <w:tab w:val="num" w:pos="0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i/>
      <w:iCs w:val="0"/>
      <w:vanish/>
      <w:color w:val="0000FF"/>
      <w:szCs w:val="24"/>
      <w:lang w:val="pl-PL" w:eastAsia="pl-PL"/>
    </w:rPr>
  </w:style>
  <w:style w:type="paragraph" w:customStyle="1" w:styleId="Tabela-nagwek">
    <w:name w:val="Tabela - nagłówek"/>
    <w:basedOn w:val="Normalny"/>
    <w:rsid w:val="00F219C6"/>
    <w:pPr>
      <w:spacing w:before="60" w:after="60" w:line="240" w:lineRule="auto"/>
      <w:jc w:val="center"/>
    </w:pPr>
    <w:rPr>
      <w:rFonts w:ascii="Arial" w:eastAsia="Times New Roman" w:hAnsi="Arial" w:cs="Times New Roman"/>
      <w:b/>
      <w:bCs/>
      <w:color w:val="000000"/>
      <w:szCs w:val="20"/>
      <w:lang w:val="pl-PL" w:eastAsia="pl-PL"/>
    </w:rPr>
  </w:style>
  <w:style w:type="paragraph" w:customStyle="1" w:styleId="TekstWTabeli">
    <w:name w:val="TekstWTabeli"/>
    <w:basedOn w:val="Normalny"/>
    <w:rsid w:val="00F219C6"/>
    <w:pPr>
      <w:spacing w:after="0" w:line="24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customStyle="1" w:styleId="TekstNaglowkaWTabeli">
    <w:name w:val="TekstNaglowkaWTabeli"/>
    <w:basedOn w:val="Normalny"/>
    <w:autoRedefine/>
    <w:rsid w:val="00F219C6"/>
    <w:pPr>
      <w:spacing w:after="0" w:line="240" w:lineRule="auto"/>
    </w:pPr>
    <w:rPr>
      <w:rFonts w:eastAsia="Times New Roman" w:cs="Tahoma"/>
      <w:bCs/>
      <w:color w:val="000000"/>
      <w:szCs w:val="18"/>
      <w:lang w:val="pl-PL" w:eastAsia="pl-PL"/>
    </w:rPr>
  </w:style>
  <w:style w:type="paragraph" w:customStyle="1" w:styleId="Tekstpodstawowybodytext">
    <w:name w:val="Tekst podstawowy.body text"/>
    <w:basedOn w:val="Normalny"/>
    <w:rsid w:val="00F219C6"/>
    <w:pPr>
      <w:spacing w:before="120" w:after="120" w:line="240" w:lineRule="auto"/>
      <w:ind w:left="2520"/>
    </w:pPr>
    <w:rPr>
      <w:rFonts w:ascii="Book Antiqua" w:eastAsia="Times New Roman" w:hAnsi="Book Antiqua" w:cs="Times New Roman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39"/>
    <w:qFormat/>
    <w:rsid w:val="00F219C6"/>
    <w:pPr>
      <w:tabs>
        <w:tab w:val="left" w:pos="0"/>
      </w:tabs>
      <w:outlineLvl w:val="9"/>
    </w:pPr>
    <w:rPr>
      <w:rFonts w:ascii="Calibri" w:eastAsia="Calibri" w:hAnsi="Calibri" w:cs="Times New Roman"/>
      <w:caps w:val="0"/>
      <w:color w:val="2F5496"/>
      <w:sz w:val="48"/>
      <w:lang w:val="pl-PL" w:eastAsia="en-US"/>
    </w:rPr>
  </w:style>
  <w:style w:type="character" w:customStyle="1" w:styleId="Wyrnienieintensywne1">
    <w:name w:val="Wyróżnienie intensywne1"/>
    <w:uiPriority w:val="21"/>
    <w:qFormat/>
    <w:rsid w:val="00F219C6"/>
    <w:rPr>
      <w:b/>
      <w:bCs/>
      <w:i/>
      <w:iCs/>
      <w:color w:val="4F81BD"/>
    </w:rPr>
  </w:style>
  <w:style w:type="paragraph" w:customStyle="1" w:styleId="tabelanormalny">
    <w:name w:val="tabela_normalny"/>
    <w:basedOn w:val="Normalny"/>
    <w:autoRedefine/>
    <w:uiPriority w:val="99"/>
    <w:qFormat/>
    <w:rsid w:val="00F219C6"/>
    <w:pPr>
      <w:spacing w:before="60" w:after="60" w:line="240" w:lineRule="auto"/>
    </w:pPr>
    <w:rPr>
      <w:rFonts w:asciiTheme="minorHAnsi" w:eastAsia="Times New Roman" w:hAnsiTheme="minorHAnsi" w:cs="Tahoma"/>
      <w:b/>
      <w:bCs/>
      <w:szCs w:val="18"/>
      <w:lang w:val="pl-PL" w:eastAsia="pl-PL"/>
    </w:rPr>
  </w:style>
  <w:style w:type="paragraph" w:customStyle="1" w:styleId="TekstOpisuZnak">
    <w:name w:val="TekstOpisu Znak"/>
    <w:basedOn w:val="Normalny"/>
    <w:rsid w:val="00F219C6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sz w:val="22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9C6"/>
    <w:rPr>
      <w:rFonts w:ascii="Verdana" w:eastAsiaTheme="minorEastAsia" w:hAnsi="Verdana"/>
      <w:sz w:val="20"/>
      <w:szCs w:val="20"/>
      <w:lang w:val="en-US" w:eastAsia="en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9C6"/>
    <w:pPr>
      <w:spacing w:after="0" w:line="240" w:lineRule="auto"/>
    </w:pPr>
    <w:rPr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219C6"/>
    <w:rPr>
      <w:rFonts w:ascii="Verdana" w:eastAsiaTheme="minorEastAsia" w:hAnsi="Verdana"/>
      <w:sz w:val="20"/>
      <w:szCs w:val="20"/>
      <w:lang w:val="en-US" w:eastAsia="en-IN"/>
    </w:rPr>
  </w:style>
  <w:style w:type="paragraph" w:customStyle="1" w:styleId="Punktowaniepoz1">
    <w:name w:val="Punktowanie_poz_1"/>
    <w:basedOn w:val="Normalny"/>
    <w:autoRedefine/>
    <w:qFormat/>
    <w:rsid w:val="00F219C6"/>
    <w:pPr>
      <w:suppressAutoHyphens/>
      <w:spacing w:before="120" w:after="120"/>
      <w:ind w:hanging="5"/>
      <w:jc w:val="both"/>
    </w:pPr>
    <w:rPr>
      <w:rFonts w:ascii="Calibri" w:eastAsia="Calibri" w:hAnsi="Calibri" w:cs="Times New Roman"/>
      <w:sz w:val="22"/>
      <w:lang w:val="pl-PL" w:eastAsia="pl-PL"/>
    </w:rPr>
  </w:style>
  <w:style w:type="paragraph" w:customStyle="1" w:styleId="TekstPodst">
    <w:name w:val="TekstPodst"/>
    <w:basedOn w:val="Normalny"/>
    <w:link w:val="TekstPodstZnak1"/>
    <w:uiPriority w:val="99"/>
    <w:rsid w:val="00F219C6"/>
    <w:pPr>
      <w:spacing w:before="120" w:after="60" w:line="240" w:lineRule="auto"/>
      <w:jc w:val="both"/>
    </w:pPr>
    <w:rPr>
      <w:rFonts w:ascii="Times New Roman" w:eastAsia="Calibri" w:hAnsi="Times New Roman" w:cs="Times New Roman"/>
      <w:szCs w:val="20"/>
      <w:lang w:val="pl-PL" w:eastAsia="pl-PL"/>
    </w:rPr>
  </w:style>
  <w:style w:type="character" w:customStyle="1" w:styleId="TekstPodstZnak1">
    <w:name w:val="TekstPodst Znak1"/>
    <w:link w:val="TekstPodst"/>
    <w:uiPriority w:val="99"/>
    <w:locked/>
    <w:rsid w:val="00F219C6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aliases w:val="body text"/>
    <w:basedOn w:val="Normalny"/>
    <w:link w:val="TekstpodstawowyZnak"/>
    <w:uiPriority w:val="99"/>
    <w:rsid w:val="00F219C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pl-PL" w:eastAsia="pl-PL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99"/>
    <w:rsid w:val="00F219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aliases w:val="cr,Used by Word to flag author queries"/>
    <w:basedOn w:val="Domylnaczcionkaakapitu"/>
    <w:uiPriority w:val="99"/>
    <w:unhideWhenUsed/>
    <w:rsid w:val="00F21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19C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19C6"/>
    <w:rPr>
      <w:rFonts w:ascii="Verdana" w:eastAsiaTheme="minorEastAsia" w:hAnsi="Verdana"/>
      <w:sz w:val="20"/>
      <w:szCs w:val="20"/>
      <w:lang w:val="en-US" w:eastAsia="en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9C6"/>
    <w:rPr>
      <w:rFonts w:ascii="Verdana" w:eastAsiaTheme="minorEastAsia" w:hAnsi="Verdana"/>
      <w:b/>
      <w:bCs/>
      <w:sz w:val="20"/>
      <w:szCs w:val="20"/>
      <w:lang w:val="en-US" w:eastAsia="en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9C6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F219C6"/>
    <w:rPr>
      <w:rFonts w:ascii="Verdana" w:eastAsiaTheme="minorEastAsia" w:hAnsi="Verdana"/>
      <w:b/>
      <w:bCs/>
      <w:sz w:val="20"/>
      <w:szCs w:val="20"/>
      <w:lang w:val="en-US" w:eastAsia="en-IN"/>
    </w:rPr>
  </w:style>
  <w:style w:type="paragraph" w:customStyle="1" w:styleId="Paragraph1">
    <w:name w:val="Paragraph1"/>
    <w:basedOn w:val="Normalny"/>
    <w:rsid w:val="00F219C6"/>
    <w:pPr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</w:pPr>
    <w:rPr>
      <w:rFonts w:ascii="Times New Roman" w:eastAsia="Times New Roman" w:hAnsi="Times New Roman" w:cs="Arial"/>
      <w:szCs w:val="20"/>
      <w:lang w:val="pl-PL" w:eastAsia="pl-PL"/>
    </w:rPr>
  </w:style>
  <w:style w:type="paragraph" w:customStyle="1" w:styleId="TekstOpisuWTabeliMaly">
    <w:name w:val="TekstOpisuWTabeli_Maly"/>
    <w:basedOn w:val="Normalny"/>
    <w:autoRedefine/>
    <w:rsid w:val="00F219C6"/>
    <w:pPr>
      <w:spacing w:before="60" w:after="60" w:line="240" w:lineRule="auto"/>
      <w:jc w:val="both"/>
    </w:pPr>
    <w:rPr>
      <w:rFonts w:ascii="Times New Roman" w:eastAsia="Times New Roman" w:hAnsi="Times New Roman" w:cs="Arial"/>
      <w:szCs w:val="20"/>
      <w:lang w:val="pl-PL" w:eastAsia="pl-PL"/>
    </w:rPr>
  </w:style>
  <w:style w:type="paragraph" w:customStyle="1" w:styleId="Uwaga">
    <w:name w:val="Uwaga"/>
    <w:basedOn w:val="Normalny"/>
    <w:autoRedefine/>
    <w:rsid w:val="00F219C6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szCs w:val="20"/>
      <w:lang w:val="pl-PL" w:eastAsia="pl-PL"/>
    </w:rPr>
  </w:style>
  <w:style w:type="paragraph" w:customStyle="1" w:styleId="MalyNaglowekTabeli">
    <w:name w:val="MalyNaglowekTabeli"/>
    <w:basedOn w:val="Normalny"/>
    <w:autoRedefine/>
    <w:rsid w:val="00F219C6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219C6"/>
    <w:rPr>
      <w:rFonts w:ascii="Verdana" w:eastAsiaTheme="minorEastAsia" w:hAnsi="Verdana"/>
      <w:sz w:val="20"/>
      <w:lang w:val="en-US" w:eastAsia="en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19C6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F219C6"/>
    <w:rPr>
      <w:rFonts w:ascii="Verdana" w:eastAsiaTheme="minorEastAsia" w:hAnsi="Verdana"/>
      <w:sz w:val="20"/>
      <w:lang w:val="en-US" w:eastAsia="en-IN"/>
    </w:rPr>
  </w:style>
  <w:style w:type="paragraph" w:customStyle="1" w:styleId="WyliczMalutki">
    <w:name w:val="Wylicz_Malutki"/>
    <w:basedOn w:val="Normalny"/>
    <w:autoRedefine/>
    <w:rsid w:val="00F219C6"/>
    <w:pPr>
      <w:spacing w:before="60" w:after="60" w:line="240" w:lineRule="auto"/>
      <w:ind w:right="113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NormalnyWeb">
    <w:name w:val="Normal (Web)"/>
    <w:basedOn w:val="Normalny"/>
    <w:uiPriority w:val="99"/>
    <w:unhideWhenUsed/>
    <w:rsid w:val="00F2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Tabela-wyliczenieChar">
    <w:name w:val="Tabela - wyliczenie Char"/>
    <w:basedOn w:val="Normalny"/>
    <w:autoRedefine/>
    <w:rsid w:val="00F219C6"/>
    <w:pPr>
      <w:numPr>
        <w:numId w:val="1"/>
      </w:numPr>
      <w:tabs>
        <w:tab w:val="left" w:pos="284"/>
      </w:tabs>
      <w:spacing w:before="120" w:after="120" w:line="240" w:lineRule="auto"/>
      <w:ind w:left="255" w:hanging="181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TEXT1">
    <w:name w:val="TEXT 1"/>
    <w:basedOn w:val="Normalny"/>
    <w:rsid w:val="00F219C6"/>
    <w:pPr>
      <w:widowControl w:val="0"/>
      <w:adjustRightInd w:val="0"/>
      <w:spacing w:after="0" w:line="360" w:lineRule="atLeast"/>
      <w:ind w:left="1985"/>
      <w:jc w:val="both"/>
      <w:textAlignment w:val="baseline"/>
    </w:pPr>
    <w:rPr>
      <w:rFonts w:ascii="Tahoma" w:eastAsia="Times New Roman" w:hAnsi="Tahoma" w:cs="Times New Roman"/>
      <w:szCs w:val="20"/>
      <w:lang w:val="pl-PL" w:eastAsia="pl-PL"/>
    </w:rPr>
  </w:style>
  <w:style w:type="paragraph" w:styleId="Listanumerowana">
    <w:name w:val="List Number"/>
    <w:basedOn w:val="Normalny"/>
    <w:uiPriority w:val="99"/>
    <w:unhideWhenUsed/>
    <w:rsid w:val="00F219C6"/>
    <w:pPr>
      <w:numPr>
        <w:numId w:val="2"/>
      </w:numPr>
      <w:spacing w:before="120" w:after="120"/>
      <w:contextualSpacing/>
      <w:jc w:val="both"/>
    </w:pPr>
    <w:rPr>
      <w:rFonts w:ascii="Calibri" w:eastAsia="Times New Roman" w:hAnsi="Calibri" w:cs="Times New Roman"/>
      <w:sz w:val="22"/>
      <w:szCs w:val="24"/>
      <w:lang w:val="pl-PL" w:eastAsia="en-US"/>
    </w:rPr>
  </w:style>
  <w:style w:type="paragraph" w:customStyle="1" w:styleId="Tytudokumentu">
    <w:name w:val="Tytuł dokumentu"/>
    <w:basedOn w:val="Podtytu"/>
    <w:qFormat/>
    <w:rsid w:val="00F219C6"/>
    <w:pPr>
      <w:keepNext/>
      <w:keepLines/>
      <w:numPr>
        <w:ilvl w:val="0"/>
      </w:numPr>
      <w:spacing w:before="5880" w:after="360" w:line="264" w:lineRule="auto"/>
      <w:jc w:val="right"/>
    </w:pPr>
    <w:rPr>
      <w:rFonts w:ascii="Calibri" w:eastAsia="Times New Roman" w:hAnsi="Calibri" w:cs="Times New Roman"/>
      <w:iCs w:val="0"/>
      <w:color w:val="auto"/>
      <w:spacing w:val="0"/>
      <w:sz w:val="72"/>
      <w:szCs w:val="20"/>
      <w:lang w:val="pl-PL" w:eastAsia="en-US"/>
    </w:rPr>
  </w:style>
  <w:style w:type="paragraph" w:styleId="Tytu">
    <w:name w:val="Title"/>
    <w:basedOn w:val="Normalny"/>
    <w:next w:val="Normalny"/>
    <w:link w:val="TytuZnak"/>
    <w:autoRedefine/>
    <w:qFormat/>
    <w:rsid w:val="00F219C6"/>
    <w:pPr>
      <w:spacing w:before="5400" w:after="480"/>
      <w:jc w:val="right"/>
      <w:outlineLvl w:val="0"/>
    </w:pPr>
    <w:rPr>
      <w:rFonts w:ascii="Calibri" w:eastAsia="Times New Roman" w:hAnsi="Calibri" w:cs="Times New Roman"/>
      <w:b/>
      <w:bCs/>
      <w:smallCaps/>
      <w:color w:val="244061"/>
      <w:kern w:val="28"/>
      <w:sz w:val="72"/>
      <w:szCs w:val="32"/>
      <w:lang w:val="pl-PL" w:eastAsia="en-US"/>
    </w:rPr>
  </w:style>
  <w:style w:type="character" w:customStyle="1" w:styleId="TytuZnak">
    <w:name w:val="Tytuł Znak"/>
    <w:basedOn w:val="Domylnaczcionkaakapitu"/>
    <w:link w:val="Tytu"/>
    <w:rsid w:val="00F219C6"/>
    <w:rPr>
      <w:rFonts w:ascii="Calibri" w:eastAsia="Times New Roman" w:hAnsi="Calibri" w:cs="Times New Roman"/>
      <w:b/>
      <w:bCs/>
      <w:smallCaps/>
      <w:color w:val="244061"/>
      <w:kern w:val="28"/>
      <w:sz w:val="7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19C6"/>
    <w:pPr>
      <w:spacing w:line="240" w:lineRule="auto"/>
      <w:outlineLvl w:val="9"/>
    </w:pPr>
    <w:rPr>
      <w:rFonts w:ascii="Cambria" w:eastAsia="Times New Roman" w:hAnsi="Cambria" w:cs="Times New Roman"/>
      <w:caps w:val="0"/>
      <w:color w:val="365F91"/>
      <w:sz w:val="28"/>
      <w:lang w:val="pl-PL" w:eastAsia="en-US"/>
    </w:rPr>
  </w:style>
  <w:style w:type="paragraph" w:customStyle="1" w:styleId="TableCaption">
    <w:name w:val="Table Caption"/>
    <w:basedOn w:val="Normalny"/>
    <w:qFormat/>
    <w:rsid w:val="00F219C6"/>
    <w:pPr>
      <w:spacing w:before="120" w:after="120"/>
      <w:jc w:val="center"/>
    </w:pPr>
    <w:rPr>
      <w:rFonts w:ascii="Calibri" w:eastAsia="Times New Roman" w:hAnsi="Calibri" w:cs="Times New Roman"/>
      <w:sz w:val="22"/>
      <w:szCs w:val="20"/>
      <w:lang w:val="pl-PL" w:eastAsia="en-US"/>
    </w:rPr>
  </w:style>
  <w:style w:type="paragraph" w:customStyle="1" w:styleId="ImageCaption">
    <w:name w:val="Image Caption"/>
    <w:basedOn w:val="Normalny"/>
    <w:qFormat/>
    <w:rsid w:val="00F219C6"/>
    <w:pPr>
      <w:spacing w:after="240"/>
      <w:jc w:val="center"/>
    </w:pPr>
    <w:rPr>
      <w:rFonts w:ascii="Calibri" w:eastAsia="Times New Roman" w:hAnsi="Calibri" w:cs="Times New Roman"/>
      <w:color w:val="000000"/>
      <w:sz w:val="22"/>
      <w:szCs w:val="48"/>
      <w:lang w:val="pl-PL" w:eastAsia="en-US"/>
    </w:rPr>
  </w:style>
  <w:style w:type="paragraph" w:customStyle="1" w:styleId="Wyrnienie">
    <w:name w:val="Wyróżnienie"/>
    <w:basedOn w:val="Normalny"/>
    <w:autoRedefine/>
    <w:qFormat/>
    <w:rsid w:val="00F219C6"/>
    <w:pPr>
      <w:spacing w:before="360" w:after="120"/>
      <w:jc w:val="both"/>
    </w:pPr>
    <w:rPr>
      <w:rFonts w:ascii="Calibri" w:eastAsia="Times New Roman" w:hAnsi="Calibri" w:cs="Times New Roman"/>
      <w:b/>
      <w:color w:val="000000"/>
      <w:sz w:val="22"/>
      <w:szCs w:val="24"/>
      <w:lang w:val="pl-PL" w:eastAsia="en-US"/>
    </w:rPr>
  </w:style>
  <w:style w:type="paragraph" w:customStyle="1" w:styleId="spistreci-tytu">
    <w:name w:val="spis treści-tytuł"/>
    <w:basedOn w:val="Normalny"/>
    <w:qFormat/>
    <w:rsid w:val="00F219C6"/>
    <w:pPr>
      <w:pageBreakBefore/>
      <w:spacing w:before="120" w:after="120"/>
      <w:jc w:val="both"/>
    </w:pPr>
    <w:rPr>
      <w:rFonts w:ascii="Calibri" w:eastAsia="Times New Roman" w:hAnsi="Calibri" w:cs="Times New Roman"/>
      <w:b/>
      <w:color w:val="17365D"/>
      <w:sz w:val="22"/>
      <w:szCs w:val="24"/>
      <w:lang w:val="pl-PL" w:eastAsia="en-US"/>
    </w:rPr>
  </w:style>
  <w:style w:type="paragraph" w:customStyle="1" w:styleId="Tabelanagwekdorodka">
    <w:name w:val="Tabela nagłówek do środka"/>
    <w:basedOn w:val="Normalny"/>
    <w:next w:val="Normalny"/>
    <w:autoRedefine/>
    <w:qFormat/>
    <w:rsid w:val="00F219C6"/>
    <w:pPr>
      <w:spacing w:beforeLines="20" w:afterLines="20" w:line="240" w:lineRule="auto"/>
      <w:jc w:val="center"/>
    </w:pPr>
    <w:rPr>
      <w:rFonts w:ascii="Calibri" w:eastAsia="Times New Roman" w:hAnsi="Calibri" w:cs="Times New Roman"/>
      <w:b/>
      <w:color w:val="FFFFFF"/>
      <w:szCs w:val="20"/>
      <w:lang w:val="de-DE" w:eastAsia="pl-PL"/>
    </w:rPr>
  </w:style>
  <w:style w:type="character" w:styleId="Numerstrony">
    <w:name w:val="page number"/>
    <w:rsid w:val="00F219C6"/>
    <w:rPr>
      <w:sz w:val="20"/>
    </w:rPr>
  </w:style>
  <w:style w:type="paragraph" w:customStyle="1" w:styleId="Tekstpodstawowy21">
    <w:name w:val="Tekst podstawowy 21"/>
    <w:basedOn w:val="Normalny"/>
    <w:rsid w:val="00F219C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pl-PL" w:eastAsia="pl-PL"/>
    </w:rPr>
  </w:style>
  <w:style w:type="paragraph" w:customStyle="1" w:styleId="Tabelanagwekdolewej">
    <w:name w:val="Tabela nagłówek do lewej"/>
    <w:basedOn w:val="Tabelanagwekdorodka"/>
    <w:qFormat/>
    <w:rsid w:val="00F219C6"/>
    <w:pPr>
      <w:spacing w:before="48" w:after="48"/>
      <w:jc w:val="left"/>
    </w:pPr>
  </w:style>
  <w:style w:type="paragraph" w:customStyle="1" w:styleId="Wyrnienie2">
    <w:name w:val="Wyróżnienie_2"/>
    <w:basedOn w:val="Podtytu"/>
    <w:autoRedefine/>
    <w:qFormat/>
    <w:rsid w:val="00F219C6"/>
    <w:pPr>
      <w:keepNext/>
      <w:keepLines/>
      <w:numPr>
        <w:ilvl w:val="0"/>
      </w:numPr>
      <w:spacing w:before="120" w:after="360" w:line="264" w:lineRule="auto"/>
      <w:jc w:val="right"/>
    </w:pPr>
    <w:rPr>
      <w:rFonts w:ascii="Calibri" w:eastAsia="Times New Roman" w:hAnsi="Calibri" w:cs="Times New Roman"/>
      <w:iCs w:val="0"/>
      <w:color w:val="auto"/>
      <w:spacing w:val="0"/>
      <w:sz w:val="28"/>
      <w:szCs w:val="20"/>
      <w:lang w:val="pl-PL" w:eastAsia="en-US"/>
    </w:rPr>
  </w:style>
  <w:style w:type="paragraph" w:customStyle="1" w:styleId="Heading11">
    <w:name w:val="Heading 11"/>
    <w:next w:val="Normalny"/>
    <w:uiPriority w:val="99"/>
    <w:rsid w:val="00F219C6"/>
    <w:pPr>
      <w:widowControl w:val="0"/>
      <w:autoSpaceDE w:val="0"/>
      <w:autoSpaceDN w:val="0"/>
      <w:adjustRightInd w:val="0"/>
      <w:spacing w:before="240" w:after="60" w:line="240" w:lineRule="auto"/>
      <w:ind w:left="360" w:hanging="360"/>
    </w:pPr>
    <w:rPr>
      <w:rFonts w:ascii="Arial" w:eastAsia="Times New Roman" w:hAnsi="Arial" w:cs="Arial"/>
      <w:b/>
      <w:bCs/>
      <w:color w:val="004080"/>
      <w:sz w:val="32"/>
      <w:szCs w:val="32"/>
      <w:shd w:val="clear" w:color="auto" w:fill="FFFFFF"/>
      <w:lang w:val="en-AU" w:eastAsia="pl-PL"/>
    </w:rPr>
  </w:style>
  <w:style w:type="paragraph" w:customStyle="1" w:styleId="Heading21">
    <w:name w:val="Heading 21"/>
    <w:next w:val="Normalny"/>
    <w:uiPriority w:val="99"/>
    <w:rsid w:val="00F219C6"/>
    <w:pPr>
      <w:keepNext/>
      <w:widowControl w:val="0"/>
      <w:tabs>
        <w:tab w:val="left" w:pos="851"/>
      </w:tabs>
      <w:autoSpaceDE w:val="0"/>
      <w:autoSpaceDN w:val="0"/>
      <w:adjustRightInd w:val="0"/>
      <w:spacing w:before="240" w:after="60" w:line="240" w:lineRule="auto"/>
      <w:ind w:left="567" w:hanging="567"/>
      <w:jc w:val="both"/>
      <w:outlineLvl w:val="0"/>
    </w:pPr>
    <w:rPr>
      <w:rFonts w:ascii="Calibri" w:eastAsia="Times New Roman" w:hAnsi="Calibri" w:cs="Arial"/>
      <w:b/>
      <w:sz w:val="28"/>
      <w:szCs w:val="24"/>
      <w:lang w:eastAsia="pl-PL"/>
    </w:rPr>
  </w:style>
  <w:style w:type="paragraph" w:customStyle="1" w:styleId="Heading31">
    <w:name w:val="Heading 31"/>
    <w:next w:val="Normalny"/>
    <w:uiPriority w:val="99"/>
    <w:rsid w:val="00F219C6"/>
    <w:pPr>
      <w:keepNext/>
      <w:widowControl w:val="0"/>
      <w:autoSpaceDE w:val="0"/>
      <w:autoSpaceDN w:val="0"/>
      <w:adjustRightInd w:val="0"/>
      <w:spacing w:before="240" w:after="60" w:line="240" w:lineRule="auto"/>
      <w:ind w:left="1080" w:hanging="1080"/>
      <w:jc w:val="both"/>
      <w:outlineLvl w:val="0"/>
    </w:pPr>
    <w:rPr>
      <w:rFonts w:ascii="Calibri" w:eastAsia="Times New Roman" w:hAnsi="Calibri" w:cs="Arial"/>
      <w:b/>
      <w:sz w:val="26"/>
      <w:szCs w:val="26"/>
      <w:lang w:eastAsia="pl-PL"/>
    </w:rPr>
  </w:style>
  <w:style w:type="paragraph" w:customStyle="1" w:styleId="Heading41">
    <w:name w:val="Heading 41"/>
    <w:next w:val="Normalny"/>
    <w:uiPriority w:val="99"/>
    <w:rsid w:val="00F219C6"/>
    <w:pPr>
      <w:keepNext/>
      <w:widowControl w:val="0"/>
      <w:autoSpaceDE w:val="0"/>
      <w:autoSpaceDN w:val="0"/>
      <w:adjustRightInd w:val="0"/>
      <w:spacing w:before="240" w:after="60" w:line="240" w:lineRule="auto"/>
      <w:ind w:left="1440" w:hanging="1440"/>
      <w:jc w:val="both"/>
      <w:outlineLvl w:val="0"/>
    </w:pPr>
    <w:rPr>
      <w:rFonts w:ascii="Calibri" w:eastAsia="Times New Roman" w:hAnsi="Calibri" w:cs="Arial"/>
      <w:b/>
      <w:sz w:val="24"/>
      <w:szCs w:val="24"/>
      <w:lang w:eastAsia="pl-PL"/>
    </w:rPr>
  </w:style>
  <w:style w:type="paragraph" w:customStyle="1" w:styleId="Heading51">
    <w:name w:val="Heading 51"/>
    <w:next w:val="Normalny"/>
    <w:uiPriority w:val="99"/>
    <w:rsid w:val="00F219C6"/>
    <w:pPr>
      <w:keepNext/>
      <w:widowControl w:val="0"/>
      <w:numPr>
        <w:ilvl w:val="4"/>
        <w:numId w:val="3"/>
      </w:numPr>
      <w:autoSpaceDE w:val="0"/>
      <w:autoSpaceDN w:val="0"/>
      <w:adjustRightInd w:val="0"/>
      <w:spacing w:before="240" w:after="60" w:line="240" w:lineRule="auto"/>
      <w:ind w:left="851" w:hanging="851"/>
      <w:outlineLvl w:val="4"/>
    </w:pPr>
    <w:rPr>
      <w:rFonts w:ascii="Calibri" w:eastAsia="Times New Roman" w:hAnsi="Calibri" w:cs="Arial"/>
      <w:b/>
      <w:bCs/>
      <w:iCs/>
      <w:lang w:eastAsia="pl-PL"/>
    </w:rPr>
  </w:style>
  <w:style w:type="paragraph" w:customStyle="1" w:styleId="Heading61">
    <w:name w:val="Heading 61"/>
    <w:next w:val="Normalny"/>
    <w:uiPriority w:val="99"/>
    <w:rsid w:val="00F219C6"/>
    <w:pPr>
      <w:widowControl w:val="0"/>
      <w:numPr>
        <w:ilvl w:val="5"/>
        <w:numId w:val="3"/>
      </w:numPr>
      <w:autoSpaceDE w:val="0"/>
      <w:autoSpaceDN w:val="0"/>
      <w:adjustRightInd w:val="0"/>
      <w:spacing w:before="200" w:after="200" w:line="240" w:lineRule="auto"/>
      <w:ind w:left="2268" w:hanging="2268"/>
      <w:jc w:val="both"/>
    </w:pPr>
    <w:rPr>
      <w:rFonts w:ascii="Calibri" w:eastAsia="Times New Roman" w:hAnsi="Calibri" w:cs="Arial"/>
      <w:b/>
      <w:szCs w:val="24"/>
      <w:lang w:eastAsia="pl-PL"/>
    </w:rPr>
  </w:style>
  <w:style w:type="paragraph" w:customStyle="1" w:styleId="Heading71">
    <w:name w:val="Heading 71"/>
    <w:next w:val="Normalny"/>
    <w:uiPriority w:val="99"/>
    <w:rsid w:val="00F219C6"/>
    <w:pPr>
      <w:widowControl w:val="0"/>
      <w:numPr>
        <w:ilvl w:val="6"/>
        <w:numId w:val="3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Times New Roman" w:hAnsi="Arial" w:cs="Arial"/>
      <w:color w:val="004080"/>
      <w:u w:val="single"/>
      <w:shd w:val="clear" w:color="auto" w:fill="FFFFFF"/>
      <w:lang w:val="en-AU" w:eastAsia="pl-PL"/>
    </w:rPr>
  </w:style>
  <w:style w:type="paragraph" w:customStyle="1" w:styleId="Heading81">
    <w:name w:val="Heading 81"/>
    <w:next w:val="Normalny"/>
    <w:uiPriority w:val="99"/>
    <w:rsid w:val="00F219C6"/>
    <w:pPr>
      <w:widowControl w:val="0"/>
      <w:numPr>
        <w:ilvl w:val="7"/>
        <w:numId w:val="3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Times New Roman" w:hAnsi="Arial" w:cs="Arial"/>
      <w:i/>
      <w:iCs/>
      <w:color w:val="000000"/>
      <w:sz w:val="24"/>
      <w:szCs w:val="24"/>
      <w:u w:val="single"/>
      <w:shd w:val="clear" w:color="auto" w:fill="FFFFFF"/>
      <w:lang w:val="en-AU" w:eastAsia="pl-PL"/>
    </w:rPr>
  </w:style>
  <w:style w:type="paragraph" w:customStyle="1" w:styleId="Heading91">
    <w:name w:val="Heading 91"/>
    <w:next w:val="Normalny"/>
    <w:uiPriority w:val="99"/>
    <w:rsid w:val="00F219C6"/>
    <w:pPr>
      <w:widowControl w:val="0"/>
      <w:numPr>
        <w:ilvl w:val="8"/>
        <w:numId w:val="3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color w:val="004080"/>
      <w:shd w:val="clear" w:color="auto" w:fill="FFFFFF"/>
      <w:lang w:val="en-AU" w:eastAsia="pl-PL"/>
    </w:rPr>
  </w:style>
  <w:style w:type="paragraph" w:customStyle="1" w:styleId="WymaganieL1">
    <w:name w:val="Wymaganie L1"/>
    <w:basedOn w:val="Normalny"/>
    <w:link w:val="WymaganieL1Znak"/>
    <w:qFormat/>
    <w:rsid w:val="00F219C6"/>
    <w:pPr>
      <w:tabs>
        <w:tab w:val="num" w:pos="964"/>
      </w:tabs>
      <w:suppressAutoHyphens/>
      <w:spacing w:before="120" w:after="0" w:line="240" w:lineRule="auto"/>
      <w:ind w:left="1418" w:hanging="1021"/>
    </w:pPr>
    <w:rPr>
      <w:rFonts w:ascii="Calibri" w:eastAsia="Calibri" w:hAnsi="Calibri" w:cs="Times New Roman"/>
      <w:sz w:val="24"/>
      <w:lang w:val="pl-PL" w:eastAsia="en-US"/>
    </w:rPr>
  </w:style>
  <w:style w:type="character" w:customStyle="1" w:styleId="WymaganieL1Znak">
    <w:name w:val="Wymaganie L1 Znak"/>
    <w:link w:val="WymaganieL1"/>
    <w:rsid w:val="00F219C6"/>
    <w:rPr>
      <w:rFonts w:ascii="Calibri" w:eastAsia="Calibri" w:hAnsi="Calibri" w:cs="Times New Roman"/>
      <w:sz w:val="24"/>
    </w:rPr>
  </w:style>
  <w:style w:type="paragraph" w:customStyle="1" w:styleId="WymaganieL2">
    <w:name w:val="Wymaganie L2"/>
    <w:basedOn w:val="WymaganieL1"/>
    <w:qFormat/>
    <w:rsid w:val="00F219C6"/>
    <w:pPr>
      <w:tabs>
        <w:tab w:val="clear" w:pos="964"/>
        <w:tab w:val="num" w:pos="1928"/>
      </w:tabs>
      <w:spacing w:before="60"/>
      <w:ind w:left="1928" w:hanging="1077"/>
    </w:pPr>
  </w:style>
  <w:style w:type="paragraph" w:customStyle="1" w:styleId="wymagania-punkty">
    <w:name w:val="wymagania - punkty"/>
    <w:basedOn w:val="WymaganieL2"/>
    <w:link w:val="wymagania-punktyZnak"/>
    <w:qFormat/>
    <w:rsid w:val="00F219C6"/>
    <w:pPr>
      <w:tabs>
        <w:tab w:val="clear" w:pos="1928"/>
      </w:tabs>
      <w:spacing w:before="0"/>
      <w:ind w:left="1474" w:firstLine="57"/>
    </w:pPr>
  </w:style>
  <w:style w:type="character" w:customStyle="1" w:styleId="wymagania-punktyZnak">
    <w:name w:val="wymagania - punkty Znak"/>
    <w:link w:val="wymagania-punkty"/>
    <w:rsid w:val="00F219C6"/>
    <w:rPr>
      <w:rFonts w:ascii="Calibri" w:eastAsia="Calibri" w:hAnsi="Calibri" w:cs="Times New Roman"/>
      <w:sz w:val="24"/>
    </w:rPr>
  </w:style>
  <w:style w:type="paragraph" w:customStyle="1" w:styleId="Wymagania-punkyL2">
    <w:name w:val="Wymagania - punky L2"/>
    <w:basedOn w:val="wymagania-punkty"/>
    <w:qFormat/>
    <w:rsid w:val="00F219C6"/>
    <w:pPr>
      <w:tabs>
        <w:tab w:val="num" w:pos="360"/>
      </w:tabs>
    </w:pPr>
  </w:style>
  <w:style w:type="paragraph" w:customStyle="1" w:styleId="Plandokumentu1">
    <w:name w:val="Plan dokumentu1"/>
    <w:aliases w:val="Document Map"/>
    <w:basedOn w:val="Normalny"/>
    <w:link w:val="MapadokumentuZnak"/>
    <w:uiPriority w:val="99"/>
    <w:semiHidden/>
    <w:unhideWhenUsed/>
    <w:rsid w:val="00F219C6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pl-PL" w:eastAsia="en-US"/>
    </w:rPr>
  </w:style>
  <w:style w:type="character" w:customStyle="1" w:styleId="MapadokumentuZnak">
    <w:name w:val="Mapa dokumentu Znak"/>
    <w:link w:val="Plandokumentu1"/>
    <w:uiPriority w:val="99"/>
    <w:semiHidden/>
    <w:rsid w:val="00F219C6"/>
    <w:rPr>
      <w:rFonts w:ascii="Tahoma" w:eastAsia="Times New Roman" w:hAnsi="Tahoma" w:cs="Times New Roman"/>
      <w:sz w:val="16"/>
      <w:szCs w:val="16"/>
    </w:rPr>
  </w:style>
  <w:style w:type="paragraph" w:customStyle="1" w:styleId="Punktowaniepoziom2">
    <w:name w:val="Punktowanie_poziom_2"/>
    <w:basedOn w:val="Normalny"/>
    <w:autoRedefine/>
    <w:qFormat/>
    <w:rsid w:val="00F219C6"/>
    <w:pPr>
      <w:numPr>
        <w:numId w:val="4"/>
      </w:numPr>
      <w:suppressAutoHyphens/>
      <w:spacing w:before="60" w:after="60"/>
      <w:ind w:left="1378" w:hanging="357"/>
      <w:jc w:val="both"/>
    </w:pPr>
    <w:rPr>
      <w:rFonts w:ascii="Calibri" w:eastAsia="Calibri" w:hAnsi="Calibri" w:cs="Times New Roman"/>
      <w:sz w:val="22"/>
      <w:lang w:val="pl-PL" w:eastAsia="pl-PL"/>
    </w:rPr>
  </w:style>
  <w:style w:type="paragraph" w:customStyle="1" w:styleId="Tabela-normalny">
    <w:name w:val="Tabela-normalny"/>
    <w:basedOn w:val="Normalny"/>
    <w:autoRedefine/>
    <w:uiPriority w:val="99"/>
    <w:qFormat/>
    <w:rsid w:val="00F219C6"/>
    <w:pPr>
      <w:spacing w:before="40" w:after="40" w:line="240" w:lineRule="auto"/>
      <w:ind w:left="360" w:hanging="360"/>
    </w:pPr>
    <w:rPr>
      <w:rFonts w:ascii="Calibri" w:eastAsia="Times New Roman" w:hAnsi="Calibri" w:cs="Arial"/>
      <w:szCs w:val="20"/>
      <w:lang w:val="pl-PL" w:eastAsia="pl-PL"/>
    </w:rPr>
  </w:style>
  <w:style w:type="paragraph" w:styleId="Lista">
    <w:name w:val="List"/>
    <w:basedOn w:val="Normalny"/>
    <w:rsid w:val="00F219C6"/>
    <w:pPr>
      <w:numPr>
        <w:numId w:val="5"/>
      </w:numPr>
      <w:spacing w:before="120" w:after="12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Tabelanormalny0">
    <w:name w:val="Tabela_normalny"/>
    <w:basedOn w:val="Normalny"/>
    <w:autoRedefine/>
    <w:qFormat/>
    <w:rsid w:val="00F219C6"/>
    <w:pPr>
      <w:spacing w:before="40" w:after="40"/>
    </w:pPr>
    <w:rPr>
      <w:rFonts w:ascii="Calibri" w:eastAsia="Calibri" w:hAnsi="Calibri" w:cs="Times New Roman"/>
      <w:szCs w:val="24"/>
      <w:lang w:val="pl-PL" w:eastAsia="pl-PL"/>
    </w:rPr>
  </w:style>
  <w:style w:type="character" w:customStyle="1" w:styleId="tgc">
    <w:name w:val="_tgc"/>
    <w:basedOn w:val="Domylnaczcionkaakapitu"/>
    <w:rsid w:val="00F219C6"/>
  </w:style>
  <w:style w:type="character" w:customStyle="1" w:styleId="Identificator">
    <w:name w:val="Identificator"/>
    <w:basedOn w:val="Domylnaczcionkaakapitu"/>
    <w:rsid w:val="00F219C6"/>
    <w:rPr>
      <w:rFonts w:ascii="Courier New" w:hAnsi="Courier New"/>
      <w:noProof/>
      <w:bdr w:val="single" w:sz="4" w:space="0" w:color="auto"/>
      <w:shd w:val="clear" w:color="auto" w:fill="F3F3F3"/>
      <w:lang w:val="en-US"/>
    </w:rPr>
  </w:style>
  <w:style w:type="paragraph" w:styleId="Bezodstpw">
    <w:name w:val="No Spacing"/>
    <w:uiPriority w:val="1"/>
    <w:qFormat/>
    <w:rsid w:val="00F219C6"/>
    <w:pPr>
      <w:spacing w:after="0" w:line="240" w:lineRule="auto"/>
    </w:pPr>
  </w:style>
  <w:style w:type="paragraph" w:customStyle="1" w:styleId="metrykatabelanaglowek">
    <w:name w:val="metryka_tabela_naglowek"/>
    <w:basedOn w:val="Normalny"/>
    <w:autoRedefine/>
    <w:qFormat/>
    <w:rsid w:val="00F219C6"/>
    <w:pPr>
      <w:spacing w:after="0"/>
    </w:pPr>
    <w:rPr>
      <w:rFonts w:asciiTheme="minorHAnsi" w:eastAsia="Times New Roman" w:hAnsiTheme="minorHAnsi" w:cs="Times New Roman"/>
      <w:noProof/>
      <w:szCs w:val="24"/>
      <w:lang w:val="pl-PL" w:eastAsia="pl-PL"/>
    </w:rPr>
  </w:style>
  <w:style w:type="paragraph" w:styleId="Lista-kontynuacja">
    <w:name w:val="List Continue"/>
    <w:basedOn w:val="Normalny"/>
    <w:unhideWhenUsed/>
    <w:rsid w:val="00F219C6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rsid w:val="00F219C6"/>
    <w:pPr>
      <w:spacing w:after="0" w:line="360" w:lineRule="auto"/>
      <w:ind w:firstLine="708"/>
      <w:jc w:val="both"/>
    </w:pPr>
    <w:rPr>
      <w:rFonts w:ascii="Tahoma" w:eastAsia="Times New Roman" w:hAnsi="Tahoma" w:cs="Tahoma"/>
      <w:sz w:val="22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19C6"/>
    <w:rPr>
      <w:rFonts w:ascii="Tahoma" w:eastAsia="Times New Roman" w:hAnsi="Tahoma" w:cs="Tahoma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219C6"/>
    <w:pPr>
      <w:spacing w:after="100" w:line="259" w:lineRule="auto"/>
      <w:ind w:left="660"/>
    </w:pPr>
    <w:rPr>
      <w:rFonts w:asciiTheme="minorHAnsi" w:hAnsiTheme="minorHAnsi"/>
      <w:sz w:val="22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F219C6"/>
    <w:pPr>
      <w:spacing w:after="100" w:line="259" w:lineRule="auto"/>
      <w:ind w:left="880"/>
    </w:pPr>
    <w:rPr>
      <w:rFonts w:asciiTheme="minorHAnsi" w:hAnsiTheme="minorHAnsi"/>
      <w:sz w:val="22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F219C6"/>
    <w:pPr>
      <w:spacing w:after="100" w:line="259" w:lineRule="auto"/>
      <w:ind w:left="1100"/>
    </w:pPr>
    <w:rPr>
      <w:rFonts w:asciiTheme="minorHAnsi" w:hAnsiTheme="minorHAnsi"/>
      <w:sz w:val="22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F219C6"/>
    <w:pPr>
      <w:spacing w:after="100" w:line="259" w:lineRule="auto"/>
      <w:ind w:left="1320"/>
    </w:pPr>
    <w:rPr>
      <w:rFonts w:asciiTheme="minorHAnsi" w:hAnsiTheme="minorHAnsi"/>
      <w:sz w:val="22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F219C6"/>
    <w:pPr>
      <w:spacing w:after="100" w:line="259" w:lineRule="auto"/>
      <w:ind w:left="1540"/>
    </w:pPr>
    <w:rPr>
      <w:rFonts w:asciiTheme="minorHAnsi" w:hAnsiTheme="minorHAnsi"/>
      <w:sz w:val="22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F219C6"/>
    <w:pPr>
      <w:spacing w:after="100" w:line="259" w:lineRule="auto"/>
      <w:ind w:left="1760"/>
    </w:pPr>
    <w:rPr>
      <w:rFonts w:asciiTheme="minorHAnsi" w:hAnsiTheme="minorHAnsi"/>
      <w:sz w:val="22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F219C6"/>
    <w:pPr>
      <w:spacing w:after="0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F219C6"/>
    <w:rPr>
      <w:vertAlign w:val="superscript"/>
    </w:rPr>
  </w:style>
  <w:style w:type="table" w:customStyle="1" w:styleId="TableGrid0">
    <w:name w:val="Table Grid0"/>
    <w:rsid w:val="00F219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F219C6"/>
    <w:rPr>
      <w:color w:val="808080"/>
      <w:shd w:val="clear" w:color="auto" w:fill="E6E6E6"/>
    </w:rPr>
  </w:style>
  <w:style w:type="table" w:customStyle="1" w:styleId="Tabelasiatki1jasnaakcent11">
    <w:name w:val="Tabela siatki 1 — jasna — akcent 11"/>
    <w:basedOn w:val="Standardowy"/>
    <w:uiPriority w:val="46"/>
    <w:rsid w:val="00F219C6"/>
    <w:pPr>
      <w:spacing w:after="0" w:line="240" w:lineRule="auto"/>
    </w:pPr>
    <w:rPr>
      <w:rFonts w:eastAsiaTheme="minorEastAsia"/>
      <w:lang w:val="en-IN" w:eastAsia="en-I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F219C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F219C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2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F2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F219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F219C6"/>
    <w:rPr>
      <w:color w:val="808080"/>
      <w:shd w:val="clear" w:color="auto" w:fill="E6E6E6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219C6"/>
    <w:pPr>
      <w:keepNext/>
      <w:keepLines/>
      <w:spacing w:before="40" w:after="0" w:line="240" w:lineRule="auto"/>
      <w:ind w:left="864" w:hanging="360"/>
      <w:outlineLvl w:val="3"/>
    </w:pPr>
    <w:rPr>
      <w:rFonts w:ascii="Times New Roman" w:eastAsia="Times New Roman" w:hAnsi="Times New Roman" w:cs="Times New Roman"/>
      <w:b/>
      <w:iCs/>
      <w:sz w:val="24"/>
      <w:lang w:val="pl-PL" w:eastAsia="en-US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F219C6"/>
    <w:pPr>
      <w:keepNext/>
      <w:keepLines/>
      <w:spacing w:before="200" w:after="0" w:line="240" w:lineRule="auto"/>
      <w:ind w:left="3600" w:hanging="360"/>
      <w:outlineLvl w:val="4"/>
    </w:pPr>
    <w:rPr>
      <w:rFonts w:ascii="Calibri Light" w:eastAsia="Times New Roman" w:hAnsi="Calibri Light" w:cs="Times New Roman"/>
      <w:b/>
      <w:sz w:val="22"/>
      <w:lang w:val="pl-PL" w:eastAsia="en-US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F219C6"/>
    <w:pPr>
      <w:keepNext/>
      <w:keepLines/>
      <w:spacing w:before="200" w:after="0" w:line="240" w:lineRule="auto"/>
      <w:ind w:left="5040" w:hanging="360"/>
      <w:outlineLvl w:val="6"/>
    </w:pPr>
    <w:rPr>
      <w:rFonts w:ascii="Calibri Light" w:eastAsia="Times New Roman" w:hAnsi="Calibri Light" w:cs="Times New Roman"/>
      <w:i/>
      <w:iCs/>
      <w:color w:val="404040"/>
      <w:sz w:val="22"/>
      <w:lang w:val="pl-PL" w:eastAsia="en-US"/>
    </w:rPr>
  </w:style>
  <w:style w:type="table" w:customStyle="1" w:styleId="TablaMicrosoftServicios2">
    <w:name w:val="Tabla Microsoft Servicios2"/>
    <w:basedOn w:val="Standardowy"/>
    <w:next w:val="Tabela-Siatka"/>
    <w:uiPriority w:val="39"/>
    <w:qFormat/>
    <w:rsid w:val="00F219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2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F219C6"/>
    <w:pPr>
      <w:spacing w:line="161" w:lineRule="atLeast"/>
    </w:pPr>
    <w:rPr>
      <w:rFonts w:ascii="Dell Replica" w:eastAsiaTheme="minorHAnsi" w:hAnsi="Dell Replica" w:cstheme="minorBidi"/>
      <w:color w:val="auto"/>
      <w:lang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F2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219C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ny"/>
    <w:rsid w:val="00F219C6"/>
    <w:pPr>
      <w:spacing w:after="0" w:line="240" w:lineRule="auto"/>
      <w:ind w:left="1620"/>
    </w:pPr>
    <w:rPr>
      <w:rFonts w:ascii=".AppleSystemUIFont" w:hAnsi=".AppleSystemUIFont" w:cs="Times New Roman"/>
      <w:sz w:val="21"/>
      <w:szCs w:val="21"/>
      <w:lang w:eastAsia="en-GB"/>
    </w:rPr>
  </w:style>
  <w:style w:type="character" w:customStyle="1" w:styleId="s1">
    <w:name w:val="s1"/>
    <w:basedOn w:val="Domylnaczcionkaakapitu"/>
    <w:rsid w:val="00F219C6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p2">
    <w:name w:val="p2"/>
    <w:basedOn w:val="Normalny"/>
    <w:rsid w:val="00F219C6"/>
    <w:pPr>
      <w:spacing w:after="0" w:line="240" w:lineRule="auto"/>
    </w:pPr>
    <w:rPr>
      <w:rFonts w:ascii=".AppleSystemUIFont" w:hAnsi=".AppleSystemUIFont" w:cs="Times New Roman"/>
      <w:sz w:val="26"/>
      <w:szCs w:val="26"/>
      <w:lang w:eastAsia="en-GB"/>
    </w:rPr>
  </w:style>
  <w:style w:type="paragraph" w:customStyle="1" w:styleId="p3">
    <w:name w:val="p3"/>
    <w:basedOn w:val="Normalny"/>
    <w:rsid w:val="00F219C6"/>
    <w:pPr>
      <w:spacing w:after="0" w:line="240" w:lineRule="auto"/>
    </w:pPr>
    <w:rPr>
      <w:rFonts w:ascii="Helvetica" w:hAnsi="Helvetica" w:cs="Times New Roman"/>
      <w:sz w:val="18"/>
      <w:szCs w:val="18"/>
      <w:lang w:eastAsia="en-GB"/>
    </w:rPr>
  </w:style>
  <w:style w:type="character" w:customStyle="1" w:styleId="s2">
    <w:name w:val="s2"/>
    <w:basedOn w:val="Domylnaczcionkaakapitu"/>
    <w:rsid w:val="00F219C6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omylnaczcionkaakapitu"/>
    <w:rsid w:val="00F219C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Domylnaczcionkaakapitu"/>
    <w:rsid w:val="00F219C6"/>
  </w:style>
  <w:style w:type="table" w:customStyle="1" w:styleId="Tabela-Siatka4">
    <w:name w:val="Tabela - Siatka4"/>
    <w:basedOn w:val="Standardowy"/>
    <w:next w:val="Tabela-Siatka"/>
    <w:uiPriority w:val="39"/>
    <w:rsid w:val="00F2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6252</Words>
  <Characters>37512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 Sławomir (Prokuratura Krajowa)</dc:creator>
  <cp:keywords/>
  <dc:description/>
  <cp:lastModifiedBy>Duchnowicz Marcin (Prokuratura Krajowa)</cp:lastModifiedBy>
  <cp:revision>15</cp:revision>
  <dcterms:created xsi:type="dcterms:W3CDTF">2024-07-11T13:27:00Z</dcterms:created>
  <dcterms:modified xsi:type="dcterms:W3CDTF">2024-07-12T12:14:00Z</dcterms:modified>
</cp:coreProperties>
</file>