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>…</w:t>
      </w:r>
      <w:r>
        <w:rPr/>
        <w:t>............................………………………………</w:t>
      </w:r>
    </w:p>
    <w:p>
      <w:pPr>
        <w:pStyle w:val="Normal"/>
        <w:ind w:left="5664" w:firstLine="708"/>
        <w:rPr>
          <w:sz w:val="16"/>
          <w:szCs w:val="16"/>
        </w:rPr>
      </w:pPr>
      <w:r>
        <w:rPr>
          <w:sz w:val="16"/>
          <w:szCs w:val="16"/>
        </w:rPr>
        <w:t>(miejscowość, data)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left="3540" w:firstLine="708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Państwowy Powiatowy Inspektor Sanitarny </w:t>
      </w:r>
    </w:p>
    <w:p>
      <w:pPr>
        <w:pStyle w:val="Normal"/>
        <w:ind w:left="3540" w:firstLine="708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w Grodzisku Mazowieckim</w:t>
      </w:r>
    </w:p>
    <w:p>
      <w:pPr>
        <w:pStyle w:val="Normal"/>
        <w:ind w:left="3540" w:firstLine="708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ul. Żwirki i Wigury 10</w:t>
      </w:r>
    </w:p>
    <w:p>
      <w:pPr>
        <w:pStyle w:val="Normal"/>
        <w:ind w:left="3540" w:firstLine="708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05-825 Grodzisk Mazowiecki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>
      <w:pPr>
        <w:pStyle w:val="Normal"/>
        <w:spacing w:lineRule="auto" w:line="360"/>
        <w:rPr/>
      </w:pPr>
      <w:r>
        <w:rPr/>
        <w:t>…………………………………………</w:t>
      </w:r>
      <w:r>
        <w:rPr/>
        <w:t>..</w:t>
      </w:r>
    </w:p>
    <w:p>
      <w:pPr>
        <w:pStyle w:val="Normal"/>
        <w:spacing w:lineRule="auto" w:line="360"/>
        <w:rPr/>
      </w:pPr>
      <w:r>
        <w:rPr/>
        <w:t>…………………………………………</w:t>
      </w:r>
      <w:r>
        <w:rPr/>
        <w:t>..</w:t>
      </w:r>
    </w:p>
    <w:p>
      <w:pPr>
        <w:pStyle w:val="Normal"/>
        <w:spacing w:lineRule="auto" w:line="360"/>
        <w:rPr/>
      </w:pPr>
      <w:r>
        <w:rPr/>
        <w:t>…………………………………………</w:t>
      </w:r>
      <w:r>
        <w:rPr/>
        <w:t>..</w:t>
      </w:r>
    </w:p>
    <w:p>
      <w:pPr>
        <w:pStyle w:val="Normal"/>
        <w:rPr/>
      </w:pPr>
      <w:r>
        <w:rPr/>
        <w:t>…………………………………………</w:t>
      </w:r>
      <w:r>
        <w:rPr/>
        <w:t>..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(dane Inwestora  - nazwa firmy, adres siedziby/ imię i nazwisko,</w:t>
        <w:br/>
        <w:t xml:space="preserve"> adres zamieszkania)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NIP: ……………………………………………………………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REGON: ………………….……………………………………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b/>
          <w:sz w:val="22"/>
          <w:szCs w:val="22"/>
        </w:rPr>
        <w:t>ZAWIADOMIENIE O ZAKOŃCZENIU BUDOWY I ZAMIARZE PRZYSTĄPIENIA DO UŻYTKOWANIA OBIEKTU BUDOWLANEGO</w:t>
      </w:r>
    </w:p>
    <w:p>
      <w:pPr>
        <w:pStyle w:val="Normal"/>
        <w:rPr>
          <w:b/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 xml:space="preserve">Zgodnie z art. 56 </w:t>
      </w:r>
      <w:r>
        <w:rPr>
          <w:i/>
          <w:sz w:val="22"/>
          <w:szCs w:val="22"/>
        </w:rPr>
        <w:t>Ustawy z dnia 7 lipca 1994 r. - Prawo budowlane (t.j. Dz. U. z 2023r.,</w:t>
        <w:br/>
        <w:t>poz. 682 z późn. zm.)</w:t>
      </w:r>
      <w:r>
        <w:rPr>
          <w:sz w:val="22"/>
          <w:szCs w:val="22"/>
        </w:rPr>
        <w:t xml:space="preserve"> zawiadamiam o zakończeniu budowy i zamiarze przystąpienia do użytkowania…………………………………………………………………………………………...……………………………………………………………………………………………………………zlokalizowanego w ………………….………………………………………………………………… przy ul.………….……………………………………………..………………………………..………...</w:t>
      </w:r>
    </w:p>
    <w:p>
      <w:pPr>
        <w:pStyle w:val="Normal"/>
        <w:jc w:val="both"/>
        <w:rPr/>
      </w:pPr>
      <w:r>
        <w:rPr>
          <w:sz w:val="22"/>
          <w:szCs w:val="22"/>
        </w:rPr>
        <w:t>Ww. ……………………………………………...… został wybudowany na podstawie decyzji o pozwoleniu na budowę znak: …………………………………………………………………………. z dnia:……………….…wydanej przez:………………………………………………………………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Wyrażam zgodę na przetwarzanie podanych przeze mnie danych osobowych dla potrzeb niezbędnych do wydania opinii sanitarnej, zgodnie z Ustawą z dn. 10.05.2018r. o ochronie danych osobowych (t.j. Dz. U. z 2019r., poz. 1781).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5664" w:hanging="0"/>
        <w:jc w:val="center"/>
        <w:rPr/>
      </w:pPr>
      <w:r>
        <w:rPr/>
        <w:t>…………………………………</w:t>
      </w:r>
      <w:r>
        <w:rPr/>
        <w:t>....</w:t>
      </w:r>
    </w:p>
    <w:p>
      <w:pPr>
        <w:pStyle w:val="Normal"/>
        <w:ind w:left="5664" w:hanging="0"/>
        <w:jc w:val="center"/>
        <w:rPr>
          <w:sz w:val="16"/>
          <w:szCs w:val="16"/>
        </w:rPr>
      </w:pPr>
      <w:r>
        <w:rPr>
          <w:sz w:val="16"/>
          <w:szCs w:val="16"/>
        </w:rPr>
        <w:t>(podpis Inwestora / pełnomocnika</w:t>
      </w:r>
      <w:r>
        <w:rPr>
          <w:rStyle w:val="Zakotwiczenieprzypisudolnego"/>
          <w:rStyle w:val="Zakotwiczenieprzypisudolnego"/>
          <w:sz w:val="16"/>
          <w:szCs w:val="16"/>
        </w:rPr>
        <w:footnoteReference w:id="2"/>
      </w:r>
      <w:r>
        <w:rPr>
          <w:sz w:val="16"/>
          <w:szCs w:val="16"/>
        </w:rPr>
        <w:t>)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telefon do kontaktu ……………………………..…..……....</w:t>
      </w:r>
    </w:p>
    <w:p>
      <w:pPr>
        <w:pStyle w:val="Normal"/>
        <w:spacing w:lineRule="auto" w:line="360"/>
        <w:rPr/>
      </w:pPr>
      <w:r>
        <w:rPr>
          <w:sz w:val="22"/>
          <w:szCs w:val="22"/>
        </w:rPr>
        <w:t>adres e-mail …………………………………………………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Załączniki:</w:t>
      </w:r>
    </w:p>
    <w:p>
      <w:pPr>
        <w:pStyle w:val="Normal"/>
        <w:widowControl w:val="false"/>
        <w:numPr>
          <w:ilvl w:val="0"/>
          <w:numId w:val="1"/>
        </w:numPr>
        <w:jc w:val="both"/>
        <w:rPr/>
      </w:pPr>
      <w:r>
        <w:rPr>
          <w:rFonts w:cs="Arial"/>
          <w:sz w:val="20"/>
          <w:szCs w:val="20"/>
        </w:rPr>
        <w:t>Kopia, poświadczona za zgodność z oryginałem,  ostatecznej decyzji o pozwoleniu na budowę zobowiązującej Inwestora do uzyskania pozwolenia na użytkowanie obiektu.</w:t>
      </w:r>
    </w:p>
    <w:p>
      <w:pPr>
        <w:pStyle w:val="Normal"/>
        <w:widowControl w:val="false"/>
        <w:numPr>
          <w:ilvl w:val="0"/>
          <w:numId w:val="1"/>
        </w:numPr>
        <w:jc w:val="both"/>
        <w:rPr/>
      </w:pPr>
      <w:r>
        <w:rPr>
          <w:rFonts w:cs="Arial"/>
          <w:sz w:val="20"/>
          <w:szCs w:val="20"/>
        </w:rPr>
        <w:t>Charakterystyka obiektu zawierająca informacje na temat przeznaczenia obiektu ze szczególnym uwzględnieniem ewentualnej działalności usługowej z określeniem typu usług (medycznej z określeniem zakresu wykonywanych świadczeń, produkcyjnej z określeniem profilu produkcji ).</w:t>
      </w:r>
    </w:p>
    <w:p>
      <w:pPr>
        <w:pStyle w:val="Normal"/>
        <w:widowControl w:val="false"/>
        <w:numPr>
          <w:ilvl w:val="0"/>
          <w:numId w:val="1"/>
        </w:numPr>
        <w:jc w:val="both"/>
        <w:rPr/>
      </w:pPr>
      <w:r>
        <w:rPr>
          <w:rFonts w:cs="Arial"/>
          <w:sz w:val="20"/>
          <w:szCs w:val="20"/>
        </w:rPr>
        <w:t>Kopia, poświadczona za zgodność z oryginałem, oświadczenia kierownika budowy, o którym mowa w art. 57 Ustawy z dnia 7 lipca 1994 r. - Prawo budowlane lub kopia, poświadczona za zgodność z oryginałem, wpisu kierownika budowy do dziennika budowy o zakończeniu budowy.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>Pełnomocnictwo dla osoby reprezentującej Inwestora przed Państwową Inspekcją Sanitarną – w przypadku ustanowienia pełnomocnika.</w:t>
      </w:r>
    </w:p>
    <w:p>
      <w:pPr>
        <w:sectPr>
          <w:footnotePr>
            <w:numFmt w:val="decimal"/>
          </w:footnotePr>
          <w:type w:val="nextPage"/>
          <w:pgSz w:w="11906" w:h="16838"/>
          <w:pgMar w:left="1417" w:right="1417" w:header="0" w:top="1417" w:footer="0" w:bottom="1417" w:gutter="0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tabs>
          <w:tab w:val="left" w:pos="8520" w:leader="none"/>
        </w:tabs>
        <w:jc w:val="both"/>
        <w:rPr>
          <w:rFonts w:cs="Arial"/>
          <w:sz w:val="20"/>
          <w:szCs w:val="20"/>
        </w:rPr>
      </w:pPr>
      <w:r>
        <w:rPr>
          <w:b/>
          <w:sz w:val="20"/>
          <w:szCs w:val="20"/>
        </w:rPr>
        <w:t xml:space="preserve">Uwaga: </w:t>
      </w:r>
      <w:r>
        <w:rPr>
          <w:rFonts w:cs="Arial"/>
          <w:sz w:val="20"/>
          <w:szCs w:val="20"/>
        </w:rPr>
        <w:t>W trakcie kontroli obiektu budowlanego przeprowadzanej w związku z zawiadomieniem o zakończeniu budowy i zamiarze przystąpienia do użytkowania Inwestor zobowiązany jest  przedstawić dokumenty wymienione w „Wykazie dokumentów …”.</w:t>
      </w:r>
    </w:p>
    <w:p>
      <w:pPr>
        <w:pStyle w:val="Normal"/>
        <w:widowControl w:val="false"/>
        <w:tabs>
          <w:tab w:val="left" w:pos="8520" w:leader="none"/>
        </w:tabs>
        <w:ind w:right="-216" w:hanging="0"/>
        <w:jc w:val="center"/>
        <w:rPr/>
      </w:pPr>
      <w:r>
        <w:rPr>
          <w:rFonts w:cs="Arial"/>
          <w:b/>
          <w:szCs w:val="28"/>
        </w:rPr>
        <w:t>Wykaz dokumentów jakie Inwestor zobowiązany jest przedstawić Państwowej Inspekcji Sanitarnej w trakcie kontroli przeprowadzanej w związku z zawiadomieniem o zakończeniu budowy i zamiarze przystąpienia do użytkowania obiektu budowlanego:</w:t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left" w:pos="720" w:leader="none"/>
        </w:tabs>
        <w:ind w:left="1080" w:hanging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Dokumentacja projektowa ( projekt budowlany ) - do wglądu w trakcie kontroli obiektu.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720" w:leader="none"/>
        </w:tabs>
        <w:ind w:left="720" w:hanging="360"/>
        <w:jc w:val="both"/>
        <w:rPr/>
      </w:pPr>
      <w:r>
        <w:rPr>
          <w:rFonts w:cs="Arial"/>
          <w:sz w:val="20"/>
          <w:szCs w:val="20"/>
        </w:rPr>
        <w:t>Wynik badania wody pobranej przez przedstawiciela laboratorium wykonującego badania (laboratorium posiadające udokumentowany system jakości prowadzonych badań wody, zatwierdzony przez Państwową Inspekcję Sanitarną) z instalacji wewnętrznej budynku, w punkcie czerpalnym najbardziej odległym od wodomierza ( analizy pełnej fizyko-chemicznej i bakteriologicznej w sytuacji gdy obiekt zaopatrywany jest w wodę z indywidualnego ujęcia lub gdy w obiekcie istnieje indywidualna stacja uzdatniania wody, bakteriologicznej w przypadkach pozostałych).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720" w:leader="none"/>
        </w:tabs>
        <w:ind w:left="720" w:hanging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Opinia o drożności, szczelności i samodzielności przewodów spalinowych i przewodów wentylacji grawitacyjnej.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720" w:leader="none"/>
        </w:tabs>
        <w:ind w:left="720" w:hanging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z pomiarów wydajności wentylacji mechanicznej / klimatyzacji / w zakresie ilości powietrza wentylacyjnego, sporządzony przez osobę posiadającą właściwe uprawnienia budowlane.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720" w:leader="none"/>
        </w:tabs>
        <w:ind w:left="720" w:hanging="360"/>
        <w:jc w:val="both"/>
        <w:rPr/>
      </w:pPr>
      <w:r>
        <w:rPr>
          <w:rFonts w:cs="Arial"/>
          <w:sz w:val="20"/>
          <w:szCs w:val="20"/>
        </w:rPr>
        <w:t xml:space="preserve">Protokół z pomiarów poziomu dźwięku A w pomieszczeniach przeznaczonych na pobyt ludzi, wymienionych w </w:t>
      </w:r>
      <w:r>
        <w:rPr>
          <w:sz w:val="20"/>
          <w:szCs w:val="20"/>
        </w:rPr>
        <w:t>PN-87/B-02151/02.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720" w:leader="none"/>
        </w:tabs>
        <w:ind w:left="720" w:hanging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z pomiarów dźwięku A określający poziom dźwięku A od urządzeń instalacji wentylacji mechanicznej /klimatyzacji/ w bezpośrednim sąsiedztwie zabudowy chronionej.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720" w:leader="none"/>
        </w:tabs>
        <w:ind w:left="720" w:hanging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odbioru przyłącza wodociągowego oraz przykanalików zapewniających podłączenie obiektu do miejskich sieci: wodociągowej i kanalizacyjnej.</w:t>
      </w:r>
    </w:p>
    <w:p>
      <w:pPr>
        <w:pStyle w:val="Normal"/>
        <w:widowControl w:val="false"/>
        <w:numPr>
          <w:ilvl w:val="0"/>
          <w:numId w:val="2"/>
        </w:numPr>
        <w:ind w:left="720" w:hanging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odbioru końcowego i przekazania do eksploatacji obiektu sieci ciepłowniczej.</w:t>
      </w:r>
    </w:p>
    <w:p>
      <w:pPr>
        <w:pStyle w:val="Normal"/>
        <w:widowControl w:val="false"/>
        <w:numPr>
          <w:ilvl w:val="0"/>
          <w:numId w:val="2"/>
        </w:numPr>
        <w:ind w:left="720" w:hanging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odbioru przyłącza elektroenergetycznego lub inny dokument potwierdzający podłączenie obiektu do sieci elektroenergetycznej.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720" w:leader="none"/>
        </w:tabs>
        <w:ind w:left="720" w:hanging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odbioru instalacji do wykrywania poziomu stężeń zanieczyszczeń wskaźnikowych wraz ze świadectwami kalibracji detektorów ( np. protokół odbioru instalacji do wykrywania tlenku węgla w garażu, którego wentylacja sterowana jest poziomem stężenia tlenku węgla w garażu ).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720" w:leader="none"/>
        </w:tabs>
        <w:ind w:left="720" w:hanging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MPWIS na zastosowanie wyłącznie oświetlenia sztucznego w pomieszczeniach stałej pracy.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720" w:leader="none"/>
        </w:tabs>
        <w:ind w:left="720" w:hanging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MPWIS na zaniżenie wysokości pomieszczeń.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720" w:leader="none"/>
        </w:tabs>
        <w:ind w:left="720" w:hanging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MPWIS na umieszczenie poniżej poziomu terenu poziomu podłogi pomieszczeń.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720" w:leader="none"/>
        </w:tabs>
        <w:ind w:left="720" w:hanging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MPWIS na zmniejszoną, nie więcej niż do 5m od okien i drzwi do budynków z pomieszczeniami przeznaczonymi na pobyt ludzi i 1,5m od granicy z sąsiednią działką, odległość miejsc na pojemniki i kontenery na odpady stałe.</w:t>
      </w:r>
    </w:p>
    <w:p>
      <w:pPr>
        <w:pStyle w:val="Normal"/>
        <w:widowControl w:val="false"/>
        <w:numPr>
          <w:ilvl w:val="0"/>
          <w:numId w:val="2"/>
        </w:numPr>
        <w:ind w:left="720" w:hanging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MPWIS na pomniejszoną odległość pokryw i wylotów wentylacji ze zbiorników bezodpływowych na nieczystości ciekłe od okien i drzwi zewnętrznych do pomieszczeń przeznaczonych na pobyt ludzi i granicy działki sąsiedniej.</w:t>
      </w:r>
    </w:p>
    <w:p>
      <w:pPr>
        <w:pStyle w:val="Normal"/>
        <w:widowControl w:val="false"/>
        <w:numPr>
          <w:ilvl w:val="0"/>
          <w:numId w:val="2"/>
        </w:numPr>
        <w:ind w:left="720" w:hanging="360"/>
        <w:jc w:val="both"/>
        <w:rPr/>
      </w:pPr>
      <w:r>
        <w:rPr>
          <w:rFonts w:cs="Arial"/>
          <w:sz w:val="20"/>
          <w:szCs w:val="20"/>
        </w:rPr>
        <w:t>Stanowisko MPWIS dotyczące odległości zbiorników bezodpływowych na nieczystości ciekłe i kompostowników o pojemności powyżej 50 m</w:t>
      </w:r>
      <w:r>
        <w:rPr>
          <w:rFonts w:cs="Arial"/>
          <w:sz w:val="20"/>
          <w:szCs w:val="20"/>
          <w:vertAlign w:val="superscript"/>
        </w:rPr>
        <w:t>3</w:t>
      </w:r>
      <w:r>
        <w:rPr>
          <w:rFonts w:cs="Arial"/>
          <w:sz w:val="20"/>
          <w:szCs w:val="20"/>
        </w:rPr>
        <w:t xml:space="preserve"> od budynków przeznaczonych na pobyt ludzi.</w:t>
      </w:r>
    </w:p>
    <w:p>
      <w:pPr>
        <w:pStyle w:val="Normal"/>
        <w:widowControl w:val="false"/>
        <w:numPr>
          <w:ilvl w:val="0"/>
          <w:numId w:val="2"/>
        </w:numPr>
        <w:ind w:left="720" w:hanging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PPIS na zlokalizowanie wyrzutni powietrza wentylacyjnego na poziomie terenu.</w:t>
      </w:r>
    </w:p>
    <w:p>
      <w:pPr>
        <w:pStyle w:val="Normal"/>
        <w:widowControl w:val="false"/>
        <w:numPr>
          <w:ilvl w:val="0"/>
          <w:numId w:val="2"/>
        </w:numPr>
        <w:ind w:left="720" w:hanging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PPIS na zastosowanie recyrkulacji powietrza w budynku opieki zdrowotnej (przedsiębiorstwie podmiotu leczniczego).</w:t>
      </w:r>
    </w:p>
    <w:p>
      <w:pPr>
        <w:pStyle w:val="Normal"/>
        <w:widowControl w:val="false"/>
        <w:numPr>
          <w:ilvl w:val="0"/>
          <w:numId w:val="2"/>
        </w:numPr>
        <w:ind w:left="720" w:hanging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PPIS na ogrzewanie budynku o wysokości nie większej niż 3 kondygnacje zakładu opieki zdrowotnej, opieki społecznej, budynku przeznaczonego dla dzieci i młodzieży, lokalu gastronomicznego, pomieszczeń przeznaczonych do produkcji żywności i środków farmaceutycznych z lokalnej kotłowni na paliwo stałe.</w:t>
      </w:r>
    </w:p>
    <w:p>
      <w:pPr>
        <w:pStyle w:val="Normal"/>
        <w:widowControl w:val="false"/>
        <w:numPr>
          <w:ilvl w:val="0"/>
          <w:numId w:val="2"/>
        </w:numPr>
        <w:ind w:left="720" w:hanging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MPWIS na lokalizację pomieszczeń, o charakterze diagnostycznym, terapeutycznym, magazynowym i o pomieszczeniach pomocniczych przeznaczonych na pobyt ludzi w przedsiębiorstwie podmiotu leczniczego poniżej poziomu terenu urządzonego przy budynku.</w:t>
      </w:r>
    </w:p>
    <w:p>
      <w:pPr>
        <w:pStyle w:val="Normal"/>
        <w:widowControl w:val="false"/>
        <w:numPr>
          <w:ilvl w:val="0"/>
          <w:numId w:val="2"/>
        </w:numPr>
        <w:ind w:left="720" w:hanging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KRS, NIP.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>
          <w:rFonts w:cs="Arial"/>
          <w:b/>
          <w:sz w:val="20"/>
          <w:szCs w:val="20"/>
        </w:rPr>
        <w:t>Uwaga:</w:t>
      </w:r>
      <w:r>
        <w:rPr>
          <w:rFonts w:cs="Arial"/>
          <w:sz w:val="20"/>
          <w:szCs w:val="20"/>
        </w:rPr>
        <w:t xml:space="preserve"> Punkt 1 obligatoryjnie zaś pozostałe dokumenty odpowiednio do zakresu wykonywanych prac i zastosowanych rozwiązań. </w:t>
      </w:r>
      <w:r>
        <w:rPr>
          <w:sz w:val="20"/>
          <w:szCs w:val="20"/>
        </w:rPr>
        <w:t xml:space="preserve"> PPIS w Grodzisku Mazowieckim zastrzega sobie prawo możliwości zobowiązania Inwestora do przedstawienia dokumentów innych niż wymienione w załączniku jeśli uzna, że są one niezbędne do oceny zgodności wykonania obiektu z projektem budowlanym w zakresie oceny warunków sanitarnohigienicznych.</w:t>
      </w:r>
    </w:p>
    <w:p>
      <w:pPr>
        <w:pStyle w:val="Normal"/>
        <w:rPr/>
      </w:pPr>
      <w:r>
        <w:rPr>
          <w:sz w:val="20"/>
          <w:szCs w:val="20"/>
        </w:rPr>
        <w:t>PPIS – Państwowy Powiatowy Inspektor Sanitarny w Grodzisku Mazowieckim.</w:t>
      </w:r>
    </w:p>
    <w:p>
      <w:pPr>
        <w:pStyle w:val="Normal"/>
        <w:widowControl w:val="false"/>
        <w:tabs>
          <w:tab w:val="left" w:pos="8520" w:leader="none"/>
        </w:tabs>
        <w:jc w:val="both"/>
        <w:rPr/>
      </w:pPr>
      <w:r>
        <w:rPr>
          <w:rFonts w:cs="Arial"/>
          <w:sz w:val="20"/>
          <w:szCs w:val="20"/>
        </w:rPr>
        <w:t>MPWIS – Mazowiecki Państwowy Wojewódzki Inspektor Sanitarny w  Warszawie.</w:t>
      </w:r>
    </w:p>
    <w:p>
      <w:pPr>
        <w:pStyle w:val="Normal"/>
        <w:widowControl w:val="false"/>
        <w:tabs>
          <w:tab w:val="left" w:pos="8520" w:leader="none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tabs>
          <w:tab w:val="left" w:pos="8520" w:leader="none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spacing w:lineRule="auto" w:line="240"/>
        <w:ind w:left="0" w:right="0" w:hanging="0"/>
        <w:rPr/>
      </w:pPr>
      <w:r>
        <w:rPr>
          <w:rFonts w:eastAsia="Mangal" w:cs="Arial"/>
          <w:b/>
          <w:bCs w:val="false"/>
          <w:strike w:val="false"/>
          <w:dstrike w:val="false"/>
          <w:color w:val="000000"/>
          <w:kern w:val="2"/>
          <w:sz w:val="20"/>
          <w:szCs w:val="20"/>
          <w:u w:val="none"/>
          <w:lang w:eastAsia="hi-IN" w:bidi="pl-PL"/>
        </w:rPr>
        <w:t>Klauzula informacyjna</w:t>
      </w:r>
    </w:p>
    <w:p>
      <w:pPr>
        <w:pStyle w:val="Normal"/>
        <w:spacing w:lineRule="auto" w:line="240"/>
        <w:ind w:left="0" w:right="0" w:hanging="0"/>
        <w:rPr>
          <w:rFonts w:ascii="Times New Roman" w:hAnsi="Times New Roman" w:eastAsia="Mangal" w:cs="Arial"/>
          <w:b/>
          <w:b/>
          <w:bCs w:val="false"/>
          <w:strike w:val="false"/>
          <w:dstrike w:val="false"/>
          <w:color w:val="000000"/>
          <w:kern w:val="2"/>
          <w:sz w:val="20"/>
          <w:szCs w:val="20"/>
          <w:u w:val="none"/>
          <w:lang w:eastAsia="hi-IN" w:bidi="pl-PL"/>
        </w:rPr>
      </w:pPr>
      <w:r>
        <w:rPr>
          <w:rFonts w:eastAsia="Mangal" w:cs="Arial"/>
          <w:b/>
          <w:bCs w:val="false"/>
          <w:strike w:val="false"/>
          <w:dstrike w:val="false"/>
          <w:color w:val="000000"/>
          <w:kern w:val="2"/>
          <w:sz w:val="20"/>
          <w:szCs w:val="20"/>
          <w:u w:val="none"/>
          <w:lang w:eastAsia="hi-IN" w:bidi="pl-PL"/>
        </w:rPr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W związku z rozpoczęciem obowiązywania z dniem 25 maja 2018 r. Rozporządzenia Parlamentu Europejskiego i Rady (UE) 2016/679 z dnia 27 kwietnia 2016 r. w sprawie ochrony osób fizycznych w związku z przetwarzaniem danych osobowych i w sprawie swobodnego przepływu takich danych oraz uchylenia dyrektywy 95/46/WE (zwanego dalej RODO), na podmioty przetwarzające dane osobowe został między innymi nałożony rozszerzony obowiązek informacyjny wobec osób, których dane są przetwarzane.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Wobec powyższego, informujemy, że:</w:t>
      </w:r>
    </w:p>
    <w:p>
      <w:pPr>
        <w:pStyle w:val="Normal"/>
        <w:spacing w:lineRule="auto" w:line="240"/>
        <w:jc w:val="both"/>
        <w:rPr/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Administratorem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 xml:space="preserve">Państwa danych osobowych jest  </w:t>
      </w:r>
      <w:r>
        <w:rPr>
          <w:rFonts w:eastAsia="Mangal" w:cs="Arial"/>
          <w:b w:val="false"/>
          <w:strike w:val="false"/>
          <w:dstrike w:val="false"/>
          <w:color w:val="000000"/>
          <w:kern w:val="2"/>
          <w:sz w:val="20"/>
          <w:szCs w:val="20"/>
          <w:u w:val="none"/>
          <w:lang w:eastAsia="hi-IN" w:bidi="pl-PL"/>
        </w:rPr>
        <w:t>Państwowy Powiatowy Inspektor Sanitarny w Grodzisku Mazowieckim, ul. Żwirki i Wigury 10, 05-825 Grodzisk Mazowiecki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b w:val="false"/>
          <w:b w:val="false"/>
          <w:strike w:val="false"/>
          <w:dstrike w:val="false"/>
          <w:color w:val="000000"/>
          <w:kern w:val="2"/>
          <w:sz w:val="20"/>
          <w:szCs w:val="20"/>
          <w:u w:val="none"/>
          <w:lang w:eastAsia="hi-IN" w:bidi="pl-PL"/>
        </w:rPr>
      </w:pPr>
      <w:r>
        <w:rPr>
          <w:rFonts w:eastAsia="Mangal" w:cs="Arial"/>
          <w:b w:val="false"/>
          <w:strike w:val="false"/>
          <w:dstrike w:val="false"/>
          <w:color w:val="000000"/>
          <w:kern w:val="2"/>
          <w:sz w:val="20"/>
          <w:szCs w:val="20"/>
          <w:u w:val="none"/>
          <w:lang w:eastAsia="hi-IN" w:bidi="pl-PL"/>
        </w:rPr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Administrator wyznaczył również Inspektora Ochrony Danych, zwanego dalej IOD.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r>
    </w:p>
    <w:p>
      <w:pPr>
        <w:pStyle w:val="Divpoint"/>
        <w:spacing w:lineRule="auto" w:line="240"/>
        <w:jc w:val="both"/>
        <w:rPr/>
      </w:pPr>
      <w:r>
        <w:rPr>
          <w:rFonts w:ascii="Times New Roman" w:hAnsi="Times New Roman"/>
          <w:b/>
          <w:bCs w:val="false"/>
          <w:strike w:val="false"/>
          <w:dstrike w:val="false"/>
          <w:color w:val="000000"/>
          <w:sz w:val="20"/>
          <w:szCs w:val="20"/>
          <w:u w:val="none"/>
        </w:rPr>
        <w:t>Inspektorem Ochrony Danych IOD jest Kamil Tokarski, e-</w:t>
      </w:r>
      <w:r>
        <w:rPr>
          <w:rStyle w:val="Czeinternetowe"/>
          <w:rFonts w:ascii="Times New Roman" w:hAnsi="Times New Roman"/>
          <w:b/>
          <w:bCs/>
          <w:color w:val="000000"/>
          <w:sz w:val="20"/>
          <w:szCs w:val="20"/>
          <w:u w:val="none"/>
        </w:rPr>
        <w:t xml:space="preserve">mail: </w:t>
      </w:r>
      <w:r>
        <w:rPr>
          <w:rStyle w:val="Czeinternetowe"/>
          <w:rFonts w:ascii="Times New Roman" w:hAnsi="Times New Roman"/>
          <w:b/>
          <w:bCs/>
          <w:color w:val="000000"/>
          <w:sz w:val="20"/>
          <w:szCs w:val="20"/>
        </w:rPr>
        <w:t>iod.psse.grodzisk@sanepid.gov.pl</w:t>
      </w:r>
      <w:r>
        <w:rPr>
          <w:rFonts w:ascii="Times New Roman" w:hAnsi="Times New Roman"/>
          <w:b/>
          <w:bCs/>
          <w:strike w:val="false"/>
          <w:dstrike w:val="false"/>
          <w:color w:val="000000"/>
          <w:sz w:val="20"/>
          <w:szCs w:val="20"/>
          <w:u w:val="none"/>
        </w:rPr>
        <w:t xml:space="preserve">, </w:t>
      </w:r>
      <w:r>
        <w:rPr>
          <w:rFonts w:ascii="Times New Roman" w:hAnsi="Times New Roman"/>
          <w:b/>
          <w:bCs w:val="false"/>
          <w:strike w:val="false"/>
          <w:dstrike w:val="false"/>
          <w:color w:val="000000"/>
          <w:sz w:val="20"/>
          <w:szCs w:val="20"/>
          <w:u w:val="none"/>
        </w:rPr>
        <w:t xml:space="preserve"> </w:t>
      </w:r>
      <w:r>
        <w:rPr>
          <w:rFonts w:cs="Calibri" w:ascii="Times New Roman" w:hAnsi="Times New Roman"/>
          <w:b w:val="false"/>
          <w:bCs w:val="false"/>
          <w:strike w:val="false"/>
          <w:dstrike w:val="false"/>
          <w:color w:val="000000"/>
          <w:sz w:val="20"/>
          <w:szCs w:val="20"/>
          <w:u w:val="none"/>
        </w:rPr>
        <w:t>Powiatowa Stacja Sanitarno-Epidemiologiczna w Grodzisku Mazowieckim, ul. Żwirki i Wigury 10, 05-825 Grodzisk Mazowiecki.</w:t>
      </w:r>
    </w:p>
    <w:p>
      <w:pPr>
        <w:pStyle w:val="Divpoint"/>
        <w:spacing w:lineRule="auto" w:line="240"/>
        <w:jc w:val="both"/>
        <w:rPr>
          <w:rFonts w:ascii="Times New Roman" w:hAnsi="Times New Roman" w:cs="Calibri"/>
          <w:b w:val="false"/>
          <w:b w:val="false"/>
          <w:bCs w:val="false"/>
          <w:strike w:val="false"/>
          <w:dstrike w:val="false"/>
          <w:color w:val="000000"/>
          <w:sz w:val="20"/>
          <w:szCs w:val="20"/>
          <w:u w:val="none"/>
        </w:rPr>
      </w:pPr>
      <w:r>
        <w:rPr>
          <w:rFonts w:cs="Calibri" w:ascii="Times New Roman" w:hAnsi="Times New Roman"/>
          <w:b w:val="false"/>
          <w:bCs w:val="false"/>
          <w:strike w:val="false"/>
          <w:dstrike w:val="false"/>
          <w:color w:val="000000"/>
          <w:sz w:val="20"/>
          <w:szCs w:val="20"/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eastAsia="Mangal" w:cs="Arial"/>
          <w:b/>
          <w:strike w:val="false"/>
          <w:dstrike w:val="false"/>
          <w:color w:val="000000"/>
          <w:kern w:val="2"/>
          <w:sz w:val="20"/>
          <w:szCs w:val="20"/>
          <w:u w:val="none"/>
          <w:lang w:val="pl-PL" w:eastAsia="hi-IN" w:bidi="pl-PL"/>
        </w:rPr>
        <w:t xml:space="preserve">Państwa dane </w:t>
      </w:r>
      <w:r>
        <w:rPr>
          <w:rFonts w:eastAsia="Mangal" w:cs="Arial"/>
          <w:b w:val="false"/>
          <w:strike w:val="false"/>
          <w:dstrike w:val="false"/>
          <w:color w:val="000000"/>
          <w:kern w:val="2"/>
          <w:sz w:val="20"/>
          <w:szCs w:val="20"/>
          <w:u w:val="none"/>
          <w:lang w:val="pl-PL" w:eastAsia="hi-IN" w:bidi="pl-PL"/>
        </w:rPr>
        <w:t>pozyskaliśmy bezpośrednio od Państwa lub z innych jednostek administracji państwowej lub obywateli, w wyniku realizacji obowiązków ustawowych.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eastAsia="Mangal" w:cs="Arial"/>
          <w:b w:val="false"/>
          <w:b w:val="false"/>
          <w:strike w:val="false"/>
          <w:dstrike w:val="false"/>
          <w:color w:val="000000"/>
          <w:kern w:val="2"/>
          <w:sz w:val="20"/>
          <w:szCs w:val="20"/>
          <w:u w:val="none"/>
          <w:lang w:val="pl-PL" w:eastAsia="hi-IN" w:bidi="pl-PL"/>
        </w:rPr>
      </w:pPr>
      <w:r>
        <w:rPr>
          <w:rFonts w:eastAsia="Mangal" w:cs="Arial"/>
          <w:b w:val="false"/>
          <w:strike w:val="false"/>
          <w:dstrike w:val="false"/>
          <w:color w:val="000000"/>
          <w:kern w:val="2"/>
          <w:sz w:val="20"/>
          <w:szCs w:val="20"/>
          <w:u w:val="none"/>
          <w:lang w:val="pl-PL" w:eastAsia="hi-IN" w:bidi="pl-PL"/>
        </w:rPr>
      </w:r>
    </w:p>
    <w:p>
      <w:pPr>
        <w:pStyle w:val="Normal"/>
        <w:spacing w:lineRule="auto" w:line="240"/>
        <w:jc w:val="both"/>
        <w:rPr/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Podstawę przetwarzania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Państwa danych stanowią bezpośrednio przepisy prawa, w tym:</w:t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1) ustawa z dnia 14 marca 1985r. o Państwowej Inspekcji Sanitarnej (tekst jednolity Dz. U. z 202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4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 xml:space="preserve">r., poz.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416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),</w:t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2) Kodeks Postępowania Administracyjnego (tekst jednolity Dz. U. z 202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4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 xml:space="preserve">r., poz.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572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);</w:t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3) rozporządzenie (WE) nr 882/2004 Parlamentu Europejskiego i Rady z dnia 29 kwietnia 2004r. w sprawie kontroli urzędowych przeprowadzanych w celu sprawdzenia zgodności z prawem paszowymi żywnościowym oraz regułami dotyczącymi zdrowia zwierząt i dobrostanu zwierząt (Dz. Urz. UE L 139 z dnia 30.04.2004r.);</w:t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highlight w:val="white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highlight w:val="white"/>
          <w:lang w:eastAsia="hi-IN" w:bidi="pl-PL"/>
        </w:rPr>
        <w:t>4) rozporządzenie (WE)  nr 852/2004 Parlamentu Europejskiego i Rady z dnia 29 kwietnia 2004r. w sprawie higieny środków spożywczych (Dz. Urz. UE L 139 z dnia 30.04.2004r.);</w:t>
      </w:r>
    </w:p>
    <w:p>
      <w:pPr>
        <w:pStyle w:val="Normal"/>
        <w:spacing w:lineRule="auto" w:line="240"/>
        <w:jc w:val="both"/>
        <w:rPr/>
      </w:pPr>
      <w:r>
        <w:rPr>
          <w:rFonts w:eastAsia="Mangal" w:cs="Arial"/>
          <w:color w:val="000000"/>
          <w:kern w:val="2"/>
          <w:sz w:val="20"/>
          <w:szCs w:val="20"/>
          <w:highlight w:val="white"/>
          <w:lang w:eastAsia="hi-IN" w:bidi="pl-PL"/>
        </w:rPr>
        <w:t xml:space="preserve">5)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rozporządzenie (WE) Nr 178/2002 Parlamentu Europejskiego i Rady z dnia 28.01.2002r. ustanawiającego ogólne zasady i wymagania prawa żywnościowego, powołującego Europejski Urząd ds. Bezpieczeństwa Żywności i ustanawiającego procedury w zakresie bezpieczeństwa żywności;</w:t>
      </w:r>
    </w:p>
    <w:p>
      <w:pPr>
        <w:pStyle w:val="Normal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6) ustawa z dnia 25 sierpnia 2006r. o bezpieczeństwie żywności i żywienia (tekst jednolity Dz. U. z 2023r., poz. 1448).</w:t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w związku z czym nie jest wymagane pozyskanie odrębnej zgody na przetwarzanie tych danych.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r>
    </w:p>
    <w:p>
      <w:pPr>
        <w:pStyle w:val="Normal"/>
        <w:spacing w:lineRule="auto" w:line="240"/>
        <w:jc w:val="both"/>
        <w:rPr/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Podanie danych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jest niezbędne z powodu i w zakresie wymogów przepisów prawa.</w:t>
      </w:r>
    </w:p>
    <w:p>
      <w:pPr>
        <w:pStyle w:val="Normal"/>
        <w:spacing w:lineRule="auto" w:line="240"/>
        <w:jc w:val="both"/>
        <w:rPr/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Okres przechowywania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Państwa danych ustalają kryteria, wynikające z przepisów prawa.</w:t>
      </w:r>
    </w:p>
    <w:p>
      <w:pPr>
        <w:pStyle w:val="Normal"/>
        <w:spacing w:lineRule="auto" w:line="240"/>
        <w:jc w:val="both"/>
        <w:rPr/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Przekazywanie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danych do państw trzecich nie jest dokonywane.</w:t>
      </w:r>
    </w:p>
    <w:p>
      <w:pPr>
        <w:pStyle w:val="Normal"/>
        <w:spacing w:lineRule="auto" w:line="240"/>
        <w:jc w:val="both"/>
        <w:rPr/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Zautomatyzowane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podejmowanie decyzji, w tym profilowanie nie jest dokonywane.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r>
    </w:p>
    <w:p>
      <w:pPr>
        <w:pStyle w:val="Normal"/>
        <w:spacing w:lineRule="auto" w:line="240"/>
        <w:jc w:val="both"/>
        <w:rPr/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Przysługuje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Państwu prawo do:</w:t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 xml:space="preserve">─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żądania od Administratora dostępu do danych osobowych dotyczących osoby, której dane dotyczą, ich sprostowania, usunięcia lub ograniczenia przetwarzania, wniesienia sprzeciwu wobec przetwarzania, a także przenoszenia danych,</w:t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 xml:space="preserve">─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wniesienia skargi do organu nadzorczego, którym jest Prezes Urzędu Ochrony Danych Osobowych.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r>
    </w:p>
    <w:p>
      <w:pPr>
        <w:pStyle w:val="Normal"/>
        <w:spacing w:lineRule="auto" w:line="240"/>
        <w:jc w:val="both"/>
        <w:rPr/>
      </w:pPr>
      <w:r>
        <w:rPr>
          <w:rFonts w:eastAsia="Mangal" w:cs="Arial"/>
          <w:b/>
          <w:color w:val="000000"/>
          <w:kern w:val="2"/>
          <w:sz w:val="20"/>
          <w:szCs w:val="20"/>
          <w:lang w:eastAsia="hi-IN" w:bidi="pl-PL"/>
        </w:rPr>
        <w:t xml:space="preserve">Administrator stosuje środki </w:t>
      </w: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>fizyczne, techniczne i organizacyjne ochrony przetwarzanych danych osobowych, odpowiednie do zagrożeń oraz kategorii danych objętych ochroną, a w szczególności zabezpiecza dane przed udostępnieniem osobom nieupoważnionym, przetwarzaniem z naruszeniem obowiązujących przepisów oraz zmianą, utratą, uszkodzeniem lub zniszczeniem.</w:t>
      </w:r>
    </w:p>
    <w:p>
      <w:pPr>
        <w:pStyle w:val="Normal"/>
        <w:spacing w:lineRule="auto" w:line="240"/>
        <w:jc w:val="both"/>
        <w:rPr>
          <w:rFonts w:ascii="Times New Roman" w:hAnsi="Times New Roman"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r>
    </w:p>
    <w:p>
      <w:pPr>
        <w:pStyle w:val="Normal"/>
        <w:spacing w:lineRule="auto" w:line="240"/>
        <w:jc w:val="both"/>
        <w:rPr>
          <w:rFonts w:eastAsia="Mangal" w:cs="Arial"/>
          <w:color w:val="000000"/>
          <w:kern w:val="2"/>
          <w:sz w:val="20"/>
          <w:szCs w:val="20"/>
          <w:lang w:eastAsia="hi-IN" w:bidi="pl-PL"/>
        </w:rPr>
      </w:pPr>
      <w:r>
        <w:rPr>
          <w:rFonts w:eastAsia="Mangal" w:cs="Arial"/>
          <w:color w:val="000000"/>
          <w:kern w:val="2"/>
          <w:sz w:val="20"/>
          <w:szCs w:val="20"/>
          <w:lang w:eastAsia="hi-IN" w:bidi="pl-PL"/>
        </w:rPr>
        <w:t xml:space="preserve">Kontakt w sprawach związanych z RODO: </w:t>
      </w:r>
    </w:p>
    <w:p>
      <w:pPr>
        <w:pStyle w:val="Normal"/>
        <w:widowControl w:val="false"/>
        <w:tabs>
          <w:tab w:val="left" w:pos="8520" w:leader="none"/>
        </w:tabs>
        <w:spacing w:lineRule="auto" w:line="240"/>
        <w:ind w:left="0" w:right="0" w:hanging="0"/>
        <w:jc w:val="both"/>
        <w:rPr/>
      </w:pPr>
      <w:r>
        <w:rPr>
          <w:rFonts w:eastAsia="Helvetica" w:cs="Arial"/>
          <w:b/>
          <w:bCs/>
          <w:strike w:val="false"/>
          <w:dstrike w:val="false"/>
          <w:color w:val="000000"/>
          <w:kern w:val="2"/>
          <w:sz w:val="20"/>
          <w:szCs w:val="20"/>
          <w:u w:val="none"/>
          <w:lang w:val="zxx" w:eastAsia="hi-IN" w:bidi="hi-IN"/>
        </w:rPr>
        <w:t>iod.psse.grodzisk@sanepid.gov.pl</w:t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rStyle w:val="Znakiprzypiswdolnych"/>
        </w:rPr>
        <w:tab/>
        <w:tab/>
        <w:tab/>
        <w:tab/>
        <w:tab/>
        <w:tab/>
        <w:tab/>
        <w:tab/>
        <w:tab/>
      </w:r>
      <w:r>
        <w:rPr>
          <w:rStyle w:val="FootnoteCharacters"/>
        </w:rPr>
        <w:tab/>
        <w:tab/>
      </w:r>
      <w:r>
        <w:rPr>
          <w:sz w:val="20"/>
          <w:szCs w:val="20"/>
        </w:rPr>
        <w:t xml:space="preserve"> Niepotrzebne skreślić.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rFonts w:cs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8"/>
        </w:tabs>
        <w:ind w:left="1080" w:hanging="360"/>
      </w:pPr>
      <w:rPr>
        <w:sz w:val="20"/>
        <w:szCs w:val="22"/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footnotePr>
    <w:numFmt w:val="decimal"/>
    <w:footnote w:id="0"/>
    <w:footnote w:id="1"/>
  </w:footnotePr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l-PL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paragraph" w:styleId="Nagwek3">
    <w:name w:val="Heading 3"/>
    <w:basedOn w:val="Nagwek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locked/>
    <w:rPr>
      <w:rFonts w:ascii="Times New Roman" w:hAnsi="Times New Roman" w:cs="Times New Roman"/>
      <w:sz w:val="20"/>
      <w:szCs w:val="20"/>
      <w:lang w:eastAsia="pl-PL"/>
    </w:rPr>
  </w:style>
  <w:style w:type="character" w:styleId="Zakotwiczenieprzypisudolnego" w:customStyle="1">
    <w:name w:val="Zakotwiczenie przypisu dolnego"/>
    <w:uiPriority w:val="99"/>
    <w:rsid w:val="006d7698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qFormat/>
    <w:rPr>
      <w:rFonts w:cs="Times New Roman"/>
      <w:vertAlign w:val="superscript"/>
    </w:rPr>
  </w:style>
  <w:style w:type="character" w:styleId="Znakiprzypiswdolnych" w:customStyle="1">
    <w:name w:val="Znaki przypisów dolnych"/>
    <w:uiPriority w:val="99"/>
    <w:qFormat/>
    <w:rsid w:val="006d7698"/>
    <w:rPr/>
  </w:style>
  <w:style w:type="character" w:styleId="Zakotwiczenieprzypisukocowego" w:customStyle="1">
    <w:name w:val="Zakotwiczenie przypisu końcowego"/>
    <w:uiPriority w:val="99"/>
    <w:rsid w:val="006d7698"/>
    <w:rPr>
      <w:vertAlign w:val="superscript"/>
    </w:rPr>
  </w:style>
  <w:style w:type="character" w:styleId="Znakiprzypiswkocowych" w:customStyle="1">
    <w:name w:val="Znaki przypisów końcowych"/>
    <w:uiPriority w:val="99"/>
    <w:qFormat/>
    <w:rsid w:val="006d7698"/>
    <w:rPr/>
  </w:style>
  <w:style w:type="character" w:styleId="ListLabel1" w:customStyle="1">
    <w:name w:val="ListLabel 1"/>
    <w:uiPriority w:val="99"/>
    <w:qFormat/>
    <w:rsid w:val="006d7698"/>
    <w:rPr/>
  </w:style>
  <w:style w:type="character" w:styleId="ListLabel2" w:customStyle="1">
    <w:name w:val="ListLabel 2"/>
    <w:uiPriority w:val="99"/>
    <w:qFormat/>
    <w:rsid w:val="006d7698"/>
    <w:rPr/>
  </w:style>
  <w:style w:type="character" w:styleId="ListLabel3" w:customStyle="1">
    <w:name w:val="ListLabel 3"/>
    <w:uiPriority w:val="99"/>
    <w:qFormat/>
    <w:rsid w:val="006d7698"/>
    <w:rPr/>
  </w:style>
  <w:style w:type="character" w:styleId="ListLabel4" w:customStyle="1">
    <w:name w:val="ListLabel 4"/>
    <w:uiPriority w:val="99"/>
    <w:qFormat/>
    <w:rsid w:val="006d7698"/>
    <w:rPr/>
  </w:style>
  <w:style w:type="character" w:styleId="ListLabel5" w:customStyle="1">
    <w:name w:val="ListLabel 5"/>
    <w:uiPriority w:val="99"/>
    <w:qFormat/>
    <w:rsid w:val="006d7698"/>
    <w:rPr/>
  </w:style>
  <w:style w:type="character" w:styleId="ListLabel6" w:customStyle="1">
    <w:name w:val="ListLabel 6"/>
    <w:uiPriority w:val="99"/>
    <w:qFormat/>
    <w:rsid w:val="006d7698"/>
    <w:rPr/>
  </w:style>
  <w:style w:type="character" w:styleId="ListLabel7" w:customStyle="1">
    <w:name w:val="ListLabel 7"/>
    <w:uiPriority w:val="99"/>
    <w:qFormat/>
    <w:rsid w:val="006d7698"/>
    <w:rPr/>
  </w:style>
  <w:style w:type="character" w:styleId="ListLabel8" w:customStyle="1">
    <w:name w:val="ListLabel 8"/>
    <w:uiPriority w:val="99"/>
    <w:qFormat/>
    <w:rsid w:val="006d7698"/>
    <w:rPr/>
  </w:style>
  <w:style w:type="character" w:styleId="ListLabel9" w:customStyle="1">
    <w:name w:val="ListLabel 9"/>
    <w:uiPriority w:val="99"/>
    <w:qFormat/>
    <w:rsid w:val="006d7698"/>
    <w:rPr/>
  </w:style>
  <w:style w:type="character" w:styleId="ListLabel10" w:customStyle="1">
    <w:name w:val="ListLabel 10"/>
    <w:uiPriority w:val="99"/>
    <w:qFormat/>
    <w:rsid w:val="006d7698"/>
    <w:rPr/>
  </w:style>
  <w:style w:type="character" w:styleId="ListLabel11" w:customStyle="1">
    <w:name w:val="ListLabel 11"/>
    <w:uiPriority w:val="99"/>
    <w:qFormat/>
    <w:rsid w:val="006d7698"/>
    <w:rPr/>
  </w:style>
  <w:style w:type="character" w:styleId="WW8Num1z0" w:customStyle="1">
    <w:name w:val="WW8Num1z0"/>
    <w:uiPriority w:val="99"/>
    <w:qFormat/>
    <w:rsid w:val="006d7698"/>
    <w:rPr>
      <w:sz w:val="22"/>
    </w:rPr>
  </w:style>
  <w:style w:type="character" w:styleId="ListLabel12" w:customStyle="1">
    <w:name w:val="ListLabel 12"/>
    <w:uiPriority w:val="99"/>
    <w:qFormat/>
    <w:rsid w:val="006d7698"/>
    <w:rPr/>
  </w:style>
  <w:style w:type="character" w:styleId="ListLabel13" w:customStyle="1">
    <w:name w:val="ListLabel 13"/>
    <w:uiPriority w:val="99"/>
    <w:qFormat/>
    <w:rsid w:val="006d7698"/>
    <w:rPr/>
  </w:style>
  <w:style w:type="character" w:styleId="ListLabel14" w:customStyle="1">
    <w:name w:val="ListLabel 14"/>
    <w:uiPriority w:val="99"/>
    <w:qFormat/>
    <w:rsid w:val="006d7698"/>
    <w:rPr>
      <w:sz w:val="22"/>
    </w:rPr>
  </w:style>
  <w:style w:type="character" w:styleId="ListLabel15" w:customStyle="1">
    <w:name w:val="ListLabel 15"/>
    <w:uiPriority w:val="99"/>
    <w:qFormat/>
    <w:rsid w:val="006d7698"/>
    <w:rPr/>
  </w:style>
  <w:style w:type="character" w:styleId="ListLabel16" w:customStyle="1">
    <w:name w:val="ListLabel 16"/>
    <w:uiPriority w:val="99"/>
    <w:qFormat/>
    <w:rsid w:val="006d7698"/>
    <w:rPr/>
  </w:style>
  <w:style w:type="character" w:styleId="ListLabel17" w:customStyle="1">
    <w:name w:val="ListLabel 17"/>
    <w:uiPriority w:val="99"/>
    <w:qFormat/>
    <w:rsid w:val="006d7698"/>
    <w:rPr>
      <w:sz w:val="22"/>
    </w:rPr>
  </w:style>
  <w:style w:type="character" w:styleId="Czeinternetowe" w:customStyle="1">
    <w:name w:val="Łącze internetowe"/>
    <w:uiPriority w:val="99"/>
    <w:rsid w:val="006d7698"/>
    <w:rPr>
      <w:color w:val="000080"/>
      <w:u w:val="single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077c45"/>
    <w:rPr>
      <w:rFonts w:ascii="Times New Roman" w:hAnsi="Times New Roman" w:eastAsia="Times New Roman" w:cs="Times New Roman"/>
      <w:color w:val="00000A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077c45"/>
    <w:rPr>
      <w:rFonts w:ascii="Times New Roman" w:hAnsi="Times New Roman" w:eastAsia="Times New Roman" w:cs="Times New Roman"/>
      <w:color w:val="00000A"/>
      <w:sz w:val="24"/>
      <w:szCs w:val="24"/>
    </w:rPr>
  </w:style>
  <w:style w:type="character" w:styleId="FootnoteTextChar1" w:customStyle="1">
    <w:name w:val="Footnote Text Char1"/>
    <w:basedOn w:val="DefaultParagraphFont"/>
    <w:link w:val="FootnoteText"/>
    <w:uiPriority w:val="99"/>
    <w:semiHidden/>
    <w:qFormat/>
    <w:rsid w:val="00077c45"/>
    <w:rPr>
      <w:rFonts w:ascii="Times New Roman" w:hAnsi="Times New Roman" w:eastAsia="Times New Roman" w:cs="Times New Roman"/>
      <w:color w:val="00000A"/>
      <w:sz w:val="20"/>
      <w:szCs w:val="20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Arial"/>
      <w:sz w:val="20"/>
      <w:szCs w:val="22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ascii="Times New Roman" w:hAnsi="Times New Roman"/>
      <w:sz w:val="21"/>
      <w:szCs w:val="21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Arial"/>
      <w:sz w:val="20"/>
      <w:szCs w:val="22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ascii="Times New Roman" w:hAnsi="Times New Roman"/>
      <w:sz w:val="21"/>
      <w:szCs w:val="21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Arial"/>
      <w:sz w:val="20"/>
      <w:szCs w:val="22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ascii="Times New Roman" w:hAnsi="Times New Roman"/>
      <w:sz w:val="21"/>
      <w:szCs w:val="21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Arial"/>
      <w:sz w:val="20"/>
      <w:szCs w:val="22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ascii="Times New Roman" w:hAnsi="Times New Roman"/>
      <w:sz w:val="21"/>
      <w:szCs w:val="21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Arial"/>
      <w:sz w:val="20"/>
      <w:szCs w:val="22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ascii="Times New Roman" w:hAnsi="Times New Roman"/>
      <w:sz w:val="20"/>
      <w:szCs w:val="20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Arial"/>
      <w:sz w:val="20"/>
      <w:szCs w:val="22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ascii="Times New Roman" w:hAnsi="Times New Roman"/>
      <w:sz w:val="20"/>
      <w:szCs w:val="20"/>
    </w:rPr>
  </w:style>
  <w:style w:type="character" w:styleId="FooterChar1">
    <w:name w:val="Footer Char1"/>
    <w:basedOn w:val="DefaultParagraphFont"/>
    <w:qFormat/>
    <w:rPr>
      <w:rFonts w:ascii="Times New Roman" w:hAnsi="Times New Roman" w:eastAsia="Times New Roman" w:cs="Times New Roman"/>
      <w:color w:val="00000A"/>
      <w:sz w:val="24"/>
      <w:szCs w:val="24"/>
    </w:rPr>
  </w:style>
  <w:style w:type="character" w:styleId="HeaderChar1">
    <w:name w:val="Header Char1"/>
    <w:basedOn w:val="DefaultParagraphFont"/>
    <w:qFormat/>
    <w:rPr>
      <w:rFonts w:ascii="Times New Roman" w:hAnsi="Times New Roman" w:eastAsia="Times New Roman" w:cs="Times New Roman"/>
      <w:color w:val="00000A"/>
      <w:sz w:val="24"/>
      <w:szCs w:val="24"/>
    </w:rPr>
  </w:style>
  <w:style w:type="character" w:styleId="FooterChar">
    <w:name w:val="Footer Char"/>
    <w:basedOn w:val="DefaultParagraphFont"/>
    <w:qFormat/>
    <w:rPr>
      <w:rFonts w:ascii="Times New Roman" w:hAnsi="Times New Roman" w:cs="Times New Roman"/>
      <w:sz w:val="24"/>
      <w:szCs w:val="24"/>
      <w:lang w:eastAsia="pl-PL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Arial"/>
      <w:sz w:val="20"/>
      <w:szCs w:val="22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3">
    <w:name w:val="ListLabel 153"/>
    <w:qFormat/>
    <w:rPr>
      <w:rFonts w:cs="Times New Roman"/>
    </w:rPr>
  </w:style>
  <w:style w:type="character" w:styleId="ListLabel154">
    <w:name w:val="ListLabel 154"/>
    <w:qFormat/>
    <w:rPr>
      <w:rFonts w:cs="Times New Roman"/>
    </w:rPr>
  </w:style>
  <w:style w:type="character" w:styleId="ListLabel155">
    <w:name w:val="ListLabel 155"/>
    <w:qFormat/>
    <w:rPr>
      <w:rFonts w:cs="Times New Roman"/>
    </w:rPr>
  </w:style>
  <w:style w:type="character" w:styleId="ListLabel156">
    <w:name w:val="ListLabel 156"/>
    <w:qFormat/>
    <w:rPr>
      <w:rFonts w:cs="Times New Roman"/>
    </w:rPr>
  </w:style>
  <w:style w:type="character" w:styleId="ListLabel157">
    <w:name w:val="ListLabel 157"/>
    <w:qFormat/>
    <w:rPr>
      <w:rFonts w:cs="Times New Roman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2">
    <w:name w:val="ListLabel 162"/>
    <w:qFormat/>
    <w:rPr>
      <w:rFonts w:cs="Times New Roman"/>
    </w:rPr>
  </w:style>
  <w:style w:type="character" w:styleId="ListLabel163">
    <w:name w:val="ListLabel 163"/>
    <w:qFormat/>
    <w:rPr>
      <w:rFonts w:cs="Times New Roman"/>
    </w:rPr>
  </w:style>
  <w:style w:type="character" w:styleId="ListLabel164">
    <w:name w:val="ListLabel 164"/>
    <w:qFormat/>
    <w:rPr>
      <w:rFonts w:cs="Times New Roman"/>
    </w:rPr>
  </w:style>
  <w:style w:type="character" w:styleId="ListLabel165">
    <w:name w:val="ListLabel 165"/>
    <w:qFormat/>
    <w:rPr>
      <w:rFonts w:cs="Times New Roman"/>
    </w:rPr>
  </w:style>
  <w:style w:type="character" w:styleId="ListLabel166">
    <w:name w:val="ListLabel 166"/>
    <w:qFormat/>
    <w:rPr>
      <w:rFonts w:cs="Arial"/>
      <w:sz w:val="20"/>
      <w:szCs w:val="22"/>
    </w:rPr>
  </w:style>
  <w:style w:type="character" w:styleId="ListLabel167">
    <w:name w:val="ListLabel 167"/>
    <w:qFormat/>
    <w:rPr>
      <w:rFonts w:cs="Times New Roman"/>
    </w:rPr>
  </w:style>
  <w:style w:type="character" w:styleId="ListLabel168">
    <w:name w:val="ListLabel 168"/>
    <w:qFormat/>
    <w:rPr>
      <w:rFonts w:cs="Times New Roman"/>
    </w:rPr>
  </w:style>
  <w:style w:type="character" w:styleId="ListLabel169">
    <w:name w:val="ListLabel 169"/>
    <w:qFormat/>
    <w:rPr>
      <w:rFonts w:cs="Times New Roman"/>
    </w:rPr>
  </w:style>
  <w:style w:type="character" w:styleId="ListLabel170">
    <w:name w:val="ListLabel 170"/>
    <w:qFormat/>
    <w:rPr>
      <w:rFonts w:cs="Times New Roman"/>
    </w:rPr>
  </w:style>
  <w:style w:type="character" w:styleId="ListLabel171">
    <w:name w:val="ListLabel 171"/>
    <w:qFormat/>
    <w:rPr>
      <w:rFonts w:cs="Times New Roman"/>
    </w:rPr>
  </w:style>
  <w:style w:type="character" w:styleId="ListLabel172">
    <w:name w:val="ListLabel 172"/>
    <w:qFormat/>
    <w:rPr>
      <w:rFonts w:cs="Times New Roman"/>
    </w:rPr>
  </w:style>
  <w:style w:type="character" w:styleId="ListLabel173">
    <w:name w:val="ListLabel 173"/>
    <w:qFormat/>
    <w:rPr>
      <w:rFonts w:cs="Times New Roman"/>
    </w:rPr>
  </w:style>
  <w:style w:type="character" w:styleId="ListLabel174">
    <w:name w:val="ListLabel 174"/>
    <w:qFormat/>
    <w:rPr>
      <w:rFonts w:cs="Times New Roman"/>
    </w:rPr>
  </w:style>
  <w:style w:type="character" w:styleId="ListLabel175">
    <w:name w:val="ListLabel 175"/>
    <w:qFormat/>
    <w:rPr>
      <w:rFonts w:cs="Times New Roman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Times New Roman"/>
    </w:rPr>
  </w:style>
  <w:style w:type="character" w:styleId="ListLabel179">
    <w:name w:val="ListLabel 179"/>
    <w:qFormat/>
    <w:rPr>
      <w:rFonts w:cs="Times New Roman"/>
    </w:rPr>
  </w:style>
  <w:style w:type="character" w:styleId="ListLabel180">
    <w:name w:val="ListLabel 180"/>
    <w:qFormat/>
    <w:rPr>
      <w:rFonts w:cs="Times New Roman"/>
    </w:rPr>
  </w:style>
  <w:style w:type="character" w:styleId="ListLabel181">
    <w:name w:val="ListLabel 181"/>
    <w:qFormat/>
    <w:rPr>
      <w:rFonts w:cs="Times New Roman"/>
    </w:rPr>
  </w:style>
  <w:style w:type="character" w:styleId="ListLabel182">
    <w:name w:val="ListLabel 182"/>
    <w:qFormat/>
    <w:rPr>
      <w:rFonts w:cs="Times New Roman"/>
    </w:rPr>
  </w:style>
  <w:style w:type="character" w:styleId="ListLabel183">
    <w:name w:val="ListLabel 183"/>
    <w:qFormat/>
    <w:rPr>
      <w:rFonts w:cs="Times New Roman"/>
    </w:rPr>
  </w:style>
  <w:style w:type="character" w:styleId="ListLabel184">
    <w:name w:val="ListLabel 184"/>
    <w:qFormat/>
    <w:rPr>
      <w:rFonts w:cs="Arial"/>
      <w:sz w:val="20"/>
      <w:szCs w:val="22"/>
    </w:rPr>
  </w:style>
  <w:style w:type="character" w:styleId="ListLabel185">
    <w:name w:val="ListLabel 185"/>
    <w:qFormat/>
    <w:rPr>
      <w:rFonts w:cs="Times New Roman"/>
    </w:rPr>
  </w:style>
  <w:style w:type="character" w:styleId="ListLabel186">
    <w:name w:val="ListLabel 186"/>
    <w:qFormat/>
    <w:rPr>
      <w:rFonts w:cs="Times New Roman"/>
    </w:rPr>
  </w:style>
  <w:style w:type="character" w:styleId="ListLabel187">
    <w:name w:val="ListLabel 187"/>
    <w:qFormat/>
    <w:rPr>
      <w:rFonts w:cs="Times New Roman"/>
    </w:rPr>
  </w:style>
  <w:style w:type="character" w:styleId="ListLabel188">
    <w:name w:val="ListLabel 188"/>
    <w:qFormat/>
    <w:rPr>
      <w:rFonts w:cs="Times New Roman"/>
    </w:rPr>
  </w:style>
  <w:style w:type="character" w:styleId="ListLabel189">
    <w:name w:val="ListLabel 189"/>
    <w:qFormat/>
    <w:rPr>
      <w:rFonts w:cs="Times New Roman"/>
    </w:rPr>
  </w:style>
  <w:style w:type="character" w:styleId="ListLabel190">
    <w:name w:val="ListLabel 190"/>
    <w:qFormat/>
    <w:rPr>
      <w:rFonts w:cs="Times New Roman"/>
    </w:rPr>
  </w:style>
  <w:style w:type="character" w:styleId="ListLabel191">
    <w:name w:val="ListLabel 191"/>
    <w:qFormat/>
    <w:rPr>
      <w:rFonts w:cs="Times New Roman"/>
    </w:rPr>
  </w:style>
  <w:style w:type="character" w:styleId="ListLabel192">
    <w:name w:val="ListLabel 192"/>
    <w:qFormat/>
    <w:rPr>
      <w:rFonts w:cs="Times New Roman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Mocnowyrniony">
    <w:name w:val="Mocno wyróżniony"/>
    <w:qFormat/>
    <w:rPr>
      <w:b/>
      <w:bCs/>
    </w:rPr>
  </w:style>
  <w:style w:type="character" w:styleId="Domylnaczcionkaakapitu">
    <w:name w:val="Domyślna czcionka akapitu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Symbolewypunktowania">
    <w:name w:val="Symbole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Znakinumeracji">
    <w:name w:val="Znaki numeracji"/>
    <w:qFormat/>
    <w:rPr>
      <w:sz w:val="20"/>
      <w:szCs w:val="20"/>
    </w:rPr>
  </w:style>
  <w:style w:type="character" w:styleId="ZnakZnak">
    <w:name w:val=" Znak Znak"/>
    <w:qFormat/>
    <w:rPr>
      <w:rFonts w:ascii="Courier New" w:hAnsi="Courier New" w:eastAsia="Times New Roman" w:cs="Courier New"/>
    </w:rPr>
  </w:style>
  <w:style w:type="character" w:styleId="ZnakZnak1">
    <w:name w:val=" Znak Znak1"/>
    <w:basedOn w:val="Domylnaczcionkaakapitu1"/>
    <w:qFormat/>
    <w:rPr/>
  </w:style>
  <w:style w:type="character" w:styleId="ZnakZnak2">
    <w:name w:val=" Znak Znak2"/>
    <w:basedOn w:val="Domylnaczcionkaakapitu1"/>
    <w:qFormat/>
    <w:rPr/>
  </w:style>
  <w:style w:type="character" w:styleId="Domylnaczcionkaakapitu1">
    <w:name w:val="Domyślna czcionka akapitu1"/>
    <w:qFormat/>
    <w:rPr/>
  </w:style>
  <w:style w:type="character" w:styleId="Domylnaczcionkaakapitu2">
    <w:name w:val="Domyślna czcionka akapitu2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>
      <w:sz w:val="24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cs="Times New Roman"/>
      <w:i/>
      <w:sz w:val="24"/>
      <w:szCs w:val="24"/>
      <w:lang w:eastAsia="pl-PL"/>
    </w:rPr>
  </w:style>
  <w:style w:type="character" w:styleId="ListLabel193">
    <w:name w:val="ListLabel 193"/>
    <w:qFormat/>
    <w:rPr>
      <w:rFonts w:cs="Times New Roman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Times New Roman"/>
    </w:rPr>
  </w:style>
  <w:style w:type="character" w:styleId="ListLabel197">
    <w:name w:val="ListLabel 197"/>
    <w:qFormat/>
    <w:rPr>
      <w:rFonts w:cs="Times New Roman"/>
    </w:rPr>
  </w:style>
  <w:style w:type="character" w:styleId="ListLabel198">
    <w:name w:val="ListLabel 198"/>
    <w:qFormat/>
    <w:rPr>
      <w:rFonts w:cs="Times New Roman"/>
    </w:rPr>
  </w:style>
  <w:style w:type="character" w:styleId="ListLabel199">
    <w:name w:val="ListLabel 199"/>
    <w:qFormat/>
    <w:rPr>
      <w:rFonts w:cs="Times New Roman"/>
    </w:rPr>
  </w:style>
  <w:style w:type="character" w:styleId="ListLabel200">
    <w:name w:val="ListLabel 200"/>
    <w:qFormat/>
    <w:rPr>
      <w:rFonts w:cs="Times New Roman"/>
    </w:rPr>
  </w:style>
  <w:style w:type="character" w:styleId="ListLabel201">
    <w:name w:val="ListLabel 201"/>
    <w:qFormat/>
    <w:rPr>
      <w:rFonts w:cs="Times New Roman"/>
    </w:rPr>
  </w:style>
  <w:style w:type="character" w:styleId="ListLabel202">
    <w:name w:val="ListLabel 202"/>
    <w:qFormat/>
    <w:rPr>
      <w:rFonts w:cs="Arial"/>
      <w:sz w:val="20"/>
      <w:szCs w:val="22"/>
    </w:rPr>
  </w:style>
  <w:style w:type="character" w:styleId="ListLabel203">
    <w:name w:val="ListLabel 203"/>
    <w:qFormat/>
    <w:rPr>
      <w:rFonts w:cs="Times New Roman"/>
    </w:rPr>
  </w:style>
  <w:style w:type="character" w:styleId="ListLabel204">
    <w:name w:val="ListLabel 204"/>
    <w:qFormat/>
    <w:rPr>
      <w:rFonts w:cs="Times New Roman"/>
    </w:rPr>
  </w:style>
  <w:style w:type="character" w:styleId="ListLabel205">
    <w:name w:val="ListLabel 205"/>
    <w:qFormat/>
    <w:rPr>
      <w:rFonts w:cs="Times New Roman"/>
    </w:rPr>
  </w:style>
  <w:style w:type="character" w:styleId="ListLabel206">
    <w:name w:val="ListLabel 206"/>
    <w:qFormat/>
    <w:rPr>
      <w:rFonts w:cs="Times New Roman"/>
    </w:rPr>
  </w:style>
  <w:style w:type="character" w:styleId="ListLabel207">
    <w:name w:val="ListLabel 207"/>
    <w:qFormat/>
    <w:rPr>
      <w:rFonts w:cs="Times New Roman"/>
    </w:rPr>
  </w:style>
  <w:style w:type="character" w:styleId="ListLabel208">
    <w:name w:val="ListLabel 208"/>
    <w:qFormat/>
    <w:rPr>
      <w:rFonts w:cs="Times New Roman"/>
    </w:rPr>
  </w:style>
  <w:style w:type="character" w:styleId="ListLabel209">
    <w:name w:val="ListLabel 209"/>
    <w:qFormat/>
    <w:rPr>
      <w:rFonts w:cs="Times New Roman"/>
    </w:rPr>
  </w:style>
  <w:style w:type="character" w:styleId="ListLabel210">
    <w:name w:val="ListLabel 210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BodyTextChar"/>
    <w:uiPriority w:val="99"/>
    <w:rsid w:val="006d7698"/>
    <w:pPr>
      <w:spacing w:lineRule="auto" w:line="288" w:before="0" w:after="140"/>
    </w:pPr>
    <w:rPr/>
  </w:style>
  <w:style w:type="paragraph" w:styleId="Lista">
    <w:name w:val="List"/>
    <w:basedOn w:val="Tretekstu"/>
    <w:uiPriority w:val="99"/>
    <w:rsid w:val="006d7698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uiPriority w:val="99"/>
    <w:qFormat/>
    <w:rsid w:val="006d7698"/>
    <w:pPr>
      <w:suppressLineNumbers/>
    </w:pPr>
    <w:rPr>
      <w:rFonts w:cs="Mangal"/>
    </w:rPr>
  </w:style>
  <w:style w:type="paragraph" w:styleId="Gwka">
    <w:name w:val="Header"/>
    <w:basedOn w:val="Normal"/>
    <w:link w:val="HeaderChar"/>
    <w:uiPriority w:val="99"/>
    <w:rsid w:val="006d7698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uiPriority w:val="99"/>
    <w:qFormat/>
    <w:rsid w:val="006d7698"/>
    <w:pPr>
      <w:suppressLineNumbers/>
      <w:spacing w:before="120" w:after="120"/>
    </w:pPr>
    <w:rPr>
      <w:rFonts w:cs="Mangal"/>
      <w:i/>
      <w:iCs/>
    </w:rPr>
  </w:style>
  <w:style w:type="paragraph" w:styleId="Przypisdolny">
    <w:name w:val="Footnote Text"/>
    <w:basedOn w:val="Normal"/>
    <w:link w:val="FootnoteTextChar"/>
    <w:uiPriority w:val="99"/>
    <w:semiHidden/>
    <w:pPr/>
    <w:rPr/>
  </w:style>
  <w:style w:type="paragraph" w:styleId="Divpoint" w:customStyle="1">
    <w:name w:val="div.point"/>
    <w:next w:val="Normal"/>
    <w:uiPriority w:val="99"/>
    <w:qFormat/>
    <w:rsid w:val="006d7698"/>
    <w:pPr>
      <w:widowControl w:val="false"/>
      <w:kinsoku w:val="true"/>
      <w:overflowPunct w:val="true"/>
      <w:autoSpaceDE w:val="true"/>
      <w:bidi w:val="0"/>
      <w:spacing w:lineRule="atLeast" w:line="40"/>
      <w:jc w:val="left"/>
    </w:pPr>
    <w:rPr>
      <w:rFonts w:ascii="Helvetica" w:hAnsi="Helvetica" w:eastAsia="Calibri" w:cs="Helvetica"/>
      <w:color w:val="000000"/>
      <w:kern w:val="0"/>
      <w:sz w:val="18"/>
      <w:szCs w:val="18"/>
      <w:lang w:val="pl-PL" w:eastAsia="en-US" w:bidi="ar-SA"/>
    </w:rPr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Default">
    <w:name w:val="Default"/>
    <w:qFormat/>
    <w:pPr>
      <w:widowControl/>
      <w:suppressAutoHyphens w:val="true"/>
      <w:kinsoku w:val="true"/>
      <w:overflowPunct w:val="false"/>
      <w:autoSpaceDE w:val="true"/>
      <w:bidi w:val="0"/>
      <w:jc w:val="left"/>
    </w:pPr>
    <w:rPr>
      <w:rFonts w:ascii="Times New Roman" w:hAnsi="Times New Roman" w:eastAsia="Calibri" w:cs="Times New Roman"/>
      <w:color w:val="000000"/>
      <w:kern w:val="2"/>
      <w:sz w:val="24"/>
      <w:szCs w:val="24"/>
      <w:lang w:val="pl-PL" w:eastAsia="zh-CN" w:bidi="ar-SA"/>
    </w:rPr>
  </w:style>
  <w:style w:type="paragraph" w:styleId="HTMLPreformatted">
    <w:name w:val="HTML Preformatted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NoSpacing">
    <w:name w:val="No Spacing"/>
    <w:qFormat/>
    <w:pPr>
      <w:widowControl/>
      <w:suppressAutoHyphens w:val="true"/>
      <w:kinsoku w:val="true"/>
      <w:overflowPunct w:val="false"/>
      <w:autoSpaceDE w:val="true"/>
      <w:bidi w:val="0"/>
      <w:jc w:val="left"/>
    </w:pPr>
    <w:rPr>
      <w:rFonts w:ascii="Calibri" w:hAnsi="Calibri" w:eastAsia="Calibri" w:cs="Calibri"/>
      <w:color w:val="auto"/>
      <w:kern w:val="2"/>
      <w:sz w:val="22"/>
      <w:szCs w:val="22"/>
      <w:lang w:val="pl-PL" w:eastAsia="zh-CN" w:bidi="ar-SA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agwek2">
    <w:name w:val="Nagłówek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Application>LibreOffice/6.0.5.2$Windows_X86_64 LibreOffice_project/54c8cbb85f300ac59db32fe8a675ff7683cd5a16</Application>
  <Pages>4</Pages>
  <Words>1282</Words>
  <Characters>9036</Characters>
  <CharactersWithSpaces>10239</CharactersWithSpaces>
  <Paragraphs>79</Paragraphs>
  <Company>Acer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2016-01-03T14:13:00Z</dcterms:created>
  <dc:creator>ANIA</dc:creator>
  <dc:description/>
  <dc:language>pl-PL</dc:language>
  <cp:lastModifiedBy/>
  <dcterms:modified xsi:type="dcterms:W3CDTF">2024-05-07T14:05:56Z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