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7C903E38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 xml:space="preserve">URZĘDZIE SKARBOWYM W </w:t>
      </w:r>
      <w:r w:rsidR="00B84843">
        <w:t>LUBACZOWIE</w:t>
      </w:r>
    </w:p>
    <w:p w14:paraId="3CAA534D" w14:textId="102DE0C5" w:rsidR="007017A2" w:rsidRPr="007017A2" w:rsidRDefault="00C55247" w:rsidP="007017A2">
      <w:pPr>
        <w:rPr>
          <w:rStyle w:val="Ppogrubienie"/>
          <w:lang w:eastAsia="en-US"/>
        </w:rPr>
      </w:pPr>
      <w:r>
        <w:rPr>
          <w:rStyle w:val="Ppogrubienie"/>
        </w:rPr>
        <w:t>1. </w:t>
      </w:r>
      <w:r w:rsidR="007017A2" w:rsidRPr="007017A2">
        <w:rPr>
          <w:rStyle w:val="Ppogrubienie"/>
          <w:lang w:eastAsia="en-US"/>
        </w:rPr>
        <w:t xml:space="preserve">Zadania koordynatorów/konsultantów 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 Krajowym Systemem e-Faktur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628A2BA9" w:rsidR="007C0389" w:rsidRPr="007C0389" w:rsidRDefault="00C55247" w:rsidP="007C0389">
      <w:pPr>
        <w:rPr>
          <w:rStyle w:val="Ppogrubienie"/>
        </w:rPr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</w:p>
    <w:p w14:paraId="16C8ACA8" w14:textId="239E4170" w:rsidR="007C0389" w:rsidRDefault="007C0389" w:rsidP="007C0389">
      <w:pPr>
        <w:pStyle w:val="CZWSPPKTczwsplnapunktw"/>
      </w:pPr>
      <w:r w:rsidRPr="007C0389">
        <w:t>Konsultant do spraw klasyfikacji na potrzeby podatku od towarów i usług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2AE9C7CF" w:rsidR="00DA655A" w:rsidRPr="00DA655A" w:rsidRDefault="00FC36DC" w:rsidP="00DA655A">
      <w:pPr>
        <w:pStyle w:val="PKTpunkt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499D" w14:textId="77777777" w:rsidR="0063708A" w:rsidRDefault="0063708A">
      <w:r>
        <w:separator/>
      </w:r>
    </w:p>
  </w:endnote>
  <w:endnote w:type="continuationSeparator" w:id="0">
    <w:p w14:paraId="5E5E9938" w14:textId="77777777" w:rsidR="0063708A" w:rsidRDefault="0063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630B" w14:textId="77777777" w:rsidR="0063708A" w:rsidRDefault="0063708A">
      <w:r>
        <w:separator/>
      </w:r>
    </w:p>
  </w:footnote>
  <w:footnote w:type="continuationSeparator" w:id="0">
    <w:p w14:paraId="1F7BE286" w14:textId="77777777" w:rsidR="0063708A" w:rsidRDefault="0063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6F9311B1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1B2194">
      <w:t>2</w:t>
    </w:r>
    <w:r w:rsidRPr="0027288E">
      <w:t xml:space="preserve"> do Regulaminu organizacyjnego </w:t>
    </w:r>
    <w:r w:rsidR="007B7D81">
      <w:t xml:space="preserve">Urzędu Skarbowego w </w:t>
    </w:r>
    <w:r w:rsidR="00B84843">
      <w:t>Lubaczowie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9DB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194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708A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4267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43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EBE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</Template>
  <TotalTime>4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Ostafijczuk Elżbieta</cp:lastModifiedBy>
  <cp:revision>5</cp:revision>
  <cp:lastPrinted>2025-04-02T08:46:00Z</cp:lastPrinted>
  <dcterms:created xsi:type="dcterms:W3CDTF">2025-04-03T11:13:00Z</dcterms:created>
  <dcterms:modified xsi:type="dcterms:W3CDTF">2025-05-29T06:44:00Z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