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68" w:rsidRDefault="004150AB">
      <w:pPr>
        <w:pStyle w:val="Standard"/>
        <w:spacing w:after="0"/>
        <w:jc w:val="both"/>
      </w:pPr>
      <w:bookmarkStart w:id="0" w:name="_Hlk38367553"/>
      <w:bookmarkStart w:id="1" w:name="_GoBack"/>
      <w:bookmarkEnd w:id="1"/>
      <w:r>
        <w:rPr>
          <w:rFonts w:cs="Calibri"/>
          <w:b/>
          <w:sz w:val="28"/>
          <w:szCs w:val="28"/>
        </w:rPr>
        <w:t xml:space="preserve">Sprzedaż </w:t>
      </w:r>
      <w:r>
        <w:rPr>
          <w:b/>
          <w:sz w:val="28"/>
          <w:szCs w:val="28"/>
        </w:rPr>
        <w:t>prawa użytkowania wieczystego działki gruntu nr ew. 562/2 wraz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z prawem własności budynków, budowli i urządzeń posadowionych na gruncie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w Bolesławcu </w:t>
      </w:r>
      <w:r>
        <w:rPr>
          <w:b/>
          <w:color w:val="000000"/>
          <w:sz w:val="28"/>
          <w:szCs w:val="28"/>
        </w:rPr>
        <w:t xml:space="preserve">przy ul. T. Kościuszki </w:t>
      </w:r>
      <w:r>
        <w:rPr>
          <w:b/>
          <w:sz w:val="28"/>
          <w:szCs w:val="28"/>
        </w:rPr>
        <w:t>6a</w:t>
      </w:r>
      <w:bookmarkEnd w:id="0"/>
    </w:p>
    <w:p w:rsidR="000A1B68" w:rsidRDefault="000A1B68">
      <w:pPr>
        <w:pStyle w:val="Standard"/>
        <w:rPr>
          <w:rFonts w:cs="Calibri"/>
          <w:bCs/>
          <w:color w:val="000000"/>
          <w:sz w:val="20"/>
          <w:szCs w:val="20"/>
          <w:u w:val="single"/>
        </w:rPr>
      </w:pPr>
    </w:p>
    <w:p w:rsidR="000A1B68" w:rsidRDefault="004150AB">
      <w:pPr>
        <w:pStyle w:val="Standard"/>
        <w:spacing w:after="0"/>
        <w:jc w:val="both"/>
      </w:pPr>
      <w:r>
        <w:rPr>
          <w:rFonts w:cs="Calibri"/>
          <w:color w:val="000000"/>
          <w:sz w:val="24"/>
          <w:szCs w:val="24"/>
        </w:rPr>
        <w:t>Na podstawie postanowień Uchwały nr 1 Nadzwyczajnego Zgromadzenia Wspólników</w:t>
      </w:r>
      <w:r>
        <w:rPr>
          <w:rFonts w:cs="Calibri"/>
          <w:color w:val="000000"/>
          <w:sz w:val="24"/>
          <w:szCs w:val="24"/>
        </w:rPr>
        <w:br/>
      </w:r>
      <w:r>
        <w:rPr>
          <w:rFonts w:cs="Calibri"/>
          <w:sz w:val="24"/>
          <w:szCs w:val="24"/>
        </w:rPr>
        <w:t>z 12.10. 2021 r. w sprawie wyrażenia zgody na zbycie prawa użytkowania wieczystego nieruchomości wraz z prawem własności budynków, budowli i urządzeń  na nich zlokalizowanych o w</w:t>
      </w:r>
      <w:r>
        <w:rPr>
          <w:rFonts w:cs="Calibri"/>
          <w:sz w:val="24"/>
          <w:szCs w:val="24"/>
        </w:rPr>
        <w:t>artości przekraczającej 5% sumy aktywów, Uchwały nr 1 Nadzwyczajnego Zgromadzenia Wspólników z 06.12.2019 r. w sprawie zasad i trybu zbywania składników aktywów trwałych oraz Zarządzenia Nr 5/2021 Prezesa Zarządu ZC „BOLESŁAWIEC” Sp. z o.o. i Aneksu nr 1/2</w:t>
      </w:r>
      <w:r>
        <w:rPr>
          <w:rFonts w:cs="Calibri"/>
          <w:sz w:val="24"/>
          <w:szCs w:val="24"/>
        </w:rPr>
        <w:t>021</w:t>
      </w:r>
      <w:r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 xml:space="preserve">z 26.04.2021 r. do Zarządzenia w sprawie </w:t>
      </w:r>
      <w:r>
        <w:rPr>
          <w:bCs/>
          <w:sz w:val="24"/>
          <w:szCs w:val="24"/>
        </w:rPr>
        <w:t>przeprowadzenia postępowania na sprzedaż prawa użytkowania wieczystego działki gruntu nr ew. 562/2 wraz z prawem własności budynków, budowli i urządzeń posadowionych na gruncie w Bolesławcu przy ul. T. Kościuszk</w:t>
      </w:r>
      <w:r>
        <w:rPr>
          <w:bCs/>
          <w:sz w:val="24"/>
          <w:szCs w:val="24"/>
        </w:rPr>
        <w:t>i 6a</w:t>
      </w:r>
      <w:r>
        <w:rPr>
          <w:rFonts w:cs="Calibri"/>
          <w:sz w:val="24"/>
          <w:szCs w:val="24"/>
        </w:rPr>
        <w:t>, w związku</w:t>
      </w:r>
      <w:r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z przeznaczeniem tej nieruchomości na sprzedaż,</w:t>
      </w:r>
    </w:p>
    <w:p w:rsidR="000A1B68" w:rsidRDefault="000A1B68">
      <w:pPr>
        <w:pStyle w:val="Standard"/>
        <w:spacing w:after="0"/>
        <w:jc w:val="both"/>
        <w:rPr>
          <w:rFonts w:cs="Calibri"/>
          <w:sz w:val="16"/>
          <w:szCs w:val="16"/>
        </w:rPr>
      </w:pPr>
    </w:p>
    <w:p w:rsidR="000A1B68" w:rsidRDefault="004150AB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Zarząd Spółki</w:t>
      </w:r>
    </w:p>
    <w:p w:rsidR="000A1B68" w:rsidRDefault="004150AB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Zakładów Ceramicznych „BOLESŁAWIEC” w Bolesławcu</w:t>
      </w:r>
    </w:p>
    <w:p w:rsidR="000A1B68" w:rsidRDefault="004150AB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Spółka z ograniczoną odpowiedzialnością</w:t>
      </w:r>
    </w:p>
    <w:p w:rsidR="000A1B68" w:rsidRDefault="000A1B68">
      <w:pPr>
        <w:pStyle w:val="NormalnyWeb"/>
        <w:spacing w:before="0" w:after="0" w:line="276" w:lineRule="auto"/>
        <w:jc w:val="center"/>
        <w:rPr>
          <w:rFonts w:ascii="Calibri" w:hAnsi="Calibri" w:cs="Calibri"/>
          <w:sz w:val="20"/>
          <w:szCs w:val="20"/>
        </w:rPr>
      </w:pPr>
    </w:p>
    <w:p w:rsidR="000A1B68" w:rsidRDefault="004150AB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</w:rPr>
        <w:t>ogłasza przetarg pisemny nieograniczony</w:t>
      </w:r>
    </w:p>
    <w:p w:rsidR="000A1B68" w:rsidRDefault="004150AB">
      <w:pPr>
        <w:pStyle w:val="NormalnyWeb"/>
        <w:shd w:val="clear" w:color="auto" w:fill="FFFFFF"/>
        <w:spacing w:before="0" w:after="0"/>
        <w:jc w:val="center"/>
      </w:pP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bCs/>
        </w:rPr>
        <w:t>sprzedaż prawa użytkowania wieczystego dział</w:t>
      </w:r>
      <w:r>
        <w:rPr>
          <w:rFonts w:ascii="Calibri" w:hAnsi="Calibri" w:cs="Calibri"/>
          <w:bCs/>
        </w:rPr>
        <w:t>ki gruntu nr ew. 562/2 wraz z prawem własności budynków, budowli i urządzeń posadowionych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Cs/>
        </w:rPr>
        <w:t xml:space="preserve">na gruncie w Bolesławcu </w:t>
      </w:r>
      <w:r>
        <w:rPr>
          <w:rFonts w:ascii="Calibri" w:hAnsi="Calibri" w:cs="Calibri"/>
          <w:bCs/>
          <w:color w:val="000000"/>
        </w:rPr>
        <w:t>przy</w:t>
      </w:r>
      <w:r>
        <w:rPr>
          <w:rFonts w:ascii="Calibri" w:hAnsi="Calibri" w:cs="Calibri"/>
          <w:bCs/>
          <w:color w:val="000000"/>
        </w:rPr>
        <w:br/>
      </w:r>
      <w:r>
        <w:rPr>
          <w:rFonts w:ascii="Calibri" w:hAnsi="Calibri" w:cs="Calibri"/>
          <w:bCs/>
          <w:color w:val="000000"/>
        </w:rPr>
        <w:t xml:space="preserve"> ul. T. Kościuszki 6a</w:t>
      </w:r>
    </w:p>
    <w:p w:rsidR="000A1B68" w:rsidRDefault="000A1B68">
      <w:pPr>
        <w:pStyle w:val="NormalnyWeb"/>
        <w:shd w:val="clear" w:color="auto" w:fill="FFFFFF"/>
        <w:spacing w:before="0" w:after="0"/>
        <w:jc w:val="center"/>
        <w:rPr>
          <w:rFonts w:ascii="Calibri" w:hAnsi="Calibri" w:cs="Calibri"/>
        </w:rPr>
      </w:pPr>
    </w:p>
    <w:p w:rsidR="000A1B68" w:rsidRDefault="000A1B68">
      <w:pPr>
        <w:pStyle w:val="NormalnyWeb"/>
        <w:shd w:val="clear" w:color="auto" w:fill="FFFFFF"/>
        <w:spacing w:before="0" w:after="0"/>
        <w:jc w:val="center"/>
        <w:rPr>
          <w:rFonts w:ascii="Calibri" w:hAnsi="Calibri" w:cs="Calibri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lastRenderedPageBreak/>
        <w:t>Organizatorem  i prowadzącym przetarg są Zakłady Ceramiczne „BOLESŁAWIEC” z siedzibą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 xml:space="preserve">w Bolesławcu przy ul. </w:t>
      </w:r>
      <w:r>
        <w:rPr>
          <w:rFonts w:ascii="Calibri" w:hAnsi="Calibri" w:cs="Calibri"/>
          <w:color w:val="000000"/>
        </w:rPr>
        <w:t>Tadeusza Kościuszki 11, Spółka Skarbu Państwa wpisana do rejestru przedsiębiorców, prowadzonego przez Sąd Rejonowy we Wrocławiu pod numerem KRS 0000114136. </w:t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  <w:u w:val="single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u w:val="single"/>
        </w:rPr>
        <w:t>Oznaczenie nieruchomości:</w:t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 xml:space="preserve">Przeznaczony na sprzedaż grunt w użytkowaniu wieczystym do dnia </w:t>
      </w:r>
      <w:r>
        <w:rPr>
          <w:rFonts w:ascii="Calibri" w:hAnsi="Calibri" w:cs="Calibri"/>
        </w:rPr>
        <w:t xml:space="preserve">05.12.2089 r. o powierzchni </w:t>
      </w:r>
      <w:r>
        <w:rPr>
          <w:rFonts w:ascii="Calibri" w:hAnsi="Calibri" w:cs="Calibri"/>
          <w:color w:val="000000"/>
        </w:rPr>
        <w:t>3,9438 ha oraz własność 6 budynków o przeznaczeniu gospodarczo-magazynowym, stanowiących od gruntu odrębny przedmiot własności, grunt w większości niezabudowany, położony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 Bolesławcu przy ul. T. Kościuszki 6a, w obrębie 0004 Bo</w:t>
      </w:r>
      <w:r>
        <w:rPr>
          <w:rFonts w:ascii="Calibri" w:hAnsi="Calibri" w:cs="Calibri"/>
          <w:color w:val="000000"/>
        </w:rPr>
        <w:t>lesławiec, oznaczony w ewidencji gruntów jako działka nr 562/2, dla której Sąd Rejonowy w Bolesławcu V Wydział ksiąg Wieczystych prowadzi księgę wieczystą o numerze JG1B/00053034/3.</w:t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  <w:color w:val="FF0000"/>
        </w:rPr>
      </w:pP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</w:rPr>
      </w:pPr>
    </w:p>
    <w:p w:rsidR="000A1B68" w:rsidRDefault="004150AB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Mapa ewidencyjna działki nr. 562/2</w:t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 xml:space="preserve">Źródło: </w:t>
      </w:r>
      <w:hyperlink r:id="rId7" w:history="1">
        <w:r>
          <w:rPr>
            <w:rStyle w:val="Hipercze"/>
          </w:rPr>
          <w:t>http://geoportal.powiatboleslawiecki.pl/pls/apex/f?p=MAPA:113#</w:t>
        </w:r>
      </w:hyperlink>
    </w:p>
    <w:p w:rsidR="000A1B68" w:rsidRDefault="004150AB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768949" cy="4442932"/>
            <wp:effectExtent l="0" t="0" r="3201" b="0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949" cy="44429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</w:rPr>
      </w:pP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bCs/>
          <w:color w:val="000000"/>
          <w:u w:val="single"/>
        </w:rPr>
        <w:t>Opis nieruchomości:</w:t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p w:rsidR="000A1B68" w:rsidRDefault="004150AB">
      <w:pPr>
        <w:pStyle w:val="NormalnyWeb"/>
        <w:spacing w:before="0"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Nieruchomość jest położona w północnej części miasta Bolesławiec przy ul. T. Kościuszki, w drugiej linii zabudowy, </w:t>
      </w:r>
      <w:r>
        <w:rPr>
          <w:rFonts w:ascii="Calibri" w:hAnsi="Calibri" w:cs="Calibri"/>
          <w:bCs/>
        </w:rPr>
        <w:t>dojazd od ulicy T. Kościuszki i od ul. Cieszkowskiego. W najbliższym sąsiedztwie znajduje się zabudowa przemysłowa i usługowa.  W pobliżu działki znajduje się droga krajowa, umożliwiająca szybkie połączenie z autostradą A4. Nieruchomość ogrodzona, teren wo</w:t>
      </w:r>
      <w:r>
        <w:rPr>
          <w:rFonts w:ascii="Calibri" w:hAnsi="Calibri" w:cs="Calibri"/>
          <w:bCs/>
        </w:rPr>
        <w:t xml:space="preserve">kół nieruchomości jest zagospodarowany. W najbliższym sąsiedztwie nieruchomości znajduje się sieć wodna, kanalizacyjna, energetyczna, gazowa i teleinformatyczna. Dojazd do nieruchomości odbywa się drogą asfaltową. 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bCs/>
        </w:rPr>
        <w:t>Przedmiotem sprzedaży jest grunt oddany w</w:t>
      </w:r>
      <w:r>
        <w:rPr>
          <w:rFonts w:ascii="Calibri" w:hAnsi="Calibri" w:cs="Calibri"/>
          <w:bCs/>
        </w:rPr>
        <w:t xml:space="preserve"> użytkowanie wieczyste, na którym znajdowały się zakłady ceramiczne, część budynków została wyburzona, pozostawiono 6 budynków, o łącznej powierzchni użytkowej: 1214,85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>:</w:t>
      </w:r>
    </w:p>
    <w:p w:rsidR="000A1B68" w:rsidRDefault="004150AB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  <w:bCs/>
        </w:rPr>
        <w:t>budynek biurowy o pow. 67,49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>,</w:t>
      </w:r>
    </w:p>
    <w:p w:rsidR="000A1B68" w:rsidRDefault="004150AB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  <w:bCs/>
        </w:rPr>
        <w:lastRenderedPageBreak/>
        <w:t>warsztat i stolarnia o pow. 665,73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 xml:space="preserve">, </w:t>
      </w:r>
    </w:p>
    <w:p w:rsidR="000A1B68" w:rsidRDefault="004150AB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  <w:bCs/>
        </w:rPr>
        <w:t xml:space="preserve">magazyn o </w:t>
      </w:r>
      <w:r>
        <w:rPr>
          <w:rFonts w:ascii="Calibri" w:hAnsi="Calibri" w:cs="Calibri"/>
          <w:bCs/>
        </w:rPr>
        <w:t>pow. 168,81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 xml:space="preserve">, </w:t>
      </w:r>
    </w:p>
    <w:p w:rsidR="000A1B68" w:rsidRDefault="004150AB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  <w:bCs/>
        </w:rPr>
        <w:t>wiata warsztatowa o pow. 66,93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>,</w:t>
      </w:r>
    </w:p>
    <w:p w:rsidR="000A1B68" w:rsidRDefault="004150AB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  <w:bCs/>
        </w:rPr>
        <w:t>portiernia o pow. 26,38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>,</w:t>
      </w:r>
    </w:p>
    <w:p w:rsidR="000A1B68" w:rsidRDefault="004150AB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  <w:bCs/>
        </w:rPr>
        <w:t>budynek OZ o pow. 219,51 m</w:t>
      </w:r>
      <w:r>
        <w:rPr>
          <w:rFonts w:ascii="Calibri" w:hAnsi="Calibri" w:cs="Calibri"/>
          <w:bCs/>
          <w:vertAlign w:val="superscript"/>
        </w:rPr>
        <w:t>2</w:t>
      </w:r>
      <w:r>
        <w:rPr>
          <w:rFonts w:ascii="Calibri" w:hAnsi="Calibri" w:cs="Calibri"/>
          <w:bCs/>
        </w:rPr>
        <w:t>.</w:t>
      </w:r>
    </w:p>
    <w:p w:rsidR="000A1B68" w:rsidRDefault="004150AB">
      <w:pPr>
        <w:pStyle w:val="NormalnyWeb"/>
        <w:spacing w:before="0" w:after="0"/>
        <w:jc w:val="both"/>
        <w:rPr>
          <w:rFonts w:ascii="Calibri" w:hAnsi="Calibri" w:cs="Calibri"/>
          <w:bCs/>
          <w:color w:val="44546A"/>
        </w:rPr>
      </w:pPr>
      <w:r>
        <w:rPr>
          <w:rFonts w:ascii="Calibri" w:hAnsi="Calibri" w:cs="Calibri"/>
          <w:bCs/>
          <w:color w:val="44546A"/>
        </w:rPr>
        <w:t xml:space="preserve"> 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>Nieruchomość gruntowa stanowi własność Zakładów Ceramicznych „BOLESŁAWIEC”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w Bolesławcu Spółka z ograniczoną odpowiedzialnością i nie jest obciąż</w:t>
      </w:r>
      <w:r>
        <w:rPr>
          <w:rFonts w:ascii="Calibri" w:hAnsi="Calibri" w:cs="Calibri"/>
        </w:rPr>
        <w:t>ona prawami, długami ani roszczeniami na rzecz osób trzecich.</w:t>
      </w:r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u w:val="single"/>
        </w:rPr>
      </w:pPr>
    </w:p>
    <w:p w:rsidR="000A1B68" w:rsidRDefault="004150AB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>Przeznaczenie planistyczne: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 xml:space="preserve">Zgodnie z miejscowym planem zagospodarowania przestrzennego, przedmiotowa nieruchomość położona jest na terenie, dla którego symbol planu to B-P1 – przeznaczenie  </w:t>
      </w:r>
      <w:r>
        <w:rPr>
          <w:rFonts w:ascii="Calibri" w:hAnsi="Calibri" w:cs="Calibri"/>
          <w:color w:val="000000"/>
        </w:rPr>
        <w:t>podstawowe – przemysł. Zgodnie ze studium uwarunkowań i kierunków zagospodarowania przestrzennego miasta (Uchwała Rady Miasta Nr XLVI/471/2018 z 28.03.2018 r.), studium ustala obszar funkcyjny usług i handlu wielkopowierzchniowego oznaczony symbolem UC. Je</w:t>
      </w:r>
      <w:r>
        <w:rPr>
          <w:rFonts w:ascii="Calibri" w:hAnsi="Calibri" w:cs="Calibri"/>
          <w:color w:val="000000"/>
        </w:rPr>
        <w:t>st to obszar o przeważającym udziale usług i handlu wielkopowierzchniowego, rozumiany jako obszar rozmieszczenia obiektów handlowych o powierzchni sprzedaży powyżej 2000 m</w:t>
      </w:r>
      <w:r>
        <w:rPr>
          <w:rFonts w:ascii="Calibri" w:hAnsi="Calibri" w:cs="Calibri"/>
          <w:color w:val="000000"/>
          <w:vertAlign w:val="superscript"/>
        </w:rPr>
        <w:t>2</w:t>
      </w:r>
      <w:r>
        <w:rPr>
          <w:rFonts w:ascii="Calibri" w:hAnsi="Calibri" w:cs="Calibri"/>
          <w:color w:val="000000"/>
        </w:rPr>
        <w:t xml:space="preserve"> .</w:t>
      </w:r>
    </w:p>
    <w:p w:rsidR="000A1B68" w:rsidRDefault="000A1B68">
      <w:pPr>
        <w:pStyle w:val="NormalnyWeb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0A1B68" w:rsidRDefault="004150AB">
      <w:pPr>
        <w:pStyle w:val="NormalnyWeb"/>
        <w:jc w:val="both"/>
      </w:pPr>
      <w:r>
        <w:rPr>
          <w:rFonts w:ascii="Calibri" w:hAnsi="Calibri" w:cs="Calibri"/>
          <w:b/>
          <w:bCs/>
        </w:rPr>
        <w:t>Cena wywoławcza</w:t>
      </w:r>
      <w:r>
        <w:rPr>
          <w:rFonts w:ascii="Calibri" w:hAnsi="Calibri" w:cs="Calibri"/>
        </w:rPr>
        <w:t xml:space="preserve"> nieruchomości wynosi – </w:t>
      </w:r>
      <w:r>
        <w:rPr>
          <w:rFonts w:ascii="Calibri" w:hAnsi="Calibri" w:cs="Calibri"/>
          <w:b/>
          <w:bCs/>
        </w:rPr>
        <w:t xml:space="preserve"> </w:t>
      </w:r>
      <w:r>
        <w:rPr>
          <w:b/>
          <w:bCs/>
        </w:rPr>
        <w:t>3 255 000 zł</w:t>
      </w:r>
      <w:r>
        <w:rPr>
          <w:rFonts w:ascii="Calibri" w:hAnsi="Calibri" w:cs="Calibri"/>
          <w:b/>
          <w:bCs/>
        </w:rPr>
        <w:t xml:space="preserve"> (słownie: trzy miliony </w:t>
      </w:r>
      <w:r>
        <w:rPr>
          <w:rFonts w:ascii="Calibri" w:hAnsi="Calibri" w:cs="Calibri"/>
          <w:b/>
          <w:bCs/>
        </w:rPr>
        <w:t>dwieście pięćdziesiąt pięć tysięcy 00/100) zł.</w:t>
      </w:r>
    </w:p>
    <w:p w:rsidR="000A1B68" w:rsidRDefault="004150AB">
      <w:pPr>
        <w:pStyle w:val="NormalnyWeb"/>
        <w:jc w:val="both"/>
      </w:pPr>
      <w:r>
        <w:rPr>
          <w:rFonts w:ascii="Calibri" w:hAnsi="Calibri" w:cs="Calibri"/>
        </w:rPr>
        <w:t>Sprzedaż przedmiotowej nieruchomości zwolniona jest z podatku od towarów i usług VAT na podstawie art. 43 ust. 1 pkt 10 ustawy z dnia 11 marca 2004 r. o podatku od towarów i usług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(j.t. Dz. U. z 2017r., poz. 1</w:t>
      </w:r>
      <w:r>
        <w:rPr>
          <w:rFonts w:ascii="Calibri" w:hAnsi="Calibri" w:cs="Calibri"/>
        </w:rPr>
        <w:t>221 ze zm.).</w:t>
      </w:r>
    </w:p>
    <w:p w:rsidR="000A1B68" w:rsidRDefault="004150AB">
      <w:pPr>
        <w:pStyle w:val="NormalnyWeb"/>
        <w:spacing w:line="276" w:lineRule="auto"/>
        <w:jc w:val="both"/>
      </w:pPr>
      <w:r>
        <w:rPr>
          <w:rFonts w:ascii="Calibri" w:hAnsi="Calibri" w:cs="Calibri"/>
          <w:b/>
          <w:bCs/>
        </w:rPr>
        <w:t>Wadium</w:t>
      </w:r>
      <w:r>
        <w:rPr>
          <w:rFonts w:ascii="Calibri" w:hAnsi="Calibri" w:cs="Calibri"/>
        </w:rPr>
        <w:t xml:space="preserve"> wynosi </w:t>
      </w:r>
      <w:r>
        <w:rPr>
          <w:rFonts w:ascii="Calibri" w:hAnsi="Calibri" w:cs="Calibri"/>
          <w:b/>
          <w:bCs/>
        </w:rPr>
        <w:t>165 000 (słownie: sto sześćdziesiąt pięć tysięcy 00/100) zł.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</w:rPr>
        <w:lastRenderedPageBreak/>
        <w:t>Warunkiem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wzięcia udziału w przetargu</w:t>
      </w:r>
      <w:r>
        <w:rPr>
          <w:rFonts w:ascii="Calibri" w:hAnsi="Calibri" w:cs="Calibri"/>
        </w:rPr>
        <w:t xml:space="preserve"> jest wniesienie wadium w pieniądzu na  rachunek bankowy Spółki: Alior Bank S.A. nr 70 2490 0005 0000 4530 4078 0241  ze wskazaniem</w:t>
      </w:r>
      <w:r>
        <w:rPr>
          <w:rFonts w:ascii="Calibri" w:hAnsi="Calibri" w:cs="Calibri"/>
        </w:rPr>
        <w:t xml:space="preserve"> nieruchomości – </w:t>
      </w:r>
      <w:r>
        <w:rPr>
          <w:rFonts w:ascii="Calibri" w:hAnsi="Calibri" w:cs="Calibri"/>
          <w:b/>
          <w:bCs/>
        </w:rPr>
        <w:t>w terminie do dnia 18.11.2021 r.</w:t>
      </w:r>
      <w:r>
        <w:rPr>
          <w:rFonts w:ascii="Calibri" w:hAnsi="Calibri" w:cs="Calibri"/>
        </w:rPr>
        <w:t xml:space="preserve"> Wadium winno być wniesione odpowiednio wcześniej, tak aby w dniu </w:t>
      </w:r>
      <w:r>
        <w:rPr>
          <w:rFonts w:ascii="Calibri" w:hAnsi="Calibri" w:cs="Calibri"/>
          <w:b/>
          <w:bCs/>
        </w:rPr>
        <w:t>18.11.2021 r. do godz. 10.00</w:t>
      </w:r>
      <w:r>
        <w:rPr>
          <w:rFonts w:ascii="Calibri" w:hAnsi="Calibri" w:cs="Calibri"/>
        </w:rPr>
        <w:t xml:space="preserve"> środki</w:t>
      </w:r>
      <w:r>
        <w:t xml:space="preserve"> pieniężne znajdowały się na </w:t>
      </w:r>
      <w:r>
        <w:rPr>
          <w:rFonts w:ascii="Calibri" w:hAnsi="Calibri" w:cs="Calibri"/>
        </w:rPr>
        <w:t>rachunku organizatora przetargu. Osoby, których wadium wpłynie na rachunek Sp</w:t>
      </w:r>
      <w:r>
        <w:rPr>
          <w:rFonts w:ascii="Calibri" w:hAnsi="Calibri" w:cs="Calibri"/>
        </w:rPr>
        <w:t>ółki po ww. dacie nie zostaną dopuszczone do udziału w przetargu.</w:t>
      </w:r>
    </w:p>
    <w:p w:rsidR="000A1B68" w:rsidRDefault="000A1B68">
      <w:pPr>
        <w:pStyle w:val="NormalnyWeb"/>
        <w:spacing w:before="0" w:after="0"/>
        <w:jc w:val="both"/>
        <w:rPr>
          <w:rFonts w:ascii="Calibri" w:hAnsi="Calibri" w:cs="Calibri"/>
          <w:color w:val="00B050"/>
          <w:sz w:val="16"/>
          <w:szCs w:val="16"/>
          <w:u w:val="single"/>
        </w:rPr>
      </w:pPr>
    </w:p>
    <w:p w:rsidR="000A1B68" w:rsidRDefault="004150AB">
      <w:pPr>
        <w:pStyle w:val="NormalnyWeb"/>
        <w:spacing w:before="0" w:after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W przypadku gdy kilku oferentów zaoferuje tą samą cenę, prowadzący przetarg kontynuuje przetarg w formie licytacji.</w:t>
      </w:r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color w:val="44546A"/>
          <w:sz w:val="16"/>
          <w:szCs w:val="16"/>
          <w:u w:val="single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 xml:space="preserve">Pisemną ofertę należy złożyć </w:t>
      </w:r>
      <w:r>
        <w:rPr>
          <w:rFonts w:ascii="Calibri" w:hAnsi="Calibri" w:cs="Calibri"/>
          <w:b/>
          <w:bCs/>
          <w:u w:val="single"/>
        </w:rPr>
        <w:t>w zaklejonej kopercie,</w:t>
      </w:r>
      <w:r>
        <w:rPr>
          <w:rFonts w:ascii="Calibri" w:hAnsi="Calibri" w:cs="Calibri"/>
        </w:rPr>
        <w:t xml:space="preserve"> opatrzonej tytułem „</w:t>
      </w:r>
      <w:r>
        <w:rPr>
          <w:rFonts w:ascii="Calibri" w:hAnsi="Calibri" w:cs="Calibri"/>
        </w:rPr>
        <w:t xml:space="preserve">Przetarg na sprzedaż nieruchomości gruntowej, działka nr 562/2”, </w:t>
      </w:r>
      <w:r>
        <w:rPr>
          <w:rFonts w:ascii="Calibri" w:hAnsi="Calibri" w:cs="Calibri"/>
          <w:b/>
          <w:bCs/>
        </w:rPr>
        <w:t>w terminie do dnia 18.11.2021 r.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do godz.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10.00,</w:t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w siedzibie Spółki w Bolesławcu przy ul. T. Kościuszki 11 - sekretariat (pokój nr 8), I piętro.</w:t>
      </w:r>
      <w:r>
        <w:rPr>
          <w:rFonts w:ascii="Calibri" w:hAnsi="Calibri" w:cs="Calibri"/>
        </w:rPr>
        <w:t xml:space="preserve">   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>Termin związania ofertą Sprzedający ustala</w:t>
      </w:r>
      <w:r>
        <w:rPr>
          <w:rFonts w:ascii="Calibri" w:hAnsi="Calibri" w:cs="Calibri"/>
        </w:rPr>
        <w:t xml:space="preserve"> na 31.12.2021 r. </w:t>
      </w:r>
    </w:p>
    <w:p w:rsidR="000A1B68" w:rsidRDefault="004150AB">
      <w:pPr>
        <w:pStyle w:val="NormalnyWeb"/>
        <w:jc w:val="both"/>
      </w:pPr>
      <w:r>
        <w:rPr>
          <w:rFonts w:ascii="Calibri" w:hAnsi="Calibri" w:cs="Calibri"/>
          <w:b/>
          <w:bCs/>
        </w:rPr>
        <w:t>Komisyjne  otwarcie ofert</w:t>
      </w:r>
      <w:r>
        <w:rPr>
          <w:rFonts w:ascii="Calibri" w:hAnsi="Calibri" w:cs="Calibri"/>
        </w:rPr>
        <w:t xml:space="preserve"> nastąpi w siedzibie ZC „BOLESŁAWIEC” Sp. z o.o., w sali nr 7, w dniu 18.11.2021 r. o godzinie 10.15.</w:t>
      </w:r>
    </w:p>
    <w:p w:rsidR="000A1B68" w:rsidRDefault="004150AB">
      <w:pPr>
        <w:spacing w:after="0" w:line="254" w:lineRule="auto"/>
      </w:pPr>
      <w:r>
        <w:rPr>
          <w:b/>
          <w:sz w:val="24"/>
          <w:szCs w:val="24"/>
          <w:u w:val="single" w:color="000000"/>
        </w:rPr>
        <w:t>Oferta powinna zawierać: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imię, nazwisko i adres lub nazwę (firmę) i siedzibę oferenta;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dowód wniesienia </w:t>
      </w:r>
      <w:r>
        <w:rPr>
          <w:b/>
          <w:sz w:val="24"/>
          <w:szCs w:val="24"/>
        </w:rPr>
        <w:t xml:space="preserve">wadium;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datę sporządzenia oferty;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wskazanie składnika aktywów trwałych, którego oferta dotyczy;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oświadczenie oferenta o zapoznaniu się z przedmiotem przetargu;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wskazanie oferowanej ceny nieruchomości;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>oznaczenie terminu związania ofertą, przy czym ter</w:t>
      </w:r>
      <w:r>
        <w:rPr>
          <w:b/>
          <w:sz w:val="24"/>
          <w:szCs w:val="24"/>
        </w:rPr>
        <w:t xml:space="preserve">min ten nie może być krótszy niż termin określony przez Sprzedającego;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lastRenderedPageBreak/>
        <w:t xml:space="preserve">informację o numerze rachunku, na które należy zwrócić wniesione wadium;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w przypadku oferentów będących przedsiębiorcami - aktualny wyciąg z właściwego rejestru, określający status </w:t>
      </w:r>
      <w:r>
        <w:rPr>
          <w:b/>
          <w:sz w:val="24"/>
          <w:szCs w:val="24"/>
        </w:rPr>
        <w:t xml:space="preserve">prawny oferenta; </w:t>
      </w:r>
    </w:p>
    <w:p w:rsidR="000A1B68" w:rsidRDefault="004150AB">
      <w:pPr>
        <w:widowControl/>
        <w:numPr>
          <w:ilvl w:val="0"/>
          <w:numId w:val="9"/>
        </w:numPr>
        <w:suppressAutoHyphens w:val="0"/>
        <w:spacing w:after="25" w:line="247" w:lineRule="auto"/>
        <w:ind w:right="43" w:hanging="360"/>
        <w:jc w:val="both"/>
        <w:textAlignment w:val="auto"/>
      </w:pPr>
      <w:r>
        <w:rPr>
          <w:b/>
          <w:sz w:val="24"/>
          <w:szCs w:val="24"/>
        </w:rPr>
        <w:t xml:space="preserve">podpis Oferenta lub osoby upoważnionej do składania w imieniu Oferenta oświadczeń woli w zakresie praw i obowiązków majątkowych; </w:t>
      </w:r>
    </w:p>
    <w:p w:rsidR="000A1B68" w:rsidRDefault="000A1B68">
      <w:pPr>
        <w:pStyle w:val="NormalnyWeb"/>
        <w:spacing w:before="0" w:after="0"/>
        <w:ind w:left="720"/>
        <w:jc w:val="both"/>
        <w:rPr>
          <w:rFonts w:ascii="Calibri" w:hAnsi="Calibri" w:cs="Calibri"/>
        </w:rPr>
      </w:pPr>
    </w:p>
    <w:p w:rsidR="000A1B68" w:rsidRDefault="004150AB">
      <w:pPr>
        <w:pStyle w:val="NormalnyWeb"/>
        <w:jc w:val="both"/>
      </w:pPr>
      <w:r>
        <w:rPr>
          <w:rFonts w:ascii="Calibri" w:hAnsi="Calibri" w:cs="Calibri"/>
          <w:u w:val="single"/>
        </w:rPr>
        <w:t>Przepadek, zwrot lub zarachowanie wadium na poczet ceny</w:t>
      </w:r>
    </w:p>
    <w:p w:rsidR="000A1B68" w:rsidRDefault="004150AB">
      <w:pPr>
        <w:pStyle w:val="NormalnyWeb"/>
        <w:numPr>
          <w:ilvl w:val="0"/>
          <w:numId w:val="10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przepada na rzecz spółki, jeżeli żaden z ucz</w:t>
      </w:r>
      <w:r>
        <w:rPr>
          <w:rFonts w:ascii="Calibri" w:hAnsi="Calibri" w:cs="Calibri"/>
        </w:rPr>
        <w:t>estników przetargu nie zaoferuje ceny wywoławczej.</w:t>
      </w:r>
    </w:p>
    <w:p w:rsidR="000A1B68" w:rsidRDefault="004150AB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złożone przez oferentów, których oferty nie zostaną przyjęte, zostanie zwrócone bezpośrednio po dokonaniu wyboru oferty.</w:t>
      </w:r>
    </w:p>
    <w:p w:rsidR="000A1B68" w:rsidRDefault="004150AB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 xml:space="preserve">Wadium złożone przez nabywcę zostanie zarachowane na poczet ceny. </w:t>
      </w:r>
    </w:p>
    <w:p w:rsidR="000A1B68" w:rsidRDefault="004150AB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prz</w:t>
      </w:r>
      <w:r>
        <w:rPr>
          <w:rFonts w:ascii="Calibri" w:hAnsi="Calibri" w:cs="Calibri"/>
        </w:rPr>
        <w:t>epada na rzecz spółki, jeżeli oferent, którego oferta zostanie przyjęta, uchyli się od zawarcia umowy.</w:t>
      </w:r>
    </w:p>
    <w:p w:rsidR="000A1B68" w:rsidRDefault="004150AB">
      <w:pPr>
        <w:pStyle w:val="NormalnyWeb"/>
        <w:jc w:val="both"/>
      </w:pPr>
      <w:r>
        <w:rPr>
          <w:rStyle w:val="Pogrubienie"/>
          <w:rFonts w:ascii="Calibri" w:hAnsi="Calibri" w:cs="Calibri"/>
          <w:b w:val="0"/>
          <w:bCs w:val="0"/>
          <w:u w:val="single"/>
        </w:rPr>
        <w:t xml:space="preserve">W przetargu jako oferenci mogą brać udział: </w:t>
      </w:r>
    </w:p>
    <w:p w:rsidR="000A1B68" w:rsidRDefault="004150AB">
      <w:pPr>
        <w:pStyle w:val="NormalnyWeb"/>
        <w:jc w:val="both"/>
      </w:pPr>
      <w:r>
        <w:rPr>
          <w:rStyle w:val="Pogrubienie"/>
          <w:rFonts w:ascii="Calibri" w:hAnsi="Calibri" w:cs="Calibri"/>
          <w:b w:val="0"/>
          <w:bCs w:val="0"/>
        </w:rPr>
        <w:t>Osoby fizyczne, osoby prawne i jednostki organizacyjne niemające osobowości prawnej, którym przepisy szczegó</w:t>
      </w:r>
      <w:r>
        <w:rPr>
          <w:rStyle w:val="Pogrubienie"/>
          <w:rFonts w:ascii="Calibri" w:hAnsi="Calibri" w:cs="Calibri"/>
          <w:b w:val="0"/>
          <w:bCs w:val="0"/>
        </w:rPr>
        <w:t>lne przyznają zdolność prawną, jeżeli wpłacą prowadzącemu przetarg wadium w wysokości, terminie i sposobie określonych w niniejszym ogłoszeniu.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bCs/>
          <w:color w:val="000000"/>
          <w:u w:val="single"/>
        </w:rPr>
        <w:t>W przetargu jako oferenci nie mogą uczestniczyć:</w:t>
      </w:r>
    </w:p>
    <w:p w:rsidR="000A1B68" w:rsidRDefault="004150AB">
      <w:pPr>
        <w:widowControl/>
        <w:numPr>
          <w:ilvl w:val="0"/>
          <w:numId w:val="11"/>
        </w:numPr>
        <w:suppressAutoHyphens w:val="0"/>
        <w:spacing w:after="0"/>
        <w:jc w:val="both"/>
        <w:textAlignment w:val="auto"/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  <w:t>Członkowie organu zarządzającego Spółką i jej organu nadzorczeg</w:t>
      </w:r>
      <w:r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  <w:t>o;</w:t>
      </w:r>
    </w:p>
    <w:p w:rsidR="000A1B68" w:rsidRDefault="004150AB">
      <w:pPr>
        <w:widowControl/>
        <w:numPr>
          <w:ilvl w:val="0"/>
          <w:numId w:val="11"/>
        </w:numPr>
        <w:suppressAutoHyphens w:val="0"/>
        <w:spacing w:after="0"/>
        <w:jc w:val="both"/>
        <w:textAlignment w:val="auto"/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  <w:t>Podmiot gospodarczy prowadzący przetarg oraz członkowie jego władz i organu nadzorczego;</w:t>
      </w:r>
    </w:p>
    <w:p w:rsidR="000A1B68" w:rsidRDefault="004150AB">
      <w:pPr>
        <w:widowControl/>
        <w:numPr>
          <w:ilvl w:val="0"/>
          <w:numId w:val="11"/>
        </w:numPr>
        <w:suppressAutoHyphens w:val="0"/>
        <w:spacing w:after="0"/>
        <w:jc w:val="both"/>
        <w:textAlignment w:val="auto"/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  <w:t>Osoby, którym powierzono wykonywanie czynności związanych z przeprowadzeniem przetargu;</w:t>
      </w:r>
    </w:p>
    <w:p w:rsidR="000A1B68" w:rsidRDefault="004150AB">
      <w:pPr>
        <w:widowControl/>
        <w:numPr>
          <w:ilvl w:val="0"/>
          <w:numId w:val="11"/>
        </w:numPr>
        <w:suppressAutoHyphens w:val="0"/>
        <w:spacing w:after="0"/>
        <w:jc w:val="both"/>
        <w:textAlignment w:val="auto"/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  <w:lastRenderedPageBreak/>
        <w:t>Małżonek, dzieci, rodzice, i rodzeństwo osób, o których mowa  w pkt. 1-3;</w:t>
      </w:r>
    </w:p>
    <w:p w:rsidR="000A1B68" w:rsidRDefault="004150AB">
      <w:pPr>
        <w:widowControl/>
        <w:numPr>
          <w:ilvl w:val="0"/>
          <w:numId w:val="11"/>
        </w:numPr>
        <w:suppressAutoHyphens w:val="0"/>
        <w:spacing w:after="0"/>
        <w:jc w:val="both"/>
        <w:textAlignment w:val="auto"/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/>
          <w:kern w:val="0"/>
          <w:sz w:val="24"/>
          <w:szCs w:val="24"/>
          <w:lang w:eastAsia="pl-PL"/>
        </w:rPr>
        <w:t xml:space="preserve">Osoby, które pozostają z osobami, o których mowa w pkt 1-3 w takim stosunku prawnym lub faktycznym, że może to budzić uzasadnione wątpliwości co do bezstronności prowadzącego przetarg.   </w:t>
      </w:r>
    </w:p>
    <w:p w:rsidR="000A1B68" w:rsidRDefault="004150AB">
      <w:pPr>
        <w:pStyle w:val="NormalnyWeb"/>
        <w:jc w:val="both"/>
      </w:pPr>
      <w:r>
        <w:rPr>
          <w:rFonts w:ascii="Calibri" w:hAnsi="Calibri" w:cs="Calibri"/>
          <w:bCs/>
          <w:color w:val="000000"/>
          <w:u w:val="single"/>
        </w:rPr>
        <w:t>Zapłata ceny:</w:t>
      </w: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 xml:space="preserve">Nabywca, który wygra przetarg, jest zobowiązany do </w:t>
      </w:r>
      <w:r>
        <w:rPr>
          <w:rFonts w:ascii="Calibri" w:hAnsi="Calibri" w:cs="Calibri"/>
        </w:rPr>
        <w:t xml:space="preserve">zapłaty ceny </w:t>
      </w:r>
      <w:r>
        <w:rPr>
          <w:rFonts w:ascii="Calibri" w:hAnsi="Calibri" w:cs="Calibri"/>
          <w:kern w:val="0"/>
        </w:rPr>
        <w:t>przed podpisaniem aktu notarialnego.</w:t>
      </w:r>
    </w:p>
    <w:p w:rsidR="000A1B68" w:rsidRDefault="004150AB">
      <w:pPr>
        <w:pStyle w:val="NormalnyWeb"/>
        <w:jc w:val="both"/>
      </w:pPr>
      <w:r>
        <w:rPr>
          <w:rFonts w:ascii="Calibri" w:hAnsi="Calibri" w:cs="Calibri"/>
          <w:bCs/>
          <w:color w:val="000000"/>
          <w:u w:val="single"/>
        </w:rPr>
        <w:t>Skutki nie uiszczenia ceny nabycia</w:t>
      </w:r>
    </w:p>
    <w:p w:rsidR="000A1B68" w:rsidRDefault="004150AB">
      <w:pPr>
        <w:pStyle w:val="NormalnyWeb"/>
        <w:jc w:val="both"/>
      </w:pPr>
      <w:r>
        <w:rPr>
          <w:rFonts w:ascii="Calibri" w:hAnsi="Calibri" w:cs="Calibri"/>
          <w:color w:val="000000"/>
        </w:rPr>
        <w:t>Nabywca, który w terminie nie uiści ceny nabycia, traci złożone wadium.</w:t>
      </w:r>
    </w:p>
    <w:p w:rsidR="000A1B68" w:rsidRDefault="004150AB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>Wszelkie koszty związane z zawarciem umowy ponosi Kupujący.</w:t>
      </w:r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</w:rPr>
        <w:t>Zainteresowani wzięciem udziału w prze</w:t>
      </w:r>
      <w:r>
        <w:rPr>
          <w:rFonts w:ascii="Calibri" w:hAnsi="Calibri" w:cs="Calibri"/>
          <w:b/>
          <w:bCs/>
        </w:rPr>
        <w:t>targu mogą oglądać nieruchomość w terminie uzgodnionym z Organizatorem przetargu.</w:t>
      </w:r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sz w:val="16"/>
          <w:szCs w:val="16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>W tej sprawie, jak w innych kwestiach związanych z przetargiem i nieruchomością, zainteresowani mogą kontaktować się z pracownikami Organizatora:</w:t>
      </w:r>
    </w:p>
    <w:p w:rsidR="000A1B68" w:rsidRDefault="000A1B68">
      <w:pPr>
        <w:pStyle w:val="NormalnyWeb"/>
        <w:spacing w:before="0" w:after="0"/>
        <w:rPr>
          <w:rFonts w:ascii="Calibri" w:hAnsi="Calibri" w:cs="Calibri"/>
          <w:sz w:val="16"/>
          <w:szCs w:val="16"/>
          <w:u w:val="single"/>
        </w:rPr>
      </w:pPr>
    </w:p>
    <w:p w:rsidR="000A1B68" w:rsidRDefault="004150AB">
      <w:pPr>
        <w:pStyle w:val="NormalnyWeb"/>
        <w:spacing w:before="0" w:after="0"/>
      </w:pPr>
      <w:r>
        <w:rPr>
          <w:rFonts w:ascii="Calibri" w:hAnsi="Calibri" w:cs="Calibri"/>
          <w:u w:val="single"/>
        </w:rPr>
        <w:t>Kontakt:</w:t>
      </w:r>
      <w:r>
        <w:rPr>
          <w:rFonts w:ascii="Calibri" w:hAnsi="Calibri" w:cs="Calibri"/>
        </w:rPr>
        <w:t xml:space="preserve"> Dział Techniczny,</w:t>
      </w:r>
      <w:r>
        <w:rPr>
          <w:rFonts w:ascii="Calibri" w:hAnsi="Calibri" w:cs="Calibri"/>
        </w:rPr>
        <w:t xml:space="preserve"> nr tel. 75 612 07 35 lub 530 702 884,</w:t>
      </w:r>
    </w:p>
    <w:p w:rsidR="000A1B68" w:rsidRDefault="004150AB">
      <w:pPr>
        <w:pStyle w:val="NormalnyWeb"/>
        <w:spacing w:before="0" w:after="0"/>
      </w:pPr>
      <w:r>
        <w:rPr>
          <w:rFonts w:ascii="Calibri" w:hAnsi="Calibri" w:cs="Calibri"/>
        </w:rPr>
        <w:t xml:space="preserve">adres e-mail: </w:t>
      </w:r>
      <w:hyperlink r:id="rId9" w:history="1">
        <w:r>
          <w:rPr>
            <w:rStyle w:val="Hipercze"/>
            <w:rFonts w:ascii="Calibri" w:hAnsi="Calibri" w:cs="Calibri"/>
            <w:color w:val="auto"/>
          </w:rPr>
          <w:t>l.wolyniak@ceramicboleslawiec.com.pl</w:t>
        </w:r>
      </w:hyperlink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0A1B68" w:rsidRDefault="004150AB">
      <w:pPr>
        <w:pStyle w:val="NormalnyWeb"/>
        <w:spacing w:before="0" w:after="0"/>
        <w:jc w:val="both"/>
      </w:pPr>
      <w:r>
        <w:rPr>
          <w:rFonts w:ascii="Calibri" w:hAnsi="Calibri" w:cs="Calibri"/>
        </w:rPr>
        <w:t>Ogłoszenie o przetargu jest zamieszczone na stronie internetowej Spółki (www.ceramicboleslawiec.com.pl),</w:t>
      </w:r>
      <w:r>
        <w:rPr>
          <w:rFonts w:ascii="Calibri" w:hAnsi="Calibri" w:cs="Calibri"/>
        </w:rPr>
        <w:t xml:space="preserve"> na tablicach informacyjnych Spółki, w Biuletynie Informacji Publicznej Ministerstwa Aktywów Państwowych oraz na stronie www.monitorurzedowy.pl.</w:t>
      </w:r>
    </w:p>
    <w:p w:rsidR="000A1B68" w:rsidRDefault="000A1B68">
      <w:pPr>
        <w:pStyle w:val="NormalnyWeb"/>
        <w:spacing w:before="0" w:after="0" w:line="276" w:lineRule="auto"/>
        <w:jc w:val="both"/>
        <w:rPr>
          <w:rFonts w:ascii="Calibri" w:hAnsi="Calibri" w:cs="Calibri"/>
          <w:sz w:val="16"/>
          <w:szCs w:val="16"/>
          <w:u w:val="single"/>
        </w:rPr>
      </w:pPr>
    </w:p>
    <w:p w:rsidR="000A1B68" w:rsidRDefault="004150AB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Organizator zastrzega sobie prawo do zamknięcia przetargu bez wybrania którejkolwiek z ofert, bez podania przy</w:t>
      </w:r>
      <w:r>
        <w:rPr>
          <w:rFonts w:ascii="Calibri" w:hAnsi="Calibri" w:cs="Calibri"/>
        </w:rPr>
        <w:t>czyn.</w:t>
      </w:r>
    </w:p>
    <w:p w:rsidR="000A1B68" w:rsidRDefault="000A1B68">
      <w:pPr>
        <w:pStyle w:val="NormalnyWeb"/>
        <w:spacing w:before="0" w:after="0"/>
        <w:jc w:val="both"/>
      </w:pPr>
    </w:p>
    <w:sectPr w:rsidR="000A1B68">
      <w:footerReference w:type="default" r:id="rId10"/>
      <w:pgSz w:w="11906" w:h="16838"/>
      <w:pgMar w:top="1021" w:right="1247" w:bottom="1021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0AB" w:rsidRDefault="004150AB">
      <w:pPr>
        <w:spacing w:after="0"/>
      </w:pPr>
      <w:r>
        <w:separator/>
      </w:r>
    </w:p>
  </w:endnote>
  <w:endnote w:type="continuationSeparator" w:id="0">
    <w:p w:rsidR="004150AB" w:rsidRDefault="004150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3D" w:rsidRDefault="004150A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151567">
      <w:rPr>
        <w:noProof/>
      </w:rPr>
      <w:t>1</w:t>
    </w:r>
    <w:r>
      <w:fldChar w:fldCharType="end"/>
    </w:r>
  </w:p>
  <w:p w:rsidR="00C43F3D" w:rsidRDefault="004150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0AB" w:rsidRDefault="004150AB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4150AB" w:rsidRDefault="004150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787C"/>
    <w:multiLevelType w:val="multilevel"/>
    <w:tmpl w:val="0D1C254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F337A50"/>
    <w:multiLevelType w:val="multilevel"/>
    <w:tmpl w:val="66369F30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16045"/>
    <w:multiLevelType w:val="multilevel"/>
    <w:tmpl w:val="ED5CA16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E812738"/>
    <w:multiLevelType w:val="multilevel"/>
    <w:tmpl w:val="8BE43EB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3D42BA4"/>
    <w:multiLevelType w:val="multilevel"/>
    <w:tmpl w:val="C09CA5AA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54B61145"/>
    <w:multiLevelType w:val="multilevel"/>
    <w:tmpl w:val="77E4E51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6A34F47"/>
    <w:multiLevelType w:val="multilevel"/>
    <w:tmpl w:val="3FE21E80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6A353ED3"/>
    <w:multiLevelType w:val="multilevel"/>
    <w:tmpl w:val="F12E0EA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7DAB59D1"/>
    <w:multiLevelType w:val="multilevel"/>
    <w:tmpl w:val="CEEE133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7F96010F"/>
    <w:multiLevelType w:val="multilevel"/>
    <w:tmpl w:val="82EE6A2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A1B68"/>
    <w:rsid w:val="000A1B68"/>
    <w:rsid w:val="00151567"/>
    <w:rsid w:val="0041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FDB1C87-1C50-4158-BBA8-71A05FEB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Normalny"/>
    <w:pPr>
      <w:widowControl/>
      <w:suppressAutoHyphens w:val="0"/>
      <w:spacing w:before="100" w:after="100"/>
      <w:textAlignment w:val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alnyWeb">
    <w:name w:val="Normal (Web)"/>
    <w:basedOn w:val="Standard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character" w:styleId="Uwydatnienie">
    <w:name w:val="Emphasis"/>
    <w:basedOn w:val="Domylnaczcionkaakapitu"/>
    <w:rPr>
      <w:i/>
      <w:iCs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Nagwek1Znak">
    <w:name w:val="Nagłówek 1 Znak"/>
    <w:basedOn w:val="Domylnaczcionkaakapitu"/>
    <w:rPr>
      <w:rFonts w:ascii="Times New Roman" w:eastAsia="Times New Roman" w:hAnsi="Times New Roman" w:cs="Times New Roman"/>
      <w:b/>
      <w:bCs/>
      <w:kern w:val="3"/>
      <w:sz w:val="48"/>
      <w:szCs w:val="48"/>
      <w:lang w:eastAsia="pl-P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geoportal.powiatboleslawiecki.pl/pls/apex/f?p=MAPA:1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.wolyniak@ceramicboleslawiec.com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1266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Zauer, Agnieszka</dc:creator>
  <cp:lastModifiedBy>Sekretariat DNIII</cp:lastModifiedBy>
  <cp:revision>2</cp:revision>
  <cp:lastPrinted>2021-10-14T11:27:00Z</cp:lastPrinted>
  <dcterms:created xsi:type="dcterms:W3CDTF">2021-10-14T12:56:00Z</dcterms:created>
  <dcterms:modified xsi:type="dcterms:W3CDTF">2021-10-14T12:56:00Z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