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E9107" w14:textId="77777777" w:rsidR="00BB477A" w:rsidRPr="00BB477A" w:rsidRDefault="00BB477A" w:rsidP="00BB477A">
      <w:pPr>
        <w:pStyle w:val="Nagwek1"/>
        <w:rPr>
          <w:b/>
          <w:bCs/>
        </w:rPr>
      </w:pPr>
      <w:r w:rsidRPr="00BB477A">
        <w:rPr>
          <w:b/>
          <w:bCs/>
        </w:rPr>
        <w:t>8.6.2 Część 2) Rozwój OZE</w:t>
      </w:r>
    </w:p>
    <w:p w14:paraId="3398FF25"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0F810EE1" w14:textId="77777777" w:rsidR="002B77AB" w:rsidRPr="00186952" w:rsidRDefault="002B77AB" w:rsidP="00186952">
      <w:pPr>
        <w:pStyle w:val="Nagwek1"/>
        <w:spacing w:line="276" w:lineRule="auto"/>
        <w:rPr>
          <w:rFonts w:ascii="Open Sans" w:hAnsi="Open Sans" w:cs="Open Sans"/>
          <w:sz w:val="28"/>
          <w:szCs w:val="28"/>
        </w:rPr>
      </w:pPr>
      <w:r w:rsidRPr="00186952">
        <w:rPr>
          <w:rFonts w:ascii="Open Sans" w:hAnsi="Open Sans" w:cs="Open Sans"/>
          <w:sz w:val="28"/>
          <w:szCs w:val="28"/>
        </w:rPr>
        <w:t>Czy w ramach prowadzonego naboru wniosków o dofinansowanie można złożyć wniosek na farmę fotowoltaiczną?</w:t>
      </w:r>
    </w:p>
    <w:p w14:paraId="65247872"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432D9BC9" w14:textId="77777777" w:rsidR="002B77AB" w:rsidRPr="00186952" w:rsidRDefault="002B77AB" w:rsidP="00186952">
      <w:pPr>
        <w:spacing w:line="276" w:lineRule="auto"/>
        <w:rPr>
          <w:rFonts w:ascii="Open Sans" w:hAnsi="Open Sans" w:cs="Open Sans"/>
          <w:sz w:val="24"/>
          <w:szCs w:val="24"/>
        </w:rPr>
      </w:pPr>
      <w:r w:rsidRPr="00186952">
        <w:rPr>
          <w:rFonts w:ascii="Open Sans" w:hAnsi="Open Sans" w:cs="Open Sans"/>
          <w:sz w:val="24"/>
          <w:szCs w:val="24"/>
        </w:rPr>
        <w:t>Ogłoszony nabór  pod linkiem :</w:t>
      </w:r>
    </w:p>
    <w:p w14:paraId="47BE36DA" w14:textId="77777777" w:rsidR="002B77AB" w:rsidRPr="00186952" w:rsidRDefault="00BB477A" w:rsidP="00186952">
      <w:pPr>
        <w:spacing w:line="276" w:lineRule="auto"/>
        <w:rPr>
          <w:rFonts w:ascii="Open Sans" w:hAnsi="Open Sans" w:cs="Open Sans"/>
          <w:sz w:val="24"/>
          <w:szCs w:val="24"/>
        </w:rPr>
      </w:pPr>
      <w:hyperlink r:id="rId5" w:tgtFrame="_blank" w:history="1">
        <w:r w:rsidR="002B77AB" w:rsidRPr="00186952">
          <w:rPr>
            <w:rStyle w:val="Hipercze"/>
            <w:rFonts w:ascii="Open Sans" w:hAnsi="Open Sans" w:cs="Open Sans"/>
            <w:sz w:val="24"/>
            <w:szCs w:val="24"/>
          </w:rPr>
          <w:t>8.6.2 Część 2) Rozwój OZE - Narodowy Fundusz Ochrony Środowiska i Gospodarki Wodnej - Portal Gov.pl (www.gov.pl)</w:t>
        </w:r>
      </w:hyperlink>
    </w:p>
    <w:p w14:paraId="674B11F3" w14:textId="77777777" w:rsidR="002B77AB" w:rsidRPr="00186952" w:rsidRDefault="002B77AB" w:rsidP="00186952">
      <w:pPr>
        <w:spacing w:line="276" w:lineRule="auto"/>
        <w:rPr>
          <w:rFonts w:ascii="Open Sans" w:hAnsi="Open Sans" w:cs="Open Sans"/>
          <w:sz w:val="24"/>
          <w:szCs w:val="24"/>
        </w:rPr>
      </w:pPr>
      <w:r w:rsidRPr="00186952">
        <w:rPr>
          <w:rFonts w:ascii="Open Sans" w:hAnsi="Open Sans" w:cs="Open Sans"/>
          <w:sz w:val="24"/>
          <w:szCs w:val="24"/>
        </w:rPr>
        <w:t xml:space="preserve">Dedykowany jest tylko przedsięwzięciom  z zakresu biogazowni i </w:t>
      </w:r>
      <w:proofErr w:type="spellStart"/>
      <w:r w:rsidRPr="00186952">
        <w:rPr>
          <w:rFonts w:ascii="Open Sans" w:hAnsi="Open Sans" w:cs="Open Sans"/>
          <w:sz w:val="24"/>
          <w:szCs w:val="24"/>
        </w:rPr>
        <w:t>biometanowni</w:t>
      </w:r>
      <w:proofErr w:type="spellEnd"/>
      <w:r w:rsidRPr="00186952">
        <w:rPr>
          <w:rFonts w:ascii="Open Sans" w:hAnsi="Open Sans" w:cs="Open Sans"/>
          <w:sz w:val="24"/>
          <w:szCs w:val="24"/>
        </w:rPr>
        <w:t>.</w:t>
      </w:r>
    </w:p>
    <w:p w14:paraId="45FC7F6D" w14:textId="77777777" w:rsidR="002B77AB" w:rsidRPr="00186952" w:rsidRDefault="002B77AB" w:rsidP="00186952">
      <w:pPr>
        <w:spacing w:line="276" w:lineRule="auto"/>
        <w:rPr>
          <w:rFonts w:ascii="Open Sans" w:hAnsi="Open Sans" w:cs="Open Sans"/>
          <w:sz w:val="24"/>
          <w:szCs w:val="24"/>
        </w:rPr>
      </w:pPr>
      <w:r w:rsidRPr="00186952">
        <w:rPr>
          <w:rFonts w:ascii="Open Sans" w:hAnsi="Open Sans" w:cs="Open Sans"/>
          <w:sz w:val="24"/>
          <w:szCs w:val="24"/>
        </w:rPr>
        <w:t> </w:t>
      </w:r>
    </w:p>
    <w:p w14:paraId="02B164E0" w14:textId="77777777" w:rsidR="002B77AB" w:rsidRPr="00186952" w:rsidRDefault="002B77AB" w:rsidP="00186952">
      <w:pPr>
        <w:spacing w:line="276" w:lineRule="auto"/>
        <w:rPr>
          <w:rFonts w:ascii="Open Sans" w:hAnsi="Open Sans" w:cs="Open Sans"/>
          <w:sz w:val="24"/>
          <w:szCs w:val="24"/>
        </w:rPr>
      </w:pPr>
      <w:r w:rsidRPr="00186952">
        <w:rPr>
          <w:rFonts w:ascii="Open Sans" w:hAnsi="Open Sans" w:cs="Open Sans"/>
          <w:sz w:val="24"/>
          <w:szCs w:val="24"/>
        </w:rPr>
        <w:t>Na chwilę obecną Ministerstwo Klimatu i Środowiska (</w:t>
      </w:r>
      <w:proofErr w:type="spellStart"/>
      <w:r w:rsidRPr="00186952">
        <w:rPr>
          <w:rFonts w:ascii="Open Sans" w:hAnsi="Open Sans" w:cs="Open Sans"/>
          <w:sz w:val="24"/>
          <w:szCs w:val="24"/>
        </w:rPr>
        <w:t>MKiŚ</w:t>
      </w:r>
      <w:proofErr w:type="spellEnd"/>
      <w:r w:rsidRPr="00186952">
        <w:rPr>
          <w:rFonts w:ascii="Open Sans" w:hAnsi="Open Sans" w:cs="Open Sans"/>
          <w:sz w:val="24"/>
          <w:szCs w:val="24"/>
        </w:rPr>
        <w:t>) nie przewiduje ogłoszenia naborów w ramach FENX.02.02 na dofinansowanie instalacji PV.</w:t>
      </w:r>
    </w:p>
    <w:p w14:paraId="6A77848B"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0624B7EC" w14:textId="77777777" w:rsidR="002B77AB" w:rsidRPr="00186952" w:rsidRDefault="002B77AB" w:rsidP="00186952">
      <w:pPr>
        <w:pStyle w:val="Nagwek1"/>
        <w:spacing w:line="276" w:lineRule="auto"/>
        <w:rPr>
          <w:rFonts w:ascii="Open Sans" w:hAnsi="Open Sans" w:cs="Open Sans"/>
          <w:sz w:val="28"/>
          <w:szCs w:val="28"/>
        </w:rPr>
      </w:pPr>
      <w:r w:rsidRPr="00186952">
        <w:rPr>
          <w:rFonts w:ascii="Open Sans" w:hAnsi="Open Sans" w:cs="Open Sans"/>
          <w:sz w:val="28"/>
          <w:szCs w:val="28"/>
        </w:rPr>
        <w:t>W związku z limitami finansowania ze środków UE w Regulaminie Naboru (</w:t>
      </w:r>
      <w:proofErr w:type="spellStart"/>
      <w:r w:rsidRPr="00186952">
        <w:rPr>
          <w:rFonts w:ascii="Open Sans" w:hAnsi="Open Sans" w:cs="Open Sans"/>
          <w:sz w:val="28"/>
          <w:szCs w:val="28"/>
        </w:rPr>
        <w:t>biometan</w:t>
      </w:r>
      <w:proofErr w:type="spellEnd"/>
      <w:r w:rsidRPr="00186952">
        <w:rPr>
          <w:rFonts w:ascii="Open Sans" w:hAnsi="Open Sans" w:cs="Open Sans"/>
          <w:sz w:val="28"/>
          <w:szCs w:val="28"/>
        </w:rPr>
        <w:t xml:space="preserve"> do  50 mln zł, biogaz do 40 mln ) oraz wymogiem finansowania kosztów kwalifikowanych w 100 % z instrumentu finansowego  w proporcji 79,71% kosztów kwalifikowanych ze środków EFRR oraz 20,29% ze środków NFOŚiGW,  czy w ramach wniosku o dofinansowanie można wydzielić część kosztów  inwestycji polegającej na budowie </w:t>
      </w:r>
      <w:proofErr w:type="spellStart"/>
      <w:r w:rsidRPr="00186952">
        <w:rPr>
          <w:rFonts w:ascii="Open Sans" w:hAnsi="Open Sans" w:cs="Open Sans"/>
          <w:sz w:val="28"/>
          <w:szCs w:val="28"/>
        </w:rPr>
        <w:t>biometanowni</w:t>
      </w:r>
      <w:proofErr w:type="spellEnd"/>
      <w:r w:rsidRPr="00186952">
        <w:rPr>
          <w:rFonts w:ascii="Open Sans" w:hAnsi="Open Sans" w:cs="Open Sans"/>
          <w:sz w:val="28"/>
          <w:szCs w:val="28"/>
        </w:rPr>
        <w:t>/biogazowni jako niekwalifikowane?</w:t>
      </w:r>
    </w:p>
    <w:p w14:paraId="49B080AC"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13451935" w14:textId="77777777" w:rsidR="002B77AB" w:rsidRPr="00186952" w:rsidRDefault="002B77AB" w:rsidP="00186952">
      <w:pPr>
        <w:spacing w:line="276" w:lineRule="auto"/>
        <w:rPr>
          <w:rFonts w:ascii="Open Sans" w:hAnsi="Open Sans" w:cs="Open Sans"/>
          <w:sz w:val="24"/>
          <w:szCs w:val="24"/>
        </w:rPr>
      </w:pPr>
      <w:r w:rsidRPr="00186952">
        <w:rPr>
          <w:rFonts w:ascii="Open Sans" w:hAnsi="Open Sans" w:cs="Open Sans"/>
          <w:sz w:val="24"/>
          <w:szCs w:val="24"/>
        </w:rPr>
        <w:t>Ze względu na ograniczenia w finansowaniu całości kosztów kwalifikowanych z instrumentu finansowego należy obniżyć koszty kwalifikowane we wniosku o dofinansowanie do kwoty maksymalnie możliwego dofinansowania z EFRR i pożyczki z NFOŚiGW stanowiącej 20,29% kosztów kwalifikowanych.</w:t>
      </w:r>
    </w:p>
    <w:p w14:paraId="5CE4CE1C" w14:textId="77777777" w:rsidR="002B77AB" w:rsidRPr="00186952" w:rsidRDefault="002B77AB" w:rsidP="00186952">
      <w:pPr>
        <w:spacing w:line="276" w:lineRule="auto"/>
        <w:rPr>
          <w:rFonts w:ascii="Open Sans" w:hAnsi="Open Sans" w:cs="Open Sans"/>
          <w:sz w:val="24"/>
          <w:szCs w:val="24"/>
        </w:rPr>
      </w:pPr>
      <w:r w:rsidRPr="00186952">
        <w:rPr>
          <w:rFonts w:ascii="Open Sans" w:hAnsi="Open Sans" w:cs="Open Sans"/>
          <w:sz w:val="24"/>
          <w:szCs w:val="24"/>
        </w:rPr>
        <w:t> </w:t>
      </w:r>
    </w:p>
    <w:p w14:paraId="50C3E96E" w14:textId="77777777" w:rsidR="002B77AB" w:rsidRPr="00186952" w:rsidRDefault="002B77AB" w:rsidP="00186952">
      <w:pPr>
        <w:spacing w:line="276" w:lineRule="auto"/>
        <w:rPr>
          <w:rFonts w:ascii="Open Sans" w:hAnsi="Open Sans" w:cs="Open Sans"/>
          <w:sz w:val="24"/>
          <w:szCs w:val="24"/>
        </w:rPr>
      </w:pPr>
      <w:r w:rsidRPr="00186952">
        <w:rPr>
          <w:rFonts w:ascii="Open Sans" w:hAnsi="Open Sans" w:cs="Open Sans"/>
          <w:sz w:val="24"/>
          <w:szCs w:val="24"/>
        </w:rPr>
        <w:lastRenderedPageBreak/>
        <w:t>Jednocześnie informujemy, że  trwają konsultacje w tym zakresie z Ministerstwem Klimatu i Środowiska.</w:t>
      </w:r>
    </w:p>
    <w:p w14:paraId="06DEF1F6"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31F52B68" w14:textId="77777777" w:rsidR="002B77AB" w:rsidRPr="00186952" w:rsidRDefault="002B77AB" w:rsidP="00186952">
      <w:pPr>
        <w:pStyle w:val="Nagwek1"/>
        <w:spacing w:line="276" w:lineRule="auto"/>
        <w:rPr>
          <w:rFonts w:ascii="Open Sans" w:hAnsi="Open Sans" w:cs="Open Sans"/>
          <w:sz w:val="28"/>
          <w:szCs w:val="28"/>
        </w:rPr>
      </w:pPr>
      <w:r w:rsidRPr="00186952">
        <w:rPr>
          <w:rFonts w:ascii="Open Sans" w:hAnsi="Open Sans" w:cs="Open Sans"/>
          <w:sz w:val="28"/>
          <w:szCs w:val="28"/>
        </w:rPr>
        <w:t>Czy w przypadku budowy biogazowni można sumować moc elektryczną i moc cieplną,  aby uzyskać  całkowitą moc instalacji powyżej 0,5 MW?</w:t>
      </w:r>
    </w:p>
    <w:p w14:paraId="258F01BC"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7A4251AD" w14:textId="77777777" w:rsidR="002B77AB" w:rsidRPr="00186952" w:rsidRDefault="002B77AB" w:rsidP="00186952">
      <w:pPr>
        <w:spacing w:line="276" w:lineRule="auto"/>
        <w:rPr>
          <w:rFonts w:ascii="Open Sans" w:hAnsi="Open Sans" w:cs="Open Sans"/>
          <w:sz w:val="24"/>
          <w:szCs w:val="24"/>
        </w:rPr>
      </w:pPr>
      <w:r w:rsidRPr="00186952">
        <w:rPr>
          <w:rFonts w:ascii="Open Sans" w:hAnsi="Open Sans" w:cs="Open Sans"/>
          <w:sz w:val="24"/>
          <w:szCs w:val="24"/>
        </w:rPr>
        <w:t xml:space="preserve">Z uwagi na  linię demarkacyjną z regionalnymi programami operacyjnymi przewidziane jest wsparcie instalacji o mocy energii elektrycznej lub  energii cieplnej  powyżej 0,5 MW. Nie można sumować mocy </w:t>
      </w:r>
      <w:proofErr w:type="spellStart"/>
      <w:r w:rsidRPr="00186952">
        <w:rPr>
          <w:rFonts w:ascii="Open Sans" w:hAnsi="Open Sans" w:cs="Open Sans"/>
          <w:sz w:val="24"/>
          <w:szCs w:val="24"/>
        </w:rPr>
        <w:t>tz</w:t>
      </w:r>
      <w:proofErr w:type="spellEnd"/>
      <w:r w:rsidRPr="00186952">
        <w:rPr>
          <w:rFonts w:ascii="Open Sans" w:hAnsi="Open Sans" w:cs="Open Sans"/>
          <w:sz w:val="24"/>
          <w:szCs w:val="24"/>
        </w:rPr>
        <w:t>. jedna z mocy musi być większa niż 0,5 MW.</w:t>
      </w:r>
    </w:p>
    <w:p w14:paraId="5D444585" w14:textId="77777777" w:rsidR="002B77AB" w:rsidRPr="00186952" w:rsidRDefault="002B77AB" w:rsidP="00186952">
      <w:pPr>
        <w:spacing w:line="276" w:lineRule="auto"/>
        <w:rPr>
          <w:rFonts w:ascii="Open Sans" w:hAnsi="Open Sans" w:cs="Open Sans"/>
          <w:sz w:val="24"/>
          <w:szCs w:val="24"/>
        </w:rPr>
      </w:pPr>
      <w:r w:rsidRPr="00186952">
        <w:rPr>
          <w:rFonts w:ascii="Open Sans" w:hAnsi="Open Sans" w:cs="Open Sans"/>
          <w:sz w:val="24"/>
          <w:szCs w:val="24"/>
        </w:rPr>
        <w:t> </w:t>
      </w:r>
    </w:p>
    <w:p w14:paraId="1F2BD9E8" w14:textId="77777777" w:rsidR="002B77AB" w:rsidRPr="00186952" w:rsidRDefault="002B77AB" w:rsidP="00186952">
      <w:pPr>
        <w:pStyle w:val="Nagwek1"/>
        <w:spacing w:line="276" w:lineRule="auto"/>
        <w:rPr>
          <w:rFonts w:ascii="Open Sans" w:hAnsi="Open Sans" w:cs="Open Sans"/>
          <w:sz w:val="28"/>
          <w:szCs w:val="28"/>
        </w:rPr>
      </w:pPr>
      <w:r w:rsidRPr="00186952">
        <w:rPr>
          <w:rFonts w:ascii="Open Sans" w:hAnsi="Open Sans" w:cs="Open Sans"/>
          <w:sz w:val="28"/>
          <w:szCs w:val="28"/>
        </w:rPr>
        <w:t xml:space="preserve">Czy w przypadku rozbudowy biogazowni o instalację </w:t>
      </w:r>
      <w:proofErr w:type="spellStart"/>
      <w:r w:rsidRPr="00186952">
        <w:rPr>
          <w:rFonts w:ascii="Open Sans" w:hAnsi="Open Sans" w:cs="Open Sans"/>
          <w:sz w:val="28"/>
          <w:szCs w:val="28"/>
        </w:rPr>
        <w:t>biometanową</w:t>
      </w:r>
      <w:proofErr w:type="spellEnd"/>
      <w:r w:rsidRPr="00186952">
        <w:rPr>
          <w:rFonts w:ascii="Open Sans" w:hAnsi="Open Sans" w:cs="Open Sans"/>
          <w:sz w:val="28"/>
          <w:szCs w:val="28"/>
        </w:rPr>
        <w:t>,  istniejąca biogazownia musi mieć  moc energii elektrycznej lub  energii cieplnej  powyżej 0,5 MW?</w:t>
      </w:r>
    </w:p>
    <w:p w14:paraId="705363E8" w14:textId="77777777" w:rsidR="002B77AB" w:rsidRPr="00186952" w:rsidRDefault="002B77AB" w:rsidP="00186952">
      <w:pPr>
        <w:spacing w:line="276" w:lineRule="auto"/>
        <w:rPr>
          <w:rFonts w:ascii="Open Sans" w:hAnsi="Open Sans" w:cs="Open Sans"/>
          <w:sz w:val="24"/>
          <w:szCs w:val="24"/>
        </w:rPr>
      </w:pPr>
      <w:r w:rsidRPr="00186952">
        <w:rPr>
          <w:rFonts w:ascii="Open Sans" w:hAnsi="Open Sans" w:cs="Open Sans"/>
          <w:sz w:val="24"/>
          <w:szCs w:val="24"/>
        </w:rPr>
        <w:t> </w:t>
      </w:r>
    </w:p>
    <w:p w14:paraId="4A2CB830" w14:textId="77777777" w:rsidR="002B77AB" w:rsidRPr="00186952" w:rsidRDefault="002B77AB" w:rsidP="00186952">
      <w:pPr>
        <w:spacing w:line="276" w:lineRule="auto"/>
        <w:rPr>
          <w:rFonts w:ascii="Open Sans" w:hAnsi="Open Sans" w:cs="Open Sans"/>
          <w:sz w:val="24"/>
          <w:szCs w:val="24"/>
        </w:rPr>
      </w:pPr>
      <w:r w:rsidRPr="00186952">
        <w:rPr>
          <w:rFonts w:ascii="Open Sans" w:hAnsi="Open Sans" w:cs="Open Sans"/>
          <w:sz w:val="24"/>
          <w:szCs w:val="24"/>
        </w:rPr>
        <w:t xml:space="preserve">Jeśli istniejąca biogazowa nie wymaga modernizacji lub niewykazywane są koszty modernizacji biogazowni jako koszty kwalifikowane, nie ma ograniczeń w zakresie mocy danej biogazowni. Dla  instalacji produkującej </w:t>
      </w:r>
      <w:proofErr w:type="spellStart"/>
      <w:r w:rsidRPr="00186952">
        <w:rPr>
          <w:rFonts w:ascii="Open Sans" w:hAnsi="Open Sans" w:cs="Open Sans"/>
          <w:sz w:val="24"/>
          <w:szCs w:val="24"/>
        </w:rPr>
        <w:t>biometam</w:t>
      </w:r>
      <w:proofErr w:type="spellEnd"/>
      <w:r w:rsidRPr="00186952">
        <w:rPr>
          <w:rFonts w:ascii="Open Sans" w:hAnsi="Open Sans" w:cs="Open Sans"/>
          <w:sz w:val="24"/>
          <w:szCs w:val="24"/>
        </w:rPr>
        <w:t xml:space="preserve"> nie ma ograniczeń </w:t>
      </w:r>
      <w:proofErr w:type="spellStart"/>
      <w:r w:rsidRPr="00186952">
        <w:rPr>
          <w:rFonts w:ascii="Open Sans" w:hAnsi="Open Sans" w:cs="Open Sans"/>
          <w:sz w:val="24"/>
          <w:szCs w:val="24"/>
        </w:rPr>
        <w:t>mocowych</w:t>
      </w:r>
      <w:proofErr w:type="spellEnd"/>
      <w:r w:rsidRPr="00186952">
        <w:rPr>
          <w:rFonts w:ascii="Open Sans" w:hAnsi="Open Sans" w:cs="Open Sans"/>
          <w:sz w:val="24"/>
          <w:szCs w:val="24"/>
        </w:rPr>
        <w:t>.</w:t>
      </w:r>
    </w:p>
    <w:p w14:paraId="30A2DB7C"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72CAF9E9" w14:textId="77777777" w:rsidR="002B77AB" w:rsidRPr="00186952" w:rsidRDefault="002B77AB" w:rsidP="00186952">
      <w:pPr>
        <w:pStyle w:val="Nagwek1"/>
        <w:spacing w:line="276" w:lineRule="auto"/>
        <w:rPr>
          <w:rFonts w:ascii="Open Sans" w:hAnsi="Open Sans" w:cs="Open Sans"/>
          <w:sz w:val="28"/>
          <w:szCs w:val="28"/>
        </w:rPr>
      </w:pPr>
      <w:r w:rsidRPr="00186952">
        <w:rPr>
          <w:rFonts w:ascii="Open Sans" w:hAnsi="Open Sans" w:cs="Open Sans"/>
          <w:sz w:val="28"/>
          <w:szCs w:val="28"/>
        </w:rPr>
        <w:t>Rozbudowa/modernizacja biogazowni – jaki zakres jest możliwy – w szczególności  pod kątem przedsiębiorstw wodno-kanalizacyjnych ? Czy modernizacja/rozbudowa  biogazowni  musi wiązać się ze zwiększeniem mocy instalacji o ponad 0,5 MW  w zakresie produkcji energii elektrycznej lub energii cieplnej?</w:t>
      </w:r>
    </w:p>
    <w:p w14:paraId="6FE265FD"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5B6F8EF9" w14:textId="77777777" w:rsidR="002B77AB" w:rsidRPr="00186952" w:rsidRDefault="002B77AB" w:rsidP="00186952">
      <w:pPr>
        <w:spacing w:line="276" w:lineRule="auto"/>
        <w:rPr>
          <w:rFonts w:ascii="Open Sans" w:hAnsi="Open Sans" w:cs="Open Sans"/>
          <w:sz w:val="24"/>
          <w:szCs w:val="24"/>
        </w:rPr>
      </w:pPr>
      <w:r w:rsidRPr="00186952">
        <w:rPr>
          <w:rFonts w:ascii="Open Sans" w:hAnsi="Open Sans" w:cs="Open Sans"/>
          <w:sz w:val="24"/>
          <w:szCs w:val="24"/>
        </w:rPr>
        <w:t>Rozbudowa/modernizacja biogazowni musi wiązać się ze zwiększeniem mocy instalacji o ponad 0,5 MW  w zakresie produkcji energii elektrycznej lub energii cieplnej.</w:t>
      </w:r>
    </w:p>
    <w:p w14:paraId="61CCCE3B"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09109D3B"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5D6C9435" w14:textId="77777777" w:rsidR="002B77AB" w:rsidRPr="00186952" w:rsidRDefault="002B77AB" w:rsidP="00186952">
      <w:pPr>
        <w:pStyle w:val="Nagwek1"/>
        <w:spacing w:line="276" w:lineRule="auto"/>
        <w:rPr>
          <w:rFonts w:ascii="Open Sans" w:hAnsi="Open Sans" w:cs="Open Sans"/>
          <w:sz w:val="28"/>
          <w:szCs w:val="28"/>
        </w:rPr>
      </w:pPr>
      <w:r w:rsidRPr="00186952">
        <w:rPr>
          <w:rFonts w:ascii="Open Sans" w:hAnsi="Open Sans" w:cs="Open Sans"/>
          <w:sz w:val="28"/>
          <w:szCs w:val="28"/>
        </w:rPr>
        <w:t xml:space="preserve">Czy jeżeli jeden wnioskodawca planuje realizację budowy kilku </w:t>
      </w:r>
      <w:proofErr w:type="spellStart"/>
      <w:r w:rsidRPr="00186952">
        <w:rPr>
          <w:rFonts w:ascii="Open Sans" w:hAnsi="Open Sans" w:cs="Open Sans"/>
          <w:sz w:val="28"/>
          <w:szCs w:val="28"/>
        </w:rPr>
        <w:t>biometanowni</w:t>
      </w:r>
      <w:proofErr w:type="spellEnd"/>
      <w:r w:rsidRPr="00186952">
        <w:rPr>
          <w:rFonts w:ascii="Open Sans" w:hAnsi="Open Sans" w:cs="Open Sans"/>
          <w:sz w:val="28"/>
          <w:szCs w:val="28"/>
        </w:rPr>
        <w:t>, w kilku odrębnych lokalizacjach, to może złożyć jeden wniosek, czy musi złożyć kilka wniosków (każdy dla innej lokalizacji projektu)?</w:t>
      </w:r>
    </w:p>
    <w:p w14:paraId="7B5B0D8C" w14:textId="77777777" w:rsidR="006245B3" w:rsidRPr="00186952" w:rsidRDefault="006245B3" w:rsidP="00186952">
      <w:pPr>
        <w:spacing w:line="276" w:lineRule="auto"/>
        <w:rPr>
          <w:rFonts w:ascii="Open Sans" w:hAnsi="Open Sans" w:cs="Open Sans"/>
        </w:rPr>
      </w:pPr>
    </w:p>
    <w:p w14:paraId="297EA2CD" w14:textId="77777777" w:rsidR="002B77AB" w:rsidRPr="00186952" w:rsidRDefault="002B77AB" w:rsidP="00186952">
      <w:pPr>
        <w:spacing w:line="276" w:lineRule="auto"/>
        <w:rPr>
          <w:rFonts w:ascii="Open Sans" w:hAnsi="Open Sans" w:cs="Open Sans"/>
        </w:rPr>
      </w:pPr>
      <w:r w:rsidRPr="00186952">
        <w:rPr>
          <w:rFonts w:ascii="Open Sans" w:hAnsi="Open Sans" w:cs="Open Sans"/>
        </w:rPr>
        <w:t>Jeden przedsiębiorca może złożyć oddzielne wnioski o dofinansowanie na różne nie powiązane ze sobą  projekty tj.  w różnych lokalizacjach,  każdy z oddzielną  dokumentacją  m.in. przeprowadzoną oceną odziaływania na środowisko, z oddzielnymi warunkami przyłączeniowymi.</w:t>
      </w:r>
    </w:p>
    <w:p w14:paraId="7A385B60" w14:textId="5DA09E5A" w:rsidR="002B77AB" w:rsidRPr="00186952" w:rsidRDefault="002B77AB" w:rsidP="00186952">
      <w:pPr>
        <w:spacing w:line="276" w:lineRule="auto"/>
        <w:rPr>
          <w:rFonts w:ascii="Open Sans" w:hAnsi="Open Sans" w:cs="Open Sans"/>
        </w:rPr>
      </w:pPr>
      <w:r w:rsidRPr="00186952">
        <w:rPr>
          <w:rFonts w:ascii="Open Sans" w:hAnsi="Open Sans" w:cs="Open Sans"/>
        </w:rPr>
        <w:t>Można złożyć jeden wniosek na kilka instalacji, jednakże należy wziąć pod uwagę, że maksymalne limity dofinansowania z UE dotyczą całego wniosku a nie poszczególnych instalacji.</w:t>
      </w:r>
    </w:p>
    <w:p w14:paraId="5F1667F6"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799F2C65" w14:textId="77777777" w:rsidR="002B77AB" w:rsidRDefault="002B77AB" w:rsidP="00186952">
      <w:pPr>
        <w:pStyle w:val="Nagwek1"/>
        <w:rPr>
          <w:rFonts w:ascii="Open Sans" w:hAnsi="Open Sans" w:cs="Open Sans"/>
          <w:sz w:val="28"/>
          <w:szCs w:val="28"/>
        </w:rPr>
      </w:pPr>
      <w:r w:rsidRPr="00186952">
        <w:rPr>
          <w:rFonts w:ascii="Open Sans" w:hAnsi="Open Sans" w:cs="Open Sans"/>
          <w:sz w:val="28"/>
          <w:szCs w:val="28"/>
        </w:rPr>
        <w:t>Jakie wytyczne obowiązują do kwalifikowania wydatków?</w:t>
      </w:r>
    </w:p>
    <w:p w14:paraId="2D9DDCF8" w14:textId="77777777" w:rsidR="00186952" w:rsidRPr="00186952" w:rsidRDefault="00186952" w:rsidP="00186952"/>
    <w:p w14:paraId="6A770B56" w14:textId="77777777" w:rsidR="002B77AB" w:rsidRPr="00186952" w:rsidRDefault="002B77AB" w:rsidP="00186952">
      <w:pPr>
        <w:spacing w:line="276" w:lineRule="auto"/>
        <w:rPr>
          <w:rFonts w:ascii="Open Sans" w:hAnsi="Open Sans" w:cs="Open Sans"/>
        </w:rPr>
      </w:pPr>
      <w:r w:rsidRPr="00186952">
        <w:rPr>
          <w:rFonts w:ascii="Open Sans" w:hAnsi="Open Sans" w:cs="Open Sans"/>
        </w:rPr>
        <w:t>Podstawowe informacje na temat kosztów  kwalifikowanych znajdują się w treści programu priorytetowego 8.6.2 Współfinansowanie projektów realizowanych w ramach Programu Fundusze Europejskie na Infrastrukturę, Klimat, Środowisko 2021-2027 (</w:t>
      </w:r>
      <w:proofErr w:type="spellStart"/>
      <w:r w:rsidRPr="00186952">
        <w:rPr>
          <w:rFonts w:ascii="Open Sans" w:hAnsi="Open Sans" w:cs="Open Sans"/>
        </w:rPr>
        <w:t>FEnIKS</w:t>
      </w:r>
      <w:proofErr w:type="spellEnd"/>
      <w:r w:rsidRPr="00186952">
        <w:rPr>
          <w:rFonts w:ascii="Open Sans" w:hAnsi="Open Sans" w:cs="Open Sans"/>
        </w:rPr>
        <w:t xml:space="preserve"> Cześć 2) Rozwój OZE  w punkcie 6, gdzie wskazane zostały „Wytyczne w zakresie kosztów kwalifikowanych” z zastrzeżeniem, że:</w:t>
      </w:r>
    </w:p>
    <w:p w14:paraId="73FACAC4" w14:textId="77777777" w:rsidR="002B77AB" w:rsidRPr="00186952" w:rsidRDefault="002B77AB" w:rsidP="00186952">
      <w:pPr>
        <w:numPr>
          <w:ilvl w:val="0"/>
          <w:numId w:val="8"/>
        </w:numPr>
        <w:spacing w:line="276" w:lineRule="auto"/>
        <w:rPr>
          <w:rFonts w:ascii="Open Sans" w:hAnsi="Open Sans" w:cs="Open Sans"/>
        </w:rPr>
      </w:pPr>
      <w:r w:rsidRPr="00186952">
        <w:rPr>
          <w:rFonts w:ascii="Open Sans" w:hAnsi="Open Sans" w:cs="Open Sans"/>
        </w:rPr>
        <w:t>koszty związane z przygotowaniem przedsięwzięcia kwalifikuje się do wysokości nieprzekraczającej 10% sumy kosztów kwalifikowanych przedsięwzięcia,</w:t>
      </w:r>
    </w:p>
    <w:p w14:paraId="7741A9F3" w14:textId="77777777" w:rsidR="002B77AB" w:rsidRPr="00186952" w:rsidRDefault="002B77AB" w:rsidP="00186952">
      <w:pPr>
        <w:numPr>
          <w:ilvl w:val="0"/>
          <w:numId w:val="8"/>
        </w:numPr>
        <w:spacing w:line="276" w:lineRule="auto"/>
        <w:rPr>
          <w:rFonts w:ascii="Open Sans" w:hAnsi="Open Sans" w:cs="Open Sans"/>
        </w:rPr>
      </w:pPr>
      <w:r w:rsidRPr="00186952">
        <w:rPr>
          <w:rFonts w:ascii="Open Sans" w:hAnsi="Open Sans" w:cs="Open Sans"/>
        </w:rPr>
        <w:t>koszty związane z zarządzaniem przedsięwzięciem kwalifikuje się do wysokości nieprzekraczającej 10% kosztów kwalifikowanych przedsięwzięcia,</w:t>
      </w:r>
    </w:p>
    <w:p w14:paraId="2D21CD15" w14:textId="77777777" w:rsidR="002B77AB" w:rsidRPr="00186952" w:rsidRDefault="002B77AB" w:rsidP="00186952">
      <w:pPr>
        <w:numPr>
          <w:ilvl w:val="0"/>
          <w:numId w:val="8"/>
        </w:numPr>
        <w:spacing w:line="276" w:lineRule="auto"/>
        <w:rPr>
          <w:rFonts w:ascii="Open Sans" w:hAnsi="Open Sans" w:cs="Open Sans"/>
        </w:rPr>
      </w:pPr>
      <w:r w:rsidRPr="00186952">
        <w:rPr>
          <w:rFonts w:ascii="Open Sans" w:hAnsi="Open Sans" w:cs="Open Sans"/>
        </w:rPr>
        <w:t>koszty nabycia nieruchomości kwalifikuje się do wysokości nieprzekraczającej 10% kosztów kwalifikowanych przedsięwzięcia,</w:t>
      </w:r>
    </w:p>
    <w:p w14:paraId="04C57793" w14:textId="77777777" w:rsidR="002B77AB" w:rsidRPr="00186952" w:rsidRDefault="002B77AB" w:rsidP="00186952">
      <w:pPr>
        <w:numPr>
          <w:ilvl w:val="0"/>
          <w:numId w:val="8"/>
        </w:numPr>
        <w:spacing w:line="276" w:lineRule="auto"/>
        <w:rPr>
          <w:rFonts w:ascii="Open Sans" w:hAnsi="Open Sans" w:cs="Open Sans"/>
        </w:rPr>
      </w:pPr>
      <w:r w:rsidRPr="00186952">
        <w:rPr>
          <w:rFonts w:ascii="Open Sans" w:hAnsi="Open Sans" w:cs="Open Sans"/>
        </w:rPr>
        <w:t>dopuszcza się ponoszenie kosztów związanych z działaniami edukacyjnymi w zakresie podnoszenia świadomości ekologicznej społeczeństwa oraz/albo na współpracę, w tym wymianę wiedzy i doświadczeń oraz konsultacje, z partnerami z innych Państw Członkowskich. Działania te są nieobligatoryjne, ale w przypadku ich wystąpienia w ramach przedsięwzięcia inwestycyjnego zgłoszonego we wniosku o dofinansowanie, są kwalifikowane do wysokości nieprzekraczającej 5% sumy kosztów kwalifikowanych przedsięwzięcia,</w:t>
      </w:r>
    </w:p>
    <w:p w14:paraId="2688E6D2" w14:textId="77777777" w:rsidR="002B77AB" w:rsidRPr="00186952" w:rsidRDefault="002B77AB" w:rsidP="00186952">
      <w:pPr>
        <w:numPr>
          <w:ilvl w:val="0"/>
          <w:numId w:val="8"/>
        </w:numPr>
        <w:spacing w:line="276" w:lineRule="auto"/>
        <w:rPr>
          <w:rFonts w:ascii="Open Sans" w:hAnsi="Open Sans" w:cs="Open Sans"/>
        </w:rPr>
      </w:pPr>
      <w:r w:rsidRPr="00186952">
        <w:rPr>
          <w:rFonts w:ascii="Open Sans" w:hAnsi="Open Sans" w:cs="Open Sans"/>
        </w:rPr>
        <w:t>koszty związane z wartościami niematerialnymi i prawnymi kwalifikuje się do wysokości nieprzekraczającej 20% kosztów kwalifikowanych przedsięwzięcia;</w:t>
      </w:r>
    </w:p>
    <w:p w14:paraId="6D0BC467" w14:textId="77777777" w:rsidR="002B77AB" w:rsidRPr="00186952" w:rsidRDefault="002B77AB" w:rsidP="00186952">
      <w:pPr>
        <w:spacing w:line="276" w:lineRule="auto"/>
        <w:rPr>
          <w:rFonts w:ascii="Open Sans" w:hAnsi="Open Sans" w:cs="Open Sans"/>
        </w:rPr>
      </w:pPr>
      <w:r w:rsidRPr="00186952">
        <w:rPr>
          <w:rFonts w:ascii="Open Sans" w:hAnsi="Open Sans" w:cs="Open Sans"/>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p>
    <w:p w14:paraId="777A9382"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3479D83D" w14:textId="77777777" w:rsidR="002B77AB" w:rsidRPr="00186952" w:rsidRDefault="002B77AB" w:rsidP="00186952">
      <w:pPr>
        <w:spacing w:line="276" w:lineRule="auto"/>
        <w:rPr>
          <w:rFonts w:ascii="Open Sans" w:hAnsi="Open Sans" w:cs="Open Sans"/>
        </w:rPr>
      </w:pPr>
      <w:r w:rsidRPr="00186952">
        <w:rPr>
          <w:rFonts w:ascii="Open Sans" w:hAnsi="Open Sans" w:cs="Open Sans"/>
        </w:rPr>
        <w:t>Link do  „Wytycznych w zakresie kosztów kwalifikowanych", jest opublikowany w treści Ogłoszenia Naboru na samym dole strony.</w:t>
      </w:r>
    </w:p>
    <w:p w14:paraId="4169794C"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065F29FC" w14:textId="77777777" w:rsidR="002B77AB" w:rsidRPr="00186952" w:rsidRDefault="002B77AB" w:rsidP="00186952">
      <w:pPr>
        <w:pStyle w:val="Nagwek1"/>
        <w:rPr>
          <w:rFonts w:ascii="Open Sans" w:hAnsi="Open Sans" w:cs="Open Sans"/>
          <w:sz w:val="28"/>
          <w:szCs w:val="28"/>
        </w:rPr>
      </w:pPr>
      <w:r w:rsidRPr="00186952">
        <w:rPr>
          <w:rFonts w:ascii="Open Sans" w:hAnsi="Open Sans" w:cs="Open Sans"/>
          <w:sz w:val="28"/>
          <w:szCs w:val="28"/>
        </w:rPr>
        <w:t>Czy na rozpoczęty projekt można strać się o dofinansowanie?</w:t>
      </w:r>
    </w:p>
    <w:p w14:paraId="0BDA6611"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548A5285" w14:textId="77777777" w:rsidR="002B77AB" w:rsidRPr="00186952" w:rsidRDefault="002B77AB" w:rsidP="00186952">
      <w:pPr>
        <w:spacing w:line="276" w:lineRule="auto"/>
        <w:rPr>
          <w:rFonts w:ascii="Open Sans" w:hAnsi="Open Sans" w:cs="Open Sans"/>
        </w:rPr>
      </w:pPr>
      <w:r w:rsidRPr="00186952">
        <w:rPr>
          <w:rFonts w:ascii="Open Sans" w:hAnsi="Open Sans" w:cs="Open Sans"/>
        </w:rPr>
        <w:t>Projekt nie może być rozpoczęty przed złożeniem wniosku (par. 21 </w:t>
      </w:r>
      <w:r w:rsidRPr="00186952">
        <w:rPr>
          <w:rFonts w:ascii="Open Sans" w:hAnsi="Open Sans" w:cs="Open Sans"/>
          <w:i/>
          <w:iCs/>
        </w:rPr>
        <w:t xml:space="preserve">rozporządzenia </w:t>
      </w:r>
      <w:proofErr w:type="spellStart"/>
      <w:r w:rsidRPr="00186952">
        <w:rPr>
          <w:rFonts w:ascii="Open Sans" w:hAnsi="Open Sans" w:cs="Open Sans"/>
          <w:i/>
          <w:iCs/>
        </w:rPr>
        <w:t>MKiŚ</w:t>
      </w:r>
      <w:proofErr w:type="spellEnd"/>
      <w:r w:rsidRPr="00186952">
        <w:rPr>
          <w:rFonts w:ascii="Open Sans" w:hAnsi="Open Sans" w:cs="Open Sans"/>
          <w:i/>
          <w:iCs/>
        </w:rPr>
        <w:t xml:space="preserve"> z dnia 22 listopada 2023 r. w sprawie udzielania pomocy publicznej w obszarze energetyki i środowiska w ramach programu „Fundusze Europejskie na Infrastrukturę, Klimat, Środowisko 2021–2027</w:t>
      </w:r>
      <w:r w:rsidRPr="00186952">
        <w:rPr>
          <w:rFonts w:ascii="Open Sans" w:hAnsi="Open Sans" w:cs="Open Sans"/>
        </w:rPr>
        <w:t>).</w:t>
      </w:r>
    </w:p>
    <w:p w14:paraId="598CA8EF"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0439B2E4" w14:textId="77777777" w:rsidR="002B77AB" w:rsidRPr="00186952" w:rsidRDefault="002B77AB" w:rsidP="00186952">
      <w:pPr>
        <w:spacing w:line="276" w:lineRule="auto"/>
        <w:rPr>
          <w:rFonts w:ascii="Open Sans" w:hAnsi="Open Sans" w:cs="Open Sans"/>
        </w:rPr>
      </w:pPr>
      <w:r w:rsidRPr="00186952">
        <w:rPr>
          <w:rFonts w:ascii="Open Sans" w:hAnsi="Open Sans" w:cs="Open Sans"/>
        </w:rPr>
        <w:t>Przez rozpoczęcie należy rozumieć podjęcie robót budowlanych lub złożenie pierwszego prawnie wiążącego zobowiązania do zamówienia urządzeń, lub jakiegokolwiek zobowiązania, które czynić będzie realizację inwestycji nieodwracalną. Przez podjęcie robót budowlanych należy rozumieć rozpoczęcie budowy, o którym mowa </w:t>
      </w:r>
      <w:r w:rsidRPr="00186952">
        <w:rPr>
          <w:rFonts w:ascii="Open Sans" w:hAnsi="Open Sans" w:cs="Open Sans"/>
          <w:b/>
          <w:bCs/>
        </w:rPr>
        <w:t>w art. 41 ust. 1</w:t>
      </w:r>
      <w:r w:rsidRPr="00186952">
        <w:rPr>
          <w:rFonts w:ascii="Open Sans" w:hAnsi="Open Sans" w:cs="Open Sans"/>
        </w:rPr>
        <w:t> ustawy Prawo budowlane.</w:t>
      </w:r>
    </w:p>
    <w:p w14:paraId="3490950B" w14:textId="77777777" w:rsidR="002B77AB" w:rsidRPr="00186952" w:rsidRDefault="002B77AB" w:rsidP="00186952">
      <w:pPr>
        <w:spacing w:line="276" w:lineRule="auto"/>
        <w:rPr>
          <w:rFonts w:ascii="Open Sans" w:hAnsi="Open Sans" w:cs="Open Sans"/>
        </w:rPr>
      </w:pPr>
      <w:r w:rsidRPr="00186952">
        <w:rPr>
          <w:rFonts w:ascii="Open Sans" w:hAnsi="Open Sans" w:cs="Open Sans"/>
        </w:rPr>
        <w:t>Jeżeli zatem wykonano roboty przygotowawcze, o których mowa w przywołanym przepisie (wymienionych w ust. 2 przedmiotowego artykułu), inwestycję należy uznać za rozpoczętą i nie jest możliwe udzielenie na nią pomocy publicznej.</w:t>
      </w:r>
    </w:p>
    <w:p w14:paraId="29B29406"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42E57987" w14:textId="77777777" w:rsidR="002B77AB" w:rsidRPr="00186952" w:rsidRDefault="002B77AB" w:rsidP="00186952">
      <w:pPr>
        <w:spacing w:line="276" w:lineRule="auto"/>
        <w:rPr>
          <w:rFonts w:ascii="Open Sans" w:hAnsi="Open Sans" w:cs="Open Sans"/>
        </w:rPr>
      </w:pPr>
      <w:r w:rsidRPr="00186952">
        <w:rPr>
          <w:rFonts w:ascii="Open Sans" w:hAnsi="Open Sans" w:cs="Open Sans"/>
        </w:rPr>
        <w:t>Koszty inwestycji poniesione przed złożeniem wniosku (a nie łamiące efektu zachęty, które to złamanie wyłącza w ogóle inwestycję z dofinansowania) nie mogą być uznane za kwalifikowane do pomocy.</w:t>
      </w:r>
    </w:p>
    <w:p w14:paraId="78741797"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18B9FD1C" w14:textId="77777777" w:rsidR="002B77AB" w:rsidRPr="00186952" w:rsidRDefault="002B77AB" w:rsidP="00186952">
      <w:pPr>
        <w:pStyle w:val="Nagwek1"/>
        <w:rPr>
          <w:rFonts w:ascii="Open Sans" w:hAnsi="Open Sans" w:cs="Open Sans"/>
          <w:sz w:val="28"/>
          <w:szCs w:val="28"/>
        </w:rPr>
      </w:pPr>
      <w:r w:rsidRPr="00186952">
        <w:rPr>
          <w:rFonts w:ascii="Open Sans" w:hAnsi="Open Sans" w:cs="Open Sans"/>
          <w:sz w:val="28"/>
          <w:szCs w:val="28"/>
        </w:rPr>
        <w:t>Jakie formy zabezpieczenia finansowania obowiązują w ramach prowadzonego naboru?</w:t>
      </w:r>
    </w:p>
    <w:p w14:paraId="322FDB63"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710031FD" w14:textId="77777777" w:rsidR="002B77AB" w:rsidRPr="00186952" w:rsidRDefault="002B77AB" w:rsidP="00186952">
      <w:pPr>
        <w:spacing w:line="276" w:lineRule="auto"/>
        <w:rPr>
          <w:rFonts w:ascii="Open Sans" w:hAnsi="Open Sans" w:cs="Open Sans"/>
        </w:rPr>
      </w:pPr>
      <w:r w:rsidRPr="00186952">
        <w:rPr>
          <w:rFonts w:ascii="Open Sans" w:hAnsi="Open Sans" w:cs="Open Sans"/>
        </w:rPr>
        <w:t>Wymagany pakiet zabezpieczeń zostanie określony na etapie oceny wniosku, po dokładnym zapoznaniu się z wynikami finansowymi dotychczas prowadzonej działalności i szczegółami planowanej inwestycji. Możliwe zabezpieczenia zostały wskazane w pomocy kontekstowej w generatorze wniosków, w zakładce Warunki dofinansowania. Przyjmowane są wszystkie formy zabezpieczenia dopuszczone prawem polskim.</w:t>
      </w:r>
    </w:p>
    <w:p w14:paraId="2F8AACA0"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760D3762" w14:textId="77777777" w:rsidR="002B77AB" w:rsidRPr="00186952" w:rsidRDefault="002B77AB" w:rsidP="00186952">
      <w:pPr>
        <w:pStyle w:val="Nagwek1"/>
        <w:rPr>
          <w:rFonts w:ascii="Open Sans" w:hAnsi="Open Sans" w:cs="Open Sans"/>
          <w:sz w:val="28"/>
          <w:szCs w:val="28"/>
        </w:rPr>
      </w:pPr>
      <w:r w:rsidRPr="00186952">
        <w:rPr>
          <w:rFonts w:ascii="Open Sans" w:hAnsi="Open Sans" w:cs="Open Sans"/>
          <w:sz w:val="28"/>
          <w:szCs w:val="28"/>
        </w:rPr>
        <w:t>Czy w naborze mogą aplikować wszyscy przedsiębiorcy?  </w:t>
      </w:r>
    </w:p>
    <w:p w14:paraId="7412B2D1"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0C6304D3" w14:textId="77777777" w:rsidR="002B77AB" w:rsidRPr="00186952" w:rsidRDefault="002B77AB" w:rsidP="00186952">
      <w:pPr>
        <w:spacing w:line="276" w:lineRule="auto"/>
        <w:rPr>
          <w:rFonts w:ascii="Open Sans" w:hAnsi="Open Sans" w:cs="Open Sans"/>
        </w:rPr>
      </w:pPr>
      <w:r w:rsidRPr="00186952">
        <w:rPr>
          <w:rFonts w:ascii="Open Sans" w:hAnsi="Open Sans" w:cs="Open Sans"/>
        </w:rPr>
        <w:t>Tak, mogą aplikować wszyscy przedsiębiorcy (miko przedsiębiorstwa, małe przedsiębiorstwa, średnie przedsiębiorstwa, duże przedsiębiorstwa)  prowadzące działalność gospodarczą zgodnie z zapisami ustawy Prawo przedsiębiorców.</w:t>
      </w:r>
    </w:p>
    <w:p w14:paraId="4DBCC0BC"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5D3ABAF8" w14:textId="77777777" w:rsidR="002B77AB" w:rsidRPr="00186952" w:rsidRDefault="002B77AB" w:rsidP="00186952">
      <w:pPr>
        <w:pStyle w:val="Nagwek1"/>
        <w:rPr>
          <w:rFonts w:ascii="Open Sans" w:hAnsi="Open Sans" w:cs="Open Sans"/>
          <w:sz w:val="28"/>
          <w:szCs w:val="28"/>
        </w:rPr>
      </w:pPr>
      <w:r w:rsidRPr="00186952">
        <w:rPr>
          <w:rFonts w:ascii="Open Sans" w:hAnsi="Open Sans" w:cs="Open Sans"/>
          <w:sz w:val="28"/>
          <w:szCs w:val="28"/>
        </w:rPr>
        <w:t>Na jakim etapie oceny przedsięwzięcia należy najpóźniej przedstawić dokumenty wymienione w kryterium  nr 1: tj. decyzję środowiskową, projekt budowlany, pozwolenie na budowę, umowy przyłączeniowe?</w:t>
      </w:r>
    </w:p>
    <w:p w14:paraId="3123B1A8" w14:textId="77777777" w:rsidR="002B77AB" w:rsidRPr="00186952" w:rsidRDefault="002B77AB" w:rsidP="00186952">
      <w:pPr>
        <w:spacing w:line="276" w:lineRule="auto"/>
        <w:rPr>
          <w:rFonts w:ascii="Open Sans" w:hAnsi="Open Sans" w:cs="Open Sans"/>
        </w:rPr>
      </w:pPr>
      <w:r w:rsidRPr="00186952">
        <w:rPr>
          <w:rFonts w:ascii="Open Sans" w:hAnsi="Open Sans" w:cs="Open Sans"/>
        </w:rPr>
        <w:t> </w:t>
      </w:r>
    </w:p>
    <w:p w14:paraId="416353A5" w14:textId="77777777" w:rsidR="002B77AB" w:rsidRPr="00186952" w:rsidRDefault="002B77AB" w:rsidP="00186952">
      <w:pPr>
        <w:spacing w:line="276" w:lineRule="auto"/>
        <w:rPr>
          <w:rFonts w:ascii="Open Sans" w:hAnsi="Open Sans" w:cs="Open Sans"/>
        </w:rPr>
      </w:pPr>
      <w:r w:rsidRPr="00186952">
        <w:rPr>
          <w:rFonts w:ascii="Open Sans" w:hAnsi="Open Sans" w:cs="Open Sans"/>
        </w:rPr>
        <w:t xml:space="preserve">Wniosek o dofinansowanie należy złożyć uzupełniony w całości i kompletem dokumentów.  Na pierwszym etapie wnioskodawca może być wezwany do </w:t>
      </w:r>
      <w:proofErr w:type="spellStart"/>
      <w:r w:rsidRPr="00186952">
        <w:rPr>
          <w:rFonts w:ascii="Open Sans" w:hAnsi="Open Sans" w:cs="Open Sans"/>
        </w:rPr>
        <w:t>uzupełenienia</w:t>
      </w:r>
      <w:proofErr w:type="spellEnd"/>
      <w:r w:rsidRPr="00186952">
        <w:rPr>
          <w:rFonts w:ascii="Open Sans" w:hAnsi="Open Sans" w:cs="Open Sans"/>
        </w:rPr>
        <w:t>/poprawienia wniosku o dofinansowanie, w tym  uzupełninie brakujących dokumentów.</w:t>
      </w:r>
    </w:p>
    <w:p w14:paraId="254ACC4B" w14:textId="3D6505C2" w:rsidR="002B77AB" w:rsidRPr="00186952" w:rsidRDefault="002B77AB" w:rsidP="00186952">
      <w:pPr>
        <w:spacing w:line="276" w:lineRule="auto"/>
        <w:rPr>
          <w:rFonts w:ascii="Open Sans" w:hAnsi="Open Sans" w:cs="Open Sans"/>
        </w:rPr>
      </w:pPr>
      <w:r w:rsidRPr="00186952">
        <w:rPr>
          <w:rFonts w:ascii="Open Sans" w:hAnsi="Open Sans" w:cs="Open Sans"/>
        </w:rPr>
        <w:t> - decyzja środowiskowa,  warunki przyłączeniowe– </w:t>
      </w:r>
      <w:r w:rsidRPr="00186952">
        <w:rPr>
          <w:rFonts w:ascii="Open Sans" w:hAnsi="Open Sans" w:cs="Open Sans"/>
          <w:b/>
          <w:bCs/>
        </w:rPr>
        <w:t>wymagane</w:t>
      </w:r>
    </w:p>
    <w:p w14:paraId="418C2659" w14:textId="77777777" w:rsidR="002B77AB" w:rsidRPr="00186952" w:rsidRDefault="002B77AB" w:rsidP="00186952">
      <w:pPr>
        <w:spacing w:line="276" w:lineRule="auto"/>
        <w:rPr>
          <w:rFonts w:ascii="Open Sans" w:hAnsi="Open Sans" w:cs="Open Sans"/>
        </w:rPr>
      </w:pPr>
      <w:r w:rsidRPr="00186952">
        <w:rPr>
          <w:rFonts w:ascii="Open Sans" w:hAnsi="Open Sans" w:cs="Open Sans"/>
        </w:rPr>
        <w:t>- projekt budowlany, pozwolenie na budowę – </w:t>
      </w:r>
      <w:r w:rsidRPr="00186952">
        <w:rPr>
          <w:rFonts w:ascii="Open Sans" w:hAnsi="Open Sans" w:cs="Open Sans"/>
          <w:b/>
          <w:bCs/>
        </w:rPr>
        <w:t>nie wymagane, ale za te dokumenty przyznawane są punkty.</w:t>
      </w:r>
    </w:p>
    <w:p w14:paraId="48B435CA" w14:textId="77777777" w:rsidR="00586AA9" w:rsidRPr="00186952" w:rsidRDefault="00586AA9" w:rsidP="00186952">
      <w:pPr>
        <w:spacing w:line="276" w:lineRule="auto"/>
        <w:rPr>
          <w:rFonts w:ascii="Open Sans" w:hAnsi="Open Sans" w:cs="Open Sans"/>
        </w:rPr>
      </w:pPr>
    </w:p>
    <w:p w14:paraId="10AE6373" w14:textId="77777777" w:rsidR="00376A71" w:rsidRPr="00186952" w:rsidRDefault="00376A71" w:rsidP="00186952">
      <w:pPr>
        <w:pStyle w:val="Nagwek1"/>
        <w:rPr>
          <w:rFonts w:ascii="Open Sans" w:hAnsi="Open Sans" w:cs="Open Sans"/>
          <w:sz w:val="28"/>
          <w:szCs w:val="28"/>
        </w:rPr>
      </w:pPr>
      <w:r w:rsidRPr="00186952">
        <w:rPr>
          <w:rFonts w:ascii="Open Sans" w:hAnsi="Open Sans" w:cs="Open Sans"/>
          <w:sz w:val="28"/>
          <w:szCs w:val="28"/>
        </w:rPr>
        <w:t xml:space="preserve">Jaką formę powinien mieć, wymagany listą załączników w ramach naboru </w:t>
      </w:r>
      <w:proofErr w:type="spellStart"/>
      <w:r w:rsidRPr="00186952">
        <w:rPr>
          <w:rFonts w:ascii="Open Sans" w:hAnsi="Open Sans" w:cs="Open Sans"/>
          <w:sz w:val="28"/>
          <w:szCs w:val="28"/>
        </w:rPr>
        <w:t>FENiKS</w:t>
      </w:r>
      <w:proofErr w:type="spellEnd"/>
      <w:r w:rsidRPr="00186952">
        <w:rPr>
          <w:rFonts w:ascii="Open Sans" w:hAnsi="Open Sans" w:cs="Open Sans"/>
          <w:sz w:val="28"/>
          <w:szCs w:val="28"/>
        </w:rPr>
        <w:t xml:space="preserve"> 2.2 OZE, dokument „Potwierdzenie spełnienia kryteriów zrównoważonego rozwoju zgodnie z dyrektywą Parlamentu Europejskiego i Rady (UE) 2018/2001 z dnia 11 grudnia 2018 r. w sprawie promowania stosowania energii ze źródeł odnawialnych”. Czy może to być oświadczenie Wnioskodawcy, czy konieczny jest dokument pochodzący od instytucji zewnętrznej? Jeśli w grę wchodzi instytucja zewnętrzna, to prosiłbym o informację o jaką instytucję chodzi.</w:t>
      </w:r>
    </w:p>
    <w:p w14:paraId="19B2B176" w14:textId="414075AA" w:rsidR="00376A71" w:rsidRPr="00186952" w:rsidRDefault="00376A71" w:rsidP="00186952">
      <w:pPr>
        <w:pStyle w:val="Nagwek1"/>
        <w:rPr>
          <w:rFonts w:ascii="Open Sans" w:hAnsi="Open Sans" w:cs="Open Sans"/>
          <w:sz w:val="28"/>
          <w:szCs w:val="28"/>
        </w:rPr>
      </w:pPr>
      <w:r w:rsidRPr="00186952">
        <w:rPr>
          <w:rFonts w:ascii="Open Sans" w:hAnsi="Open Sans" w:cs="Open Sans"/>
          <w:sz w:val="28"/>
          <w:szCs w:val="28"/>
        </w:rPr>
        <w:t xml:space="preserve">Podobna wątpliwość dotyczy wyliczenia efektu ekologicznego dla </w:t>
      </w:r>
      <w:proofErr w:type="spellStart"/>
      <w:r w:rsidRPr="00186952">
        <w:rPr>
          <w:rFonts w:ascii="Open Sans" w:hAnsi="Open Sans" w:cs="Open Sans"/>
          <w:sz w:val="28"/>
          <w:szCs w:val="28"/>
        </w:rPr>
        <w:t>biometanowni</w:t>
      </w:r>
      <w:proofErr w:type="spellEnd"/>
      <w:r w:rsidRPr="00186952">
        <w:rPr>
          <w:rFonts w:ascii="Open Sans" w:hAnsi="Open Sans" w:cs="Open Sans"/>
          <w:sz w:val="28"/>
          <w:szCs w:val="28"/>
        </w:rPr>
        <w:t xml:space="preserve"> – czy obliczenie efektu na podstawie przepisów dyrektywy ma być wykonane w formie opracowania Wnioskodawcy, czy konieczna jest zewnętrzna opinia potwierdzająca wartość redukcji emisji GHG?</w:t>
      </w:r>
    </w:p>
    <w:p w14:paraId="31CA3334" w14:textId="0A62C65F" w:rsidR="00376A71" w:rsidRPr="00186952" w:rsidRDefault="00376A71" w:rsidP="00186952">
      <w:pPr>
        <w:spacing w:line="276" w:lineRule="auto"/>
        <w:rPr>
          <w:rFonts w:ascii="Open Sans" w:hAnsi="Open Sans" w:cs="Open Sans"/>
        </w:rPr>
      </w:pPr>
      <w:r w:rsidRPr="00186952">
        <w:rPr>
          <w:rFonts w:ascii="Open Sans" w:hAnsi="Open Sans" w:cs="Open Sans"/>
        </w:rPr>
        <w:t> </w:t>
      </w:r>
    </w:p>
    <w:p w14:paraId="351B15C7" w14:textId="77777777" w:rsidR="00376A71" w:rsidRPr="00186952" w:rsidRDefault="00376A71" w:rsidP="00186952">
      <w:pPr>
        <w:spacing w:line="276" w:lineRule="auto"/>
        <w:rPr>
          <w:rFonts w:ascii="Open Sans" w:hAnsi="Open Sans" w:cs="Open Sans"/>
        </w:rPr>
      </w:pPr>
      <w:r w:rsidRPr="00186952">
        <w:rPr>
          <w:rFonts w:ascii="Open Sans" w:hAnsi="Open Sans" w:cs="Open Sans"/>
        </w:rPr>
        <w:t>Zgodnie z zapisami znajdują się we wniosku o dofinansowanie w  Załączniku nr 25. Część Ekologiczno-Techniczna, w części załącznik nr 1.</w:t>
      </w:r>
      <w:r w:rsidRPr="00186952">
        <w:rPr>
          <w:rFonts w:ascii="Open Sans" w:hAnsi="Open Sans" w:cs="Open Sans"/>
          <w:b/>
          <w:bCs/>
        </w:rPr>
        <w:t> </w:t>
      </w:r>
      <w:r w:rsidRPr="00186952">
        <w:rPr>
          <w:rFonts w:ascii="Open Sans" w:hAnsi="Open Sans" w:cs="Open Sans"/>
        </w:rPr>
        <w:t>Metodyka wyliczania unikniętych emisji CO</w:t>
      </w:r>
      <w:r w:rsidRPr="00186952">
        <w:rPr>
          <w:rFonts w:ascii="Open Sans" w:hAnsi="Open Sans" w:cs="Open Sans"/>
          <w:vertAlign w:val="subscript"/>
        </w:rPr>
        <w:t>2</w:t>
      </w:r>
    </w:p>
    <w:p w14:paraId="2860BFBC" w14:textId="0A60DEF7" w:rsidR="00376A71" w:rsidRPr="00186952" w:rsidRDefault="00376A71" w:rsidP="00186952">
      <w:pPr>
        <w:spacing w:line="276" w:lineRule="auto"/>
        <w:rPr>
          <w:rFonts w:ascii="Open Sans" w:hAnsi="Open Sans" w:cs="Open Sans"/>
        </w:rPr>
      </w:pPr>
      <w:r w:rsidRPr="00186952">
        <w:rPr>
          <w:rFonts w:ascii="Open Sans" w:hAnsi="Open Sans" w:cs="Open Sans"/>
        </w:rPr>
        <w:t> Zgodnie z warunkami Programu Priorytetowego do produkcji energii z biomasy, w zależności od rodzaju i wielkości instalacji, stosuje się kryteria zrównoważonego rozwoju oraz ograniczenia emisji gazów cieplarnianych, zgodne z Dyrektywą Parlamentu Europejskiego i Rady UE 2018/2001 z dnia 11 grudnia 2018 r. (dalej: „dyrektywa 2018/2001”.</w:t>
      </w:r>
    </w:p>
    <w:p w14:paraId="30E4C040" w14:textId="415662E7" w:rsidR="00376A71" w:rsidRPr="00186952" w:rsidRDefault="00376A71" w:rsidP="00186952">
      <w:pPr>
        <w:spacing w:line="276" w:lineRule="auto"/>
        <w:rPr>
          <w:rFonts w:ascii="Open Sans" w:hAnsi="Open Sans" w:cs="Open Sans"/>
        </w:rPr>
      </w:pPr>
      <w:r w:rsidRPr="00186952">
        <w:rPr>
          <w:rFonts w:ascii="Open Sans" w:hAnsi="Open Sans" w:cs="Open Sans"/>
        </w:rPr>
        <w:t> W związku z powyższym w przypadku projektów wykorzystujących biogaz w instalacjach o całkowitej nominalnej mocy cieplnej</w:t>
      </w:r>
      <w:bookmarkStart w:id="0" w:name="x__ftnref1"/>
      <w:r w:rsidRPr="00186952">
        <w:rPr>
          <w:rFonts w:ascii="Open Sans" w:hAnsi="Open Sans" w:cs="Open Sans"/>
        </w:rPr>
        <w:fldChar w:fldCharType="begin"/>
      </w:r>
      <w:r w:rsidRPr="00186952">
        <w:rPr>
          <w:rFonts w:ascii="Open Sans" w:hAnsi="Open Sans" w:cs="Open Sans"/>
        </w:rPr>
        <w:instrText>HYPERLINK "https://outlook.office365.com/mail/id/AAMkADQzMWQ2Yzc4LTJiOTktNGI1My1hNjUyLTM3MjlhOWIzYjE4MwBGAAAAAADbvoH5GHzpQKOLRnV1t9eKBwADp3JnZUePSaSS0IFvfg5VAAAAAAEMAAAaBwASHPpcSo3izAXCMrMFAATcKJ%2BFAAA%3D" \l "x__ftn1" \o ""</w:instrText>
      </w:r>
      <w:r w:rsidRPr="00186952">
        <w:rPr>
          <w:rFonts w:ascii="Open Sans" w:hAnsi="Open Sans" w:cs="Open Sans"/>
        </w:rPr>
      </w:r>
      <w:r w:rsidRPr="00186952">
        <w:rPr>
          <w:rFonts w:ascii="Open Sans" w:hAnsi="Open Sans" w:cs="Open Sans"/>
        </w:rPr>
        <w:fldChar w:fldCharType="separate"/>
      </w:r>
      <w:r w:rsidRPr="00186952">
        <w:rPr>
          <w:rStyle w:val="Hipercze"/>
          <w:rFonts w:ascii="Open Sans" w:hAnsi="Open Sans" w:cs="Open Sans"/>
          <w:vertAlign w:val="superscript"/>
        </w:rPr>
        <w:t>[1]</w:t>
      </w:r>
      <w:r w:rsidRPr="00186952">
        <w:rPr>
          <w:rFonts w:ascii="Open Sans" w:hAnsi="Open Sans" w:cs="Open Sans"/>
        </w:rPr>
        <w:fldChar w:fldCharType="end"/>
      </w:r>
      <w:bookmarkEnd w:id="0"/>
      <w:r w:rsidRPr="00186952">
        <w:rPr>
          <w:rFonts w:ascii="Open Sans" w:hAnsi="Open Sans" w:cs="Open Sans"/>
        </w:rPr>
        <w:t> powyżej 2 MW albo stałe paliwa z biomasy w instalacjach o całkowitej nominalnej mocy cieplnej powyżej 20 MW, jako źródło wytwarzania energii odnawialnej: elektrycznej, cieplnej lub energii elektrycznej i cieplnej, wymagane jest potwierdzenie spełnienia kryteriów zrównoważonego rozwoju zgodnie z dyrektywą 2018/2001.</w:t>
      </w:r>
    </w:p>
    <w:p w14:paraId="4C695040" w14:textId="2A1D0219" w:rsidR="00376A71" w:rsidRPr="00186952" w:rsidRDefault="00376A71" w:rsidP="00186952">
      <w:pPr>
        <w:spacing w:line="276" w:lineRule="auto"/>
        <w:rPr>
          <w:rFonts w:ascii="Open Sans" w:hAnsi="Open Sans" w:cs="Open Sans"/>
        </w:rPr>
      </w:pPr>
      <w:r w:rsidRPr="00186952">
        <w:rPr>
          <w:rFonts w:ascii="Open Sans" w:hAnsi="Open Sans" w:cs="Open Sans"/>
        </w:rPr>
        <w:t xml:space="preserve"> Natomiast w przypadku projektów instalacji do produkcji </w:t>
      </w:r>
      <w:proofErr w:type="spellStart"/>
      <w:r w:rsidRPr="00186952">
        <w:rPr>
          <w:rFonts w:ascii="Open Sans" w:hAnsi="Open Sans" w:cs="Open Sans"/>
        </w:rPr>
        <w:t>biometanu</w:t>
      </w:r>
      <w:proofErr w:type="spellEnd"/>
      <w:r w:rsidRPr="00186952">
        <w:rPr>
          <w:rFonts w:ascii="Open Sans" w:hAnsi="Open Sans" w:cs="Open Sans"/>
        </w:rPr>
        <w:t xml:space="preserve"> potwierdzenie spełnienia kryteriów zrównoważonego rozwoju i ograniczenia emisji gazów cieplarnianych zgodnie z dyrektywą 2018/2001 jest wymagane niezależnie od wielkości instalacji wskazanej we wniosku o dofinansowanie.</w:t>
      </w:r>
    </w:p>
    <w:p w14:paraId="7F388E46" w14:textId="77777777" w:rsidR="00376A71" w:rsidRPr="00186952" w:rsidRDefault="00376A71" w:rsidP="00186952">
      <w:pPr>
        <w:spacing w:line="276" w:lineRule="auto"/>
        <w:rPr>
          <w:rFonts w:ascii="Open Sans" w:hAnsi="Open Sans" w:cs="Open Sans"/>
        </w:rPr>
      </w:pPr>
      <w:r w:rsidRPr="00186952">
        <w:rPr>
          <w:rFonts w:ascii="Open Sans" w:hAnsi="Open Sans" w:cs="Open Sans"/>
        </w:rPr>
        <w:t> </w:t>
      </w:r>
    </w:p>
    <w:p w14:paraId="37B70A44" w14:textId="77777777" w:rsidR="00376A71" w:rsidRPr="00186952" w:rsidRDefault="00376A71" w:rsidP="00186952">
      <w:pPr>
        <w:spacing w:line="276" w:lineRule="auto"/>
        <w:rPr>
          <w:rFonts w:ascii="Open Sans" w:hAnsi="Open Sans" w:cs="Open Sans"/>
        </w:rPr>
      </w:pPr>
      <w:r w:rsidRPr="00186952">
        <w:rPr>
          <w:rFonts w:ascii="Open Sans" w:hAnsi="Open Sans" w:cs="Open Sans"/>
        </w:rPr>
        <w:t>W przypadku powyższych projektów uniknięte emisje CO2 należy wyliczyć zgodnie z metodyką określoną w Załączniku VI dyrektywy 2018/2001 pt. Zasady obliczania wpływu paliw z biomasy i ich odpowiedników kopalnych na emisję gazów cieplarnianych.</w:t>
      </w:r>
    </w:p>
    <w:p w14:paraId="6BAF3E28" w14:textId="77777777" w:rsidR="00186952" w:rsidRDefault="00376A71" w:rsidP="00186952">
      <w:pPr>
        <w:spacing w:line="276" w:lineRule="auto"/>
        <w:rPr>
          <w:rFonts w:ascii="Open Sans" w:hAnsi="Open Sans" w:cs="Open Sans"/>
        </w:rPr>
      </w:pPr>
      <w:r w:rsidRPr="00186952">
        <w:rPr>
          <w:rFonts w:ascii="Open Sans" w:hAnsi="Open Sans" w:cs="Open Sans"/>
        </w:rPr>
        <w:t> </w:t>
      </w:r>
    </w:p>
    <w:p w14:paraId="7AE6D832" w14:textId="142507F7" w:rsidR="00376A71" w:rsidRPr="00186952" w:rsidRDefault="00376A71" w:rsidP="00186952">
      <w:pPr>
        <w:spacing w:line="276" w:lineRule="auto"/>
        <w:rPr>
          <w:rFonts w:ascii="Open Sans" w:hAnsi="Open Sans" w:cs="Open Sans"/>
        </w:rPr>
      </w:pPr>
      <w:r w:rsidRPr="00186952">
        <w:rPr>
          <w:rFonts w:ascii="Open Sans" w:hAnsi="Open Sans" w:cs="Open Sans"/>
        </w:rPr>
        <w:t>Do wniosku o dofinansowanie należy dołączyć:</w:t>
      </w:r>
    </w:p>
    <w:p w14:paraId="0500FB3E" w14:textId="77777777" w:rsidR="00376A71" w:rsidRPr="00186952" w:rsidRDefault="00376A71" w:rsidP="00186952">
      <w:pPr>
        <w:numPr>
          <w:ilvl w:val="0"/>
          <w:numId w:val="13"/>
        </w:numPr>
        <w:spacing w:line="276" w:lineRule="auto"/>
        <w:rPr>
          <w:rFonts w:ascii="Open Sans" w:hAnsi="Open Sans" w:cs="Open Sans"/>
        </w:rPr>
      </w:pPr>
      <w:r w:rsidRPr="00186952">
        <w:rPr>
          <w:rFonts w:ascii="Open Sans" w:hAnsi="Open Sans" w:cs="Open Sans"/>
        </w:rPr>
        <w:t>oświadczanie wnioskodawcy w sprawie spełnienia kryteriów zrównoważonego rozwoju zgodnie z dyrektywą Parlamentu Europejskiego i Rady (UE) 2018/2001 z dnia 11 grudnia 2018 r. w sprawie promowania stosowania energii ze źródeł odnawialnych.</w:t>
      </w:r>
    </w:p>
    <w:p w14:paraId="11B31D6B" w14:textId="77777777" w:rsidR="00376A71" w:rsidRPr="00186952" w:rsidRDefault="00376A71" w:rsidP="00186952">
      <w:pPr>
        <w:numPr>
          <w:ilvl w:val="0"/>
          <w:numId w:val="13"/>
        </w:numPr>
        <w:spacing w:line="276" w:lineRule="auto"/>
        <w:rPr>
          <w:rFonts w:ascii="Open Sans" w:hAnsi="Open Sans" w:cs="Open Sans"/>
        </w:rPr>
      </w:pPr>
      <w:r w:rsidRPr="00186952">
        <w:rPr>
          <w:rFonts w:ascii="Open Sans" w:hAnsi="Open Sans" w:cs="Open Sans"/>
        </w:rPr>
        <w:t>wyliczenia unikniętej emisji  CO2 zgodnie z metodyką określoną w Załączniku VI dyrektywy 2018/2001 pt. Zasady obliczania wpływu paliw z biomasy i ich odpowiedników kopalnych na emisję gazów cieplarnianych ( w formie dokumentu opisowego i tabelarycznego opatrzonego podpisem  i aktywnej tabeli „</w:t>
      </w:r>
      <w:proofErr w:type="spellStart"/>
      <w:r w:rsidRPr="00186952">
        <w:rPr>
          <w:rFonts w:ascii="Open Sans" w:hAnsi="Open Sans" w:cs="Open Sans"/>
        </w:rPr>
        <w:t>exel</w:t>
      </w:r>
      <w:proofErr w:type="spellEnd"/>
      <w:r w:rsidRPr="00186952">
        <w:rPr>
          <w:rFonts w:ascii="Open Sans" w:hAnsi="Open Sans" w:cs="Open Sans"/>
        </w:rPr>
        <w:t>” zawierającej wyliczenia).</w:t>
      </w:r>
    </w:p>
    <w:p w14:paraId="1F7C4593" w14:textId="77777777" w:rsidR="00376A71" w:rsidRPr="00186952" w:rsidRDefault="00376A71" w:rsidP="00186952">
      <w:pPr>
        <w:spacing w:line="276" w:lineRule="auto"/>
        <w:rPr>
          <w:rFonts w:ascii="Open Sans" w:hAnsi="Open Sans" w:cs="Open Sans"/>
        </w:rPr>
      </w:pPr>
      <w:r w:rsidRPr="00186952">
        <w:rPr>
          <w:rFonts w:ascii="Open Sans" w:hAnsi="Open Sans" w:cs="Open Sans"/>
        </w:rPr>
        <w:t> </w:t>
      </w:r>
    </w:p>
    <w:p w14:paraId="73B5A226" w14:textId="77777777" w:rsidR="006B5F6C" w:rsidRPr="006B5F6C" w:rsidRDefault="006B5F6C" w:rsidP="006B5F6C">
      <w:pPr>
        <w:pStyle w:val="Nagwek1"/>
      </w:pPr>
      <w:r w:rsidRPr="006B5F6C">
        <w:t>Czy jest określona minimalna lub maksymalna wartość inwestycji?</w:t>
      </w:r>
    </w:p>
    <w:p w14:paraId="64E1753D" w14:textId="47E58215" w:rsidR="001E495D" w:rsidRPr="00FB1B74" w:rsidRDefault="006B5F6C" w:rsidP="003F6716">
      <w:pPr>
        <w:spacing w:line="276" w:lineRule="auto"/>
        <w:rPr>
          <w:rFonts w:ascii="Open Sans" w:hAnsi="Open Sans" w:cs="Open Sans"/>
        </w:rPr>
      </w:pPr>
      <w:r w:rsidRPr="006B5F6C">
        <w:rPr>
          <w:rFonts w:ascii="Open Sans" w:hAnsi="Open Sans" w:cs="Open Sans"/>
        </w:rPr>
        <mc:AlternateContent>
          <mc:Choice Requires="wps">
            <w:drawing>
              <wp:inline distT="0" distB="0" distL="0" distR="0" wp14:anchorId="3B52D4AC" wp14:editId="6E82C721">
                <wp:extent cx="228600" cy="228600"/>
                <wp:effectExtent l="0" t="0" r="0" b="0"/>
                <wp:docPr id="192507930" name="Prostokąt 2" descr="https://yt4.ggpht.com/ytc/AIdro_nARX3C_oR8cxf9gmT2MkBK_EETyVZmQyLO-HIYw7A=s32-c-k-c0x00ffffff-no-r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75ACA9" id="Prostokąt 2" o:spid="_x0000_s1026" alt="https://yt4.ggpht.com/ytc/AIdro_nARX3C_oR8cxf9gmT2MkBK_EETyVZmQyLO-HIYw7A=s32-c-k-c0x00ffffff-no-rj"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Bo&#10;goOm2AAAAAMBAAAPAAAAZHJzL2Rvd25yZXYueG1sTI9BS8NAEIXvgv9hGcGL2I0KRWI2RQpiEaGY&#10;as/T7JgEs7NpdpvEf9+pHvQyw+MNb76XLSbXqoH60Hg2cDNLQBGX3jZcGXjfPF3fgwoR2WLrmQx8&#10;U4BFfn6WYWr9yG80FLFSEsIhRQN1jF2qdShrchhmviMW79P3DqPIvtK2x1HCXatvk2Su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h/2+JdIBAACeAwAADgAA&#10;AAAAAAAAAAAAAAAuAgAAZHJzL2Uyb0RvYy54bWxQSwECLQAUAAYACAAAACEAaIKDptgAAAADAQAA&#10;DwAAAAAAAAAAAAAAAAAsBAAAZHJzL2Rvd25yZXYueG1sUEsFBgAAAAAEAAQA8wAAADEFAAAAAA==&#10;" filled="f" stroked="f">
                <o:lock v:ext="edit" aspectratio="t"/>
                <w10:anchorlock/>
              </v:rect>
            </w:pict>
          </mc:Fallback>
        </mc:AlternateContent>
      </w:r>
      <w:r w:rsidRPr="00FB1B74">
        <w:rPr>
          <w:rFonts w:ascii="Open Sans" w:hAnsi="Open Sans" w:cs="Open Sans"/>
        </w:rPr>
        <w:t>Nie ma określonej minimalnej ani maksymalnej wartości inwestycji</w:t>
      </w:r>
      <w:r w:rsidR="003F6716" w:rsidRPr="00FB1B74">
        <w:rPr>
          <w:rFonts w:ascii="Open Sans" w:hAnsi="Open Sans" w:cs="Open Sans"/>
        </w:rPr>
        <w:t xml:space="preserve">, natomiast należy pamiętać, że </w:t>
      </w:r>
      <w:r w:rsidR="001E495D" w:rsidRPr="00FB1B74">
        <w:rPr>
          <w:rFonts w:ascii="Open Sans" w:hAnsi="Open Sans" w:cs="Open Sans"/>
        </w:rPr>
        <w:t xml:space="preserve">Regulamin Naboru </w:t>
      </w:r>
      <w:r w:rsidR="003F6716" w:rsidRPr="00FB1B74">
        <w:rPr>
          <w:rFonts w:ascii="Open Sans" w:hAnsi="Open Sans" w:cs="Open Sans"/>
        </w:rPr>
        <w:t xml:space="preserve">Projektów wprowadza  </w:t>
      </w:r>
      <w:r w:rsidR="001E495D" w:rsidRPr="00FB1B74">
        <w:rPr>
          <w:rFonts w:ascii="Open Sans" w:hAnsi="Open Sans" w:cs="Open Sans"/>
        </w:rPr>
        <w:t xml:space="preserve"> następujące limity wsparcia ze środków EFRR: </w:t>
      </w:r>
    </w:p>
    <w:p w14:paraId="385B8871" w14:textId="43EA7508" w:rsidR="001E495D" w:rsidRPr="0097538C" w:rsidRDefault="001E495D" w:rsidP="00677728">
      <w:pPr>
        <w:pStyle w:val="Akapitzlist"/>
        <w:numPr>
          <w:ilvl w:val="1"/>
          <w:numId w:val="16"/>
        </w:numPr>
        <w:spacing w:after="0" w:line="276" w:lineRule="auto"/>
        <w:ind w:left="567" w:hanging="567"/>
        <w:rPr>
          <w:rFonts w:cstheme="minorHAnsi"/>
        </w:rPr>
      </w:pPr>
      <w:r w:rsidRPr="0097538C">
        <w:rPr>
          <w:rFonts w:cstheme="minorHAnsi"/>
        </w:rPr>
        <w:t xml:space="preserve">w przypadku przedsięwzięć </w:t>
      </w:r>
      <w:proofErr w:type="spellStart"/>
      <w:r w:rsidR="0097538C" w:rsidRPr="0097538C">
        <w:rPr>
          <w:rFonts w:cstheme="minorHAnsi"/>
        </w:rPr>
        <w:t>biometanowych</w:t>
      </w:r>
      <w:proofErr w:type="spellEnd"/>
      <w:r w:rsidR="0097538C" w:rsidRPr="0097538C">
        <w:rPr>
          <w:rFonts w:cstheme="minorHAnsi"/>
        </w:rPr>
        <w:t xml:space="preserve"> </w:t>
      </w:r>
      <w:r w:rsidR="00FB1B74" w:rsidRPr="0097538C">
        <w:rPr>
          <w:rFonts w:cstheme="minorHAnsi"/>
        </w:rPr>
        <w:t xml:space="preserve"> - </w:t>
      </w:r>
      <w:r w:rsidRPr="0097538C">
        <w:rPr>
          <w:rFonts w:cstheme="minorHAnsi"/>
        </w:rPr>
        <w:t xml:space="preserve"> maksymalne łączne dofinansowanie ze środków EFRR, tj. pożyczka IF EFRR i dotacja IF EFRR, wynosi nie więcej niż 50 000 000,00 zł,  </w:t>
      </w:r>
    </w:p>
    <w:p w14:paraId="2A8E2461" w14:textId="36DF4CBF" w:rsidR="001E495D" w:rsidRPr="00A8786B" w:rsidRDefault="001E495D" w:rsidP="001E495D">
      <w:pPr>
        <w:pStyle w:val="Akapitzlist"/>
        <w:numPr>
          <w:ilvl w:val="1"/>
          <w:numId w:val="16"/>
        </w:numPr>
        <w:spacing w:after="0" w:line="276" w:lineRule="auto"/>
        <w:ind w:left="567" w:hanging="567"/>
        <w:rPr>
          <w:rFonts w:cstheme="minorHAnsi"/>
        </w:rPr>
      </w:pPr>
      <w:r w:rsidRPr="00A8786B">
        <w:rPr>
          <w:rFonts w:cstheme="minorHAnsi"/>
        </w:rPr>
        <w:t xml:space="preserve">w przypadku przedsięwzięć </w:t>
      </w:r>
      <w:r w:rsidR="00FB1B74">
        <w:rPr>
          <w:rFonts w:cstheme="minorHAnsi"/>
        </w:rPr>
        <w:t>biogazowych</w:t>
      </w:r>
      <w:r>
        <w:rPr>
          <w:rFonts w:cstheme="minorHAnsi"/>
        </w:rPr>
        <w:t xml:space="preserve"> </w:t>
      </w:r>
      <w:r w:rsidRPr="00A8786B">
        <w:rPr>
          <w:rFonts w:cstheme="minorHAnsi"/>
        </w:rPr>
        <w:t>maksymalne ł</w:t>
      </w:r>
      <w:r>
        <w:rPr>
          <w:rFonts w:cstheme="minorHAnsi"/>
        </w:rPr>
        <w:t>ą</w:t>
      </w:r>
      <w:r w:rsidRPr="00A8786B">
        <w:rPr>
          <w:rFonts w:cstheme="minorHAnsi"/>
        </w:rPr>
        <w:t>czne dofinansowanie ze środków EFRR, tj. pożyczka IF</w:t>
      </w:r>
      <w:r>
        <w:rPr>
          <w:rFonts w:cstheme="minorHAnsi"/>
        </w:rPr>
        <w:t xml:space="preserve"> EFRR</w:t>
      </w:r>
      <w:r w:rsidRPr="00A8786B">
        <w:rPr>
          <w:rFonts w:cstheme="minorHAnsi"/>
        </w:rPr>
        <w:t xml:space="preserve"> i dotacja IF</w:t>
      </w:r>
      <w:r>
        <w:rPr>
          <w:rFonts w:cstheme="minorHAnsi"/>
        </w:rPr>
        <w:t xml:space="preserve"> EFRR</w:t>
      </w:r>
      <w:r w:rsidRPr="00A8786B">
        <w:rPr>
          <w:rFonts w:cstheme="minorHAnsi"/>
        </w:rPr>
        <w:t xml:space="preserve">, wynosi nie więcej niż 40 000 000,00 zł. </w:t>
      </w:r>
    </w:p>
    <w:p w14:paraId="72B95B11" w14:textId="77777777" w:rsidR="006B5F6C" w:rsidRPr="00186952" w:rsidRDefault="006B5F6C" w:rsidP="006B5F6C">
      <w:pPr>
        <w:spacing w:line="276" w:lineRule="auto"/>
        <w:rPr>
          <w:rFonts w:ascii="Open Sans" w:hAnsi="Open Sans" w:cs="Open Sans"/>
        </w:rPr>
      </w:pPr>
    </w:p>
    <w:sectPr w:rsidR="006B5F6C" w:rsidRPr="00186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71664"/>
    <w:multiLevelType w:val="multilevel"/>
    <w:tmpl w:val="554EF9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10514"/>
    <w:multiLevelType w:val="multilevel"/>
    <w:tmpl w:val="1FB6CF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6D6F79"/>
    <w:multiLevelType w:val="multilevel"/>
    <w:tmpl w:val="A9E664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F5C8A"/>
    <w:multiLevelType w:val="hybridMultilevel"/>
    <w:tmpl w:val="D438E14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52E6C0C"/>
    <w:multiLevelType w:val="multilevel"/>
    <w:tmpl w:val="9F6EDD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C906EC"/>
    <w:multiLevelType w:val="multilevel"/>
    <w:tmpl w:val="91420B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435003"/>
    <w:multiLevelType w:val="multilevel"/>
    <w:tmpl w:val="6E728F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A2359E"/>
    <w:multiLevelType w:val="hybridMultilevel"/>
    <w:tmpl w:val="16B43CFA"/>
    <w:lvl w:ilvl="0" w:tplc="FFFFFFFF">
      <w:start w:val="1"/>
      <w:numFmt w:val="bullet"/>
      <w:lvlText w:val=""/>
      <w:lvlJc w:val="left"/>
      <w:pPr>
        <w:ind w:left="1440" w:hanging="360"/>
      </w:pPr>
      <w:rPr>
        <w:rFonts w:ascii="Symbol" w:hAnsi="Symbol" w:hint="default"/>
      </w:rPr>
    </w:lvl>
    <w:lvl w:ilvl="1" w:tplc="50C61618">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462774B"/>
    <w:multiLevelType w:val="multilevel"/>
    <w:tmpl w:val="AB0C9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924D09"/>
    <w:multiLevelType w:val="multilevel"/>
    <w:tmpl w:val="356A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385C19"/>
    <w:multiLevelType w:val="hybridMultilevel"/>
    <w:tmpl w:val="3D347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9E21AE"/>
    <w:multiLevelType w:val="multilevel"/>
    <w:tmpl w:val="754C6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E7686F"/>
    <w:multiLevelType w:val="multilevel"/>
    <w:tmpl w:val="7BF006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711F87"/>
    <w:multiLevelType w:val="multilevel"/>
    <w:tmpl w:val="52DC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B04A54"/>
    <w:multiLevelType w:val="multilevel"/>
    <w:tmpl w:val="7716F7B6"/>
    <w:lvl w:ilvl="0">
      <w:start w:val="8"/>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 w15:restartNumberingAfterBreak="0">
    <w:nsid w:val="7DFA2313"/>
    <w:multiLevelType w:val="multilevel"/>
    <w:tmpl w:val="900461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16366967">
    <w:abstractNumId w:val="13"/>
  </w:num>
  <w:num w:numId="2" w16cid:durableId="815950723">
    <w:abstractNumId w:val="11"/>
  </w:num>
  <w:num w:numId="3" w16cid:durableId="306978598">
    <w:abstractNumId w:val="8"/>
  </w:num>
  <w:num w:numId="4" w16cid:durableId="1523741737">
    <w:abstractNumId w:val="4"/>
  </w:num>
  <w:num w:numId="5" w16cid:durableId="982150566">
    <w:abstractNumId w:val="0"/>
  </w:num>
  <w:num w:numId="6" w16cid:durableId="1263994931">
    <w:abstractNumId w:val="6"/>
  </w:num>
  <w:num w:numId="7" w16cid:durableId="317078701">
    <w:abstractNumId w:val="5"/>
  </w:num>
  <w:num w:numId="8" w16cid:durableId="377050243">
    <w:abstractNumId w:val="15"/>
  </w:num>
  <w:num w:numId="9" w16cid:durableId="1401488993">
    <w:abstractNumId w:val="14"/>
  </w:num>
  <w:num w:numId="10" w16cid:durableId="868883414">
    <w:abstractNumId w:val="12"/>
  </w:num>
  <w:num w:numId="11" w16cid:durableId="700398920">
    <w:abstractNumId w:val="1"/>
  </w:num>
  <w:num w:numId="12" w16cid:durableId="1832915521">
    <w:abstractNumId w:val="2"/>
  </w:num>
  <w:num w:numId="13" w16cid:durableId="1512330163">
    <w:abstractNumId w:val="9"/>
  </w:num>
  <w:num w:numId="14" w16cid:durableId="990788690">
    <w:abstractNumId w:val="10"/>
  </w:num>
  <w:num w:numId="15" w16cid:durableId="1436091226">
    <w:abstractNumId w:val="3"/>
  </w:num>
  <w:num w:numId="16" w16cid:durableId="825782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AB"/>
    <w:rsid w:val="00186952"/>
    <w:rsid w:val="001E495D"/>
    <w:rsid w:val="002B77AB"/>
    <w:rsid w:val="00376A71"/>
    <w:rsid w:val="003F6716"/>
    <w:rsid w:val="00432387"/>
    <w:rsid w:val="00446E6A"/>
    <w:rsid w:val="00501868"/>
    <w:rsid w:val="00586AA9"/>
    <w:rsid w:val="006245B3"/>
    <w:rsid w:val="006A2F02"/>
    <w:rsid w:val="006B5F6C"/>
    <w:rsid w:val="0097538C"/>
    <w:rsid w:val="00AF3E9A"/>
    <w:rsid w:val="00B8169D"/>
    <w:rsid w:val="00BB477A"/>
    <w:rsid w:val="00C50B79"/>
    <w:rsid w:val="00D01B98"/>
    <w:rsid w:val="00D36776"/>
    <w:rsid w:val="00F443FE"/>
    <w:rsid w:val="00FB1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7DC1"/>
  <w15:chartTrackingRefBased/>
  <w15:docId w15:val="{75B6BDA9-BDC9-43A1-9778-8BD44F5F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B7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B7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B77A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B77A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B77A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B77A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77A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77A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77A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77A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B77A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B77A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B77A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B77A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B77A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77A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77A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77AB"/>
    <w:rPr>
      <w:rFonts w:eastAsiaTheme="majorEastAsia" w:cstheme="majorBidi"/>
      <w:color w:val="272727" w:themeColor="text1" w:themeTint="D8"/>
    </w:rPr>
  </w:style>
  <w:style w:type="paragraph" w:styleId="Tytu">
    <w:name w:val="Title"/>
    <w:basedOn w:val="Normalny"/>
    <w:next w:val="Normalny"/>
    <w:link w:val="TytuZnak"/>
    <w:uiPriority w:val="10"/>
    <w:qFormat/>
    <w:rsid w:val="002B7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77A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77A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77A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77AB"/>
    <w:pPr>
      <w:spacing w:before="160"/>
      <w:jc w:val="center"/>
    </w:pPr>
    <w:rPr>
      <w:i/>
      <w:iCs/>
      <w:color w:val="404040" w:themeColor="text1" w:themeTint="BF"/>
    </w:rPr>
  </w:style>
  <w:style w:type="character" w:customStyle="1" w:styleId="CytatZnak">
    <w:name w:val="Cytat Znak"/>
    <w:basedOn w:val="Domylnaczcionkaakapitu"/>
    <w:link w:val="Cytat"/>
    <w:uiPriority w:val="29"/>
    <w:rsid w:val="002B77AB"/>
    <w:rPr>
      <w:i/>
      <w:iCs/>
      <w:color w:val="404040" w:themeColor="text1" w:themeTint="BF"/>
    </w:rPr>
  </w:style>
  <w:style w:type="paragraph" w:styleId="Akapitzlist">
    <w:name w:val="List Paragraph"/>
    <w:aliases w:val="lp1,Preambuła,Tytuły,opis dzialania,K-P_odwolanie,Akapit z listą mon,Dot pt,F5 List Paragraph,List Paragraph1,Recommendation,List Paragraph11,Kolorowa lista — akcent 11,Numerowanie,List Paragraph,Normalny punktowany,Akapit z listą11"/>
    <w:basedOn w:val="Normalny"/>
    <w:link w:val="AkapitzlistZnak"/>
    <w:uiPriority w:val="34"/>
    <w:qFormat/>
    <w:rsid w:val="002B77AB"/>
    <w:pPr>
      <w:ind w:left="720"/>
      <w:contextualSpacing/>
    </w:pPr>
  </w:style>
  <w:style w:type="character" w:styleId="Wyrnienieintensywne">
    <w:name w:val="Intense Emphasis"/>
    <w:basedOn w:val="Domylnaczcionkaakapitu"/>
    <w:uiPriority w:val="21"/>
    <w:qFormat/>
    <w:rsid w:val="002B77AB"/>
    <w:rPr>
      <w:i/>
      <w:iCs/>
      <w:color w:val="0F4761" w:themeColor="accent1" w:themeShade="BF"/>
    </w:rPr>
  </w:style>
  <w:style w:type="paragraph" w:styleId="Cytatintensywny">
    <w:name w:val="Intense Quote"/>
    <w:basedOn w:val="Normalny"/>
    <w:next w:val="Normalny"/>
    <w:link w:val="CytatintensywnyZnak"/>
    <w:uiPriority w:val="30"/>
    <w:qFormat/>
    <w:rsid w:val="002B7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B77AB"/>
    <w:rPr>
      <w:i/>
      <w:iCs/>
      <w:color w:val="0F4761" w:themeColor="accent1" w:themeShade="BF"/>
    </w:rPr>
  </w:style>
  <w:style w:type="character" w:styleId="Odwoanieintensywne">
    <w:name w:val="Intense Reference"/>
    <w:basedOn w:val="Domylnaczcionkaakapitu"/>
    <w:uiPriority w:val="32"/>
    <w:qFormat/>
    <w:rsid w:val="002B77AB"/>
    <w:rPr>
      <w:b/>
      <w:bCs/>
      <w:smallCaps/>
      <w:color w:val="0F4761" w:themeColor="accent1" w:themeShade="BF"/>
      <w:spacing w:val="5"/>
    </w:rPr>
  </w:style>
  <w:style w:type="character" w:styleId="Hipercze">
    <w:name w:val="Hyperlink"/>
    <w:basedOn w:val="Domylnaczcionkaakapitu"/>
    <w:uiPriority w:val="99"/>
    <w:unhideWhenUsed/>
    <w:rsid w:val="002B77AB"/>
    <w:rPr>
      <w:color w:val="467886" w:themeColor="hyperlink"/>
      <w:u w:val="single"/>
    </w:rPr>
  </w:style>
  <w:style w:type="character" w:styleId="Nierozpoznanawzmianka">
    <w:name w:val="Unresolved Mention"/>
    <w:basedOn w:val="Domylnaczcionkaakapitu"/>
    <w:uiPriority w:val="99"/>
    <w:semiHidden/>
    <w:unhideWhenUsed/>
    <w:rsid w:val="002B77AB"/>
    <w:rPr>
      <w:color w:val="605E5C"/>
      <w:shd w:val="clear" w:color="auto" w:fill="E1DFDD"/>
    </w:rPr>
  </w:style>
  <w:style w:type="character" w:customStyle="1" w:styleId="AkapitzlistZnak">
    <w:name w:val="Akapit z listą Znak"/>
    <w:aliases w:val="lp1 Znak,Preambuła Znak,Tytuły Znak,opis dzialania Znak,K-P_odwolanie Znak,Akapit z listą mon Znak,Dot pt Znak,F5 List Paragraph Znak,List Paragraph1 Znak,Recommendation Znak,List Paragraph11 Znak,Kolorowa lista — akcent 11 Znak"/>
    <w:link w:val="Akapitzlist"/>
    <w:uiPriority w:val="34"/>
    <w:qFormat/>
    <w:rsid w:val="001E4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27606">
      <w:bodyDiv w:val="1"/>
      <w:marLeft w:val="0"/>
      <w:marRight w:val="0"/>
      <w:marTop w:val="0"/>
      <w:marBottom w:val="0"/>
      <w:divBdr>
        <w:top w:val="none" w:sz="0" w:space="0" w:color="auto"/>
        <w:left w:val="none" w:sz="0" w:space="0" w:color="auto"/>
        <w:bottom w:val="none" w:sz="0" w:space="0" w:color="auto"/>
        <w:right w:val="none" w:sz="0" w:space="0" w:color="auto"/>
      </w:divBdr>
    </w:div>
    <w:div w:id="239602327">
      <w:bodyDiv w:val="1"/>
      <w:marLeft w:val="0"/>
      <w:marRight w:val="0"/>
      <w:marTop w:val="0"/>
      <w:marBottom w:val="0"/>
      <w:divBdr>
        <w:top w:val="none" w:sz="0" w:space="0" w:color="auto"/>
        <w:left w:val="none" w:sz="0" w:space="0" w:color="auto"/>
        <w:bottom w:val="none" w:sz="0" w:space="0" w:color="auto"/>
        <w:right w:val="none" w:sz="0" w:space="0" w:color="auto"/>
      </w:divBdr>
      <w:divsChild>
        <w:div w:id="1180047886">
          <w:marLeft w:val="0"/>
          <w:marRight w:val="0"/>
          <w:marTop w:val="0"/>
          <w:marBottom w:val="0"/>
          <w:divBdr>
            <w:top w:val="none" w:sz="0" w:space="0" w:color="auto"/>
            <w:left w:val="none" w:sz="0" w:space="0" w:color="auto"/>
            <w:bottom w:val="none" w:sz="0" w:space="0" w:color="auto"/>
            <w:right w:val="none" w:sz="0" w:space="0" w:color="auto"/>
          </w:divBdr>
        </w:div>
      </w:divsChild>
    </w:div>
    <w:div w:id="359210539">
      <w:bodyDiv w:val="1"/>
      <w:marLeft w:val="0"/>
      <w:marRight w:val="0"/>
      <w:marTop w:val="0"/>
      <w:marBottom w:val="0"/>
      <w:divBdr>
        <w:top w:val="none" w:sz="0" w:space="0" w:color="auto"/>
        <w:left w:val="none" w:sz="0" w:space="0" w:color="auto"/>
        <w:bottom w:val="none" w:sz="0" w:space="0" w:color="auto"/>
        <w:right w:val="none" w:sz="0" w:space="0" w:color="auto"/>
      </w:divBdr>
    </w:div>
    <w:div w:id="530723871">
      <w:bodyDiv w:val="1"/>
      <w:marLeft w:val="0"/>
      <w:marRight w:val="0"/>
      <w:marTop w:val="0"/>
      <w:marBottom w:val="0"/>
      <w:divBdr>
        <w:top w:val="none" w:sz="0" w:space="0" w:color="auto"/>
        <w:left w:val="none" w:sz="0" w:space="0" w:color="auto"/>
        <w:bottom w:val="none" w:sz="0" w:space="0" w:color="auto"/>
        <w:right w:val="none" w:sz="0" w:space="0" w:color="auto"/>
      </w:divBdr>
      <w:divsChild>
        <w:div w:id="1169633237">
          <w:marLeft w:val="0"/>
          <w:marRight w:val="0"/>
          <w:marTop w:val="0"/>
          <w:marBottom w:val="0"/>
          <w:divBdr>
            <w:top w:val="none" w:sz="0" w:space="0" w:color="auto"/>
            <w:left w:val="none" w:sz="0" w:space="0" w:color="auto"/>
            <w:bottom w:val="none" w:sz="0" w:space="0" w:color="auto"/>
            <w:right w:val="none" w:sz="0" w:space="0" w:color="auto"/>
          </w:divBdr>
        </w:div>
      </w:divsChild>
    </w:div>
    <w:div w:id="1055203466">
      <w:bodyDiv w:val="1"/>
      <w:marLeft w:val="0"/>
      <w:marRight w:val="0"/>
      <w:marTop w:val="0"/>
      <w:marBottom w:val="0"/>
      <w:divBdr>
        <w:top w:val="none" w:sz="0" w:space="0" w:color="auto"/>
        <w:left w:val="none" w:sz="0" w:space="0" w:color="auto"/>
        <w:bottom w:val="none" w:sz="0" w:space="0" w:color="auto"/>
        <w:right w:val="none" w:sz="0" w:space="0" w:color="auto"/>
      </w:divBdr>
    </w:div>
    <w:div w:id="1769083729">
      <w:bodyDiv w:val="1"/>
      <w:marLeft w:val="0"/>
      <w:marRight w:val="0"/>
      <w:marTop w:val="0"/>
      <w:marBottom w:val="0"/>
      <w:divBdr>
        <w:top w:val="none" w:sz="0" w:space="0" w:color="auto"/>
        <w:left w:val="none" w:sz="0" w:space="0" w:color="auto"/>
        <w:bottom w:val="none" w:sz="0" w:space="0" w:color="auto"/>
        <w:right w:val="none" w:sz="0" w:space="0" w:color="auto"/>
      </w:divBdr>
    </w:div>
    <w:div w:id="1941915904">
      <w:bodyDiv w:val="1"/>
      <w:marLeft w:val="0"/>
      <w:marRight w:val="0"/>
      <w:marTop w:val="0"/>
      <w:marBottom w:val="0"/>
      <w:divBdr>
        <w:top w:val="none" w:sz="0" w:space="0" w:color="auto"/>
        <w:left w:val="none" w:sz="0" w:space="0" w:color="auto"/>
        <w:bottom w:val="none" w:sz="0" w:space="0" w:color="auto"/>
        <w:right w:val="none" w:sz="0" w:space="0" w:color="auto"/>
      </w:divBdr>
    </w:div>
    <w:div w:id="206799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nfosigw/862-wspolfinansowanie-projektow-realizowanych-w-ramach-programu-fundusze-europejskie-na-infrastrukture-klimat-srodowisko-2021-2027-feniks-czesc-2-rozwoj-oz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1695</Words>
  <Characters>10176</Characters>
  <Application>Microsoft Office Word</Application>
  <DocSecurity>0</DocSecurity>
  <Lines>84</Lines>
  <Paragraphs>23</Paragraphs>
  <ScaleCrop>false</ScaleCrop>
  <HeadingPairs>
    <vt:vector size="4" baseType="variant">
      <vt:variant>
        <vt:lpstr>Tytuł</vt:lpstr>
      </vt:variant>
      <vt:variant>
        <vt:i4>1</vt:i4>
      </vt:variant>
      <vt:variant>
        <vt:lpstr>Nagłówki</vt:lpstr>
      </vt:variant>
      <vt:variant>
        <vt:i4>14</vt:i4>
      </vt:variant>
    </vt:vector>
  </HeadingPairs>
  <TitlesOfParts>
    <vt:vector size="15" baseType="lpstr">
      <vt:lpstr/>
      <vt:lpstr>Czy w ramach prowadzonego naboru wniosków o dofinansowanie można złożyć wniosek </vt:lpstr>
      <vt:lpstr>W związku z limitami finansowania ze środków UE w Regulaminie Naboru (biometan d</vt:lpstr>
      <vt:lpstr>Czy w przypadku budowy biogazowni można sumować moc elektryczną i moc cieplną,  </vt:lpstr>
      <vt:lpstr>Czy w przypadku rozbudowy biogazowni o instalację biometanową,  istniejąca bioga</vt:lpstr>
      <vt:lpstr>Rozbudowa/modernizacja biogazowni – jaki zakres jest możliwy – w szczególności  </vt:lpstr>
      <vt:lpstr>Czy jeżeli jeden wnioskodawca planuje realizację budowy kilku biometanowni, w ki</vt:lpstr>
      <vt:lpstr>Jakie wytyczne obowiązują do kwalifikowania wydatków?</vt:lpstr>
      <vt:lpstr>Czy na rozpoczęty projekt można strać się o dofinansowanie?</vt:lpstr>
      <vt:lpstr>Jakie formy zabezpieczenia finansowania obowiązują w ramach prowadzonego naboru?</vt:lpstr>
      <vt:lpstr>Czy w naborze mogą aplikować wszyscy przedsiębiorcy?  </vt:lpstr>
      <vt:lpstr>Na jakim etapie oceny przedsięwzięcia należy najpóźniej przedstawić dokumenty wy</vt:lpstr>
      <vt:lpstr>Jaką formę powinien mieć, wymagany listą załączników w ramach naboru FENiKS 2.2 </vt:lpstr>
      <vt:lpstr>Podobna wątpliwość dotyczy wyliczenia efektu ekologicznego dla biometanowni – cz</vt:lpstr>
      <vt:lpstr>Czy jest określona minimalna lub maksymalna wartość inwestycji?</vt:lpstr>
    </vt:vector>
  </TitlesOfParts>
  <Company>NFOSiGW</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Mordarska Monika</dc:creator>
  <cp:keywords/>
  <dc:description/>
  <cp:lastModifiedBy>Mordarska Monika</cp:lastModifiedBy>
  <cp:revision>5</cp:revision>
  <dcterms:created xsi:type="dcterms:W3CDTF">2024-10-30T12:40:00Z</dcterms:created>
  <dcterms:modified xsi:type="dcterms:W3CDTF">2024-11-05T11:48:00Z</dcterms:modified>
</cp:coreProperties>
</file>