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83" w:rsidRDefault="005A5903" w:rsidP="00543BA8">
      <w:pPr>
        <w:pStyle w:val="Nagwekspisutreci"/>
        <w:spacing w:before="6600"/>
        <w:jc w:val="center"/>
        <w:rPr>
          <w:rFonts w:ascii="Times New Roman" w:hAnsi="Times New Roman"/>
          <w:b/>
          <w:color w:val="000000"/>
          <w:sz w:val="36"/>
          <w:szCs w:val="36"/>
        </w:rPr>
      </w:pPr>
      <w:bookmarkStart w:id="0" w:name="_GoBack"/>
      <w:bookmarkEnd w:id="0"/>
      <w:r>
        <w:rPr>
          <w:noProof/>
        </w:rPr>
        <w:drawing>
          <wp:anchor distT="0" distB="0" distL="114300" distR="114300" simplePos="0" relativeHeight="251657728" behindDoc="1" locked="0" layoutInCell="1" allowOverlap="1">
            <wp:simplePos x="0" y="0"/>
            <wp:positionH relativeFrom="column">
              <wp:posOffset>2471420</wp:posOffset>
            </wp:positionH>
            <wp:positionV relativeFrom="paragraph">
              <wp:posOffset>673100</wp:posOffset>
            </wp:positionV>
            <wp:extent cx="755650" cy="751840"/>
            <wp:effectExtent l="0" t="0" r="6350" b="0"/>
            <wp:wrapTight wrapText="bothSides">
              <wp:wrapPolygon edited="0">
                <wp:start x="0" y="0"/>
                <wp:lineTo x="0" y="20797"/>
                <wp:lineTo x="21237" y="20797"/>
                <wp:lineTo x="21237" y="0"/>
                <wp:lineTo x="0" y="0"/>
              </wp:wrapPolygon>
            </wp:wrapTight>
            <wp:docPr id="2" name="Obraz 1" descr="Logo Rady do Spraw Uchodźc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Rady do Spraw Uchodźcó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4683">
        <w:rPr>
          <w:rFonts w:ascii="Times New Roman" w:hAnsi="Times New Roman"/>
          <w:b/>
          <w:color w:val="000000"/>
          <w:sz w:val="36"/>
          <w:szCs w:val="36"/>
        </w:rPr>
        <w:t>SPRAWOZDANIE</w:t>
      </w:r>
    </w:p>
    <w:p w:rsidR="008D4683" w:rsidRDefault="008D4683" w:rsidP="00543BA8">
      <w:pPr>
        <w:suppressAutoHyphens/>
        <w:spacing w:before="3000" w:after="0" w:line="240" w:lineRule="auto"/>
        <w:jc w:val="center"/>
        <w:rPr>
          <w:rFonts w:ascii="Times New Roman" w:eastAsia="Times New Roman" w:hAnsi="Times New Roman"/>
          <w:b/>
          <w:color w:val="000000"/>
          <w:sz w:val="20"/>
          <w:szCs w:val="24"/>
          <w:lang w:eastAsia="pl-PL"/>
        </w:rPr>
      </w:pPr>
      <w:r>
        <w:rPr>
          <w:rFonts w:ascii="Times New Roman" w:eastAsia="Times New Roman" w:hAnsi="Times New Roman"/>
          <w:b/>
          <w:color w:val="000000"/>
          <w:sz w:val="20"/>
          <w:szCs w:val="24"/>
          <w:lang w:eastAsia="pl-PL"/>
        </w:rPr>
        <w:t>Z DZIAŁALNOŚCI RADY DO SPRAW UCHODŹCÓW ZA 20</w:t>
      </w:r>
      <w:r w:rsidR="009420B5">
        <w:rPr>
          <w:rFonts w:ascii="Times New Roman" w:eastAsia="Times New Roman" w:hAnsi="Times New Roman"/>
          <w:b/>
          <w:color w:val="000000"/>
          <w:sz w:val="20"/>
          <w:szCs w:val="24"/>
          <w:lang w:eastAsia="pl-PL"/>
        </w:rPr>
        <w:t>20</w:t>
      </w:r>
      <w:r>
        <w:rPr>
          <w:rFonts w:ascii="Times New Roman" w:eastAsia="Times New Roman" w:hAnsi="Times New Roman"/>
          <w:b/>
          <w:color w:val="000000"/>
          <w:sz w:val="20"/>
          <w:szCs w:val="24"/>
          <w:lang w:eastAsia="pl-PL"/>
        </w:rPr>
        <w:t xml:space="preserve"> r.</w:t>
      </w:r>
    </w:p>
    <w:p w:rsidR="008D4683" w:rsidRPr="00B6659D" w:rsidRDefault="008D4683" w:rsidP="00543BA8">
      <w:pPr>
        <w:suppressAutoHyphens/>
        <w:spacing w:before="3000" w:after="0" w:line="240" w:lineRule="auto"/>
        <w:jc w:val="center"/>
        <w:rPr>
          <w:rFonts w:ascii="Times New Roman" w:eastAsia="Times New Roman" w:hAnsi="Times New Roman"/>
          <w:b/>
          <w:sz w:val="20"/>
          <w:szCs w:val="24"/>
          <w:lang w:eastAsia="pl-PL"/>
        </w:rPr>
      </w:pPr>
      <w:r w:rsidRPr="00B6659D">
        <w:rPr>
          <w:rFonts w:ascii="Times New Roman" w:eastAsia="Times New Roman" w:hAnsi="Times New Roman"/>
          <w:b/>
          <w:sz w:val="20"/>
          <w:szCs w:val="24"/>
          <w:lang w:eastAsia="pl-PL"/>
        </w:rPr>
        <w:t xml:space="preserve">Warszawa, </w:t>
      </w:r>
      <w:r w:rsidR="009420B5">
        <w:rPr>
          <w:rFonts w:ascii="Times New Roman" w:eastAsia="Times New Roman" w:hAnsi="Times New Roman"/>
          <w:b/>
          <w:sz w:val="20"/>
          <w:szCs w:val="24"/>
          <w:lang w:eastAsia="pl-PL"/>
        </w:rPr>
        <w:t>kwiecień</w:t>
      </w:r>
      <w:r w:rsidRPr="00B6659D">
        <w:rPr>
          <w:rFonts w:ascii="Times New Roman" w:eastAsia="Times New Roman" w:hAnsi="Times New Roman"/>
          <w:b/>
          <w:sz w:val="20"/>
          <w:szCs w:val="24"/>
          <w:lang w:eastAsia="pl-PL"/>
        </w:rPr>
        <w:t xml:space="preserve"> 202</w:t>
      </w:r>
      <w:r w:rsidR="009420B5">
        <w:rPr>
          <w:rFonts w:ascii="Times New Roman" w:eastAsia="Times New Roman" w:hAnsi="Times New Roman"/>
          <w:b/>
          <w:sz w:val="20"/>
          <w:szCs w:val="24"/>
          <w:lang w:eastAsia="pl-PL"/>
        </w:rPr>
        <w:t>1</w:t>
      </w:r>
      <w:r w:rsidRPr="00B6659D">
        <w:rPr>
          <w:rFonts w:ascii="Times New Roman" w:eastAsia="Times New Roman" w:hAnsi="Times New Roman"/>
          <w:b/>
          <w:sz w:val="20"/>
          <w:szCs w:val="24"/>
          <w:lang w:eastAsia="pl-PL"/>
        </w:rPr>
        <w:t xml:space="preserve"> r.</w:t>
      </w:r>
    </w:p>
    <w:p w:rsidR="00860933" w:rsidRDefault="00860933" w:rsidP="008D4683">
      <w:pPr>
        <w:suppressAutoHyphens/>
        <w:spacing w:after="120" w:line="240" w:lineRule="auto"/>
        <w:jc w:val="center"/>
        <w:rPr>
          <w:rFonts w:ascii="Times New Roman" w:eastAsia="Times New Roman" w:hAnsi="Times New Roman"/>
          <w:b/>
          <w:color w:val="FF0000"/>
          <w:sz w:val="20"/>
          <w:szCs w:val="24"/>
          <w:lang w:eastAsia="pl-PL"/>
        </w:rPr>
      </w:pPr>
    </w:p>
    <w:p w:rsidR="00860933" w:rsidRPr="00230BCE" w:rsidRDefault="00B6659D" w:rsidP="00E778FF">
      <w:pPr>
        <w:pStyle w:val="Akapitzlist"/>
        <w:numPr>
          <w:ilvl w:val="0"/>
          <w:numId w:val="4"/>
        </w:numPr>
        <w:spacing w:before="600"/>
        <w:rPr>
          <w:rFonts w:ascii="Times New Roman" w:hAnsi="Times New Roman" w:cs="Times New Roman"/>
          <w:sz w:val="24"/>
          <w:szCs w:val="24"/>
        </w:rPr>
      </w:pPr>
      <w:r>
        <w:rPr>
          <w:rFonts w:ascii="Times New Roman" w:hAnsi="Times New Roman" w:cs="Times New Roman"/>
          <w:sz w:val="24"/>
          <w:szCs w:val="24"/>
        </w:rPr>
        <w:lastRenderedPageBreak/>
        <w:t>INFORMACJE OGÓLNE</w:t>
      </w:r>
    </w:p>
    <w:p w:rsidR="00230BCE" w:rsidRPr="00F137D2" w:rsidRDefault="00230BCE" w:rsidP="00E778FF">
      <w:pPr>
        <w:spacing w:before="600" w:after="0" w:line="360" w:lineRule="auto"/>
        <w:jc w:val="both"/>
        <w:rPr>
          <w:rFonts w:ascii="Times New Roman" w:hAnsi="Times New Roman"/>
          <w:sz w:val="24"/>
          <w:szCs w:val="24"/>
        </w:rPr>
      </w:pPr>
      <w:r w:rsidRPr="00F137D2">
        <w:rPr>
          <w:rFonts w:ascii="Times New Roman" w:hAnsi="Times New Roman"/>
          <w:sz w:val="24"/>
          <w:szCs w:val="24"/>
        </w:rPr>
        <w:t xml:space="preserve">Rada do Spraw Uchodźców jest organem administracji publicznej, działającym na podstawie ustawy z dnia 13 czerwca 2003 r. o udzielaniu cudzoziemcom ochrony na terytorium Rzeczypospolitej Polskiej (Dz. U. z 2019 r. poz. 1666). </w:t>
      </w:r>
    </w:p>
    <w:p w:rsidR="00230BCE" w:rsidRPr="00F137D2" w:rsidRDefault="00230BCE" w:rsidP="00230BCE">
      <w:pPr>
        <w:spacing w:after="120" w:line="360" w:lineRule="auto"/>
        <w:jc w:val="both"/>
        <w:rPr>
          <w:rFonts w:ascii="Times New Roman" w:hAnsi="Times New Roman"/>
          <w:sz w:val="24"/>
          <w:szCs w:val="24"/>
        </w:rPr>
      </w:pPr>
      <w:r w:rsidRPr="00F137D2">
        <w:rPr>
          <w:rFonts w:ascii="Times New Roman" w:hAnsi="Times New Roman"/>
          <w:sz w:val="24"/>
          <w:szCs w:val="24"/>
        </w:rPr>
        <w:tab/>
        <w:t>Z</w:t>
      </w:r>
      <w:r w:rsidR="0001723D" w:rsidRPr="00F137D2">
        <w:rPr>
          <w:rFonts w:ascii="Times New Roman" w:hAnsi="Times New Roman"/>
          <w:sz w:val="24"/>
          <w:szCs w:val="24"/>
        </w:rPr>
        <w:t xml:space="preserve">godnie z </w:t>
      </w:r>
      <w:r w:rsidRPr="00F137D2">
        <w:rPr>
          <w:rFonts w:ascii="Times New Roman" w:hAnsi="Times New Roman"/>
          <w:sz w:val="24"/>
          <w:szCs w:val="24"/>
        </w:rPr>
        <w:t xml:space="preserve">art. 89p ust. 1 - 4 u.o.o., </w:t>
      </w:r>
      <w:r w:rsidR="0001723D" w:rsidRPr="00F137D2">
        <w:rPr>
          <w:rFonts w:ascii="Times New Roman" w:hAnsi="Times New Roman"/>
          <w:sz w:val="24"/>
          <w:szCs w:val="24"/>
        </w:rPr>
        <w:t>do zadań Rady należy:</w:t>
      </w:r>
    </w:p>
    <w:p w:rsidR="00230BCE" w:rsidRPr="00F137D2" w:rsidRDefault="00230BCE" w:rsidP="00230BCE">
      <w:pPr>
        <w:numPr>
          <w:ilvl w:val="0"/>
          <w:numId w:val="2"/>
        </w:numPr>
        <w:spacing w:after="120" w:line="360" w:lineRule="auto"/>
        <w:jc w:val="both"/>
        <w:rPr>
          <w:rFonts w:ascii="Times New Roman" w:hAnsi="Times New Roman"/>
          <w:sz w:val="24"/>
          <w:szCs w:val="24"/>
        </w:rPr>
      </w:pPr>
      <w:r w:rsidRPr="00F137D2">
        <w:rPr>
          <w:rFonts w:ascii="Times New Roman" w:hAnsi="Times New Roman"/>
          <w:sz w:val="24"/>
          <w:szCs w:val="24"/>
        </w:rPr>
        <w:t>rozpatrywanie odwołań od decyzji i zażaleń na postanowienia Szefa Urzędu do Spraw Cudzoziemców, wydawanych na podstawie działu II u.o.o. (z wyjątkiem orzeczeń dotyczących nieodpłatnej pomocy prawnej oraz spraw pomocy dla osób ubiegających się o udzielenie ochrony międzynarodowej);</w:t>
      </w:r>
    </w:p>
    <w:p w:rsidR="00230BCE" w:rsidRPr="00F137D2" w:rsidRDefault="00230BCE" w:rsidP="00230BCE">
      <w:pPr>
        <w:numPr>
          <w:ilvl w:val="0"/>
          <w:numId w:val="2"/>
        </w:numPr>
        <w:spacing w:after="120" w:line="360" w:lineRule="auto"/>
        <w:jc w:val="both"/>
        <w:rPr>
          <w:rFonts w:ascii="Times New Roman" w:hAnsi="Times New Roman"/>
          <w:sz w:val="24"/>
          <w:szCs w:val="24"/>
        </w:rPr>
      </w:pPr>
      <w:r w:rsidRPr="00F137D2">
        <w:rPr>
          <w:rFonts w:ascii="Times New Roman" w:hAnsi="Times New Roman"/>
          <w:sz w:val="24"/>
          <w:szCs w:val="24"/>
        </w:rPr>
        <w:t xml:space="preserve">orzekanie w sprawach wznowienia postępowania, uchylenia, zmiany lub stwierdzenia nieważności wydanych przez siebie decyzji i postanowień; </w:t>
      </w:r>
    </w:p>
    <w:p w:rsidR="00230BCE" w:rsidRPr="00F137D2" w:rsidRDefault="00230BCE" w:rsidP="00230BCE">
      <w:pPr>
        <w:numPr>
          <w:ilvl w:val="0"/>
          <w:numId w:val="2"/>
        </w:numPr>
        <w:spacing w:after="120" w:line="360" w:lineRule="auto"/>
        <w:jc w:val="both"/>
        <w:rPr>
          <w:rFonts w:ascii="Times New Roman" w:hAnsi="Times New Roman"/>
          <w:sz w:val="24"/>
          <w:szCs w:val="24"/>
        </w:rPr>
      </w:pPr>
      <w:r w:rsidRPr="00F137D2">
        <w:rPr>
          <w:rFonts w:ascii="Times New Roman" w:hAnsi="Times New Roman"/>
          <w:sz w:val="24"/>
          <w:szCs w:val="24"/>
        </w:rPr>
        <w:t>dokonywanie analiz orzecznictwa w zakresie spraw o nadanie lub pozbawienie statusu uchodźcy;</w:t>
      </w:r>
    </w:p>
    <w:p w:rsidR="00230BCE" w:rsidRPr="00F137D2" w:rsidRDefault="00230BCE" w:rsidP="00230BCE">
      <w:pPr>
        <w:numPr>
          <w:ilvl w:val="0"/>
          <w:numId w:val="2"/>
        </w:numPr>
        <w:spacing w:after="120" w:line="360" w:lineRule="auto"/>
        <w:jc w:val="both"/>
        <w:rPr>
          <w:rFonts w:ascii="Times New Roman" w:hAnsi="Times New Roman"/>
          <w:sz w:val="24"/>
          <w:szCs w:val="24"/>
        </w:rPr>
      </w:pPr>
      <w:r w:rsidRPr="00F137D2">
        <w:rPr>
          <w:rFonts w:ascii="Times New Roman" w:hAnsi="Times New Roman"/>
          <w:sz w:val="24"/>
          <w:szCs w:val="24"/>
        </w:rPr>
        <w:t>gromadzenie informacji o krajach pochodzenia cudzoziemców;</w:t>
      </w:r>
    </w:p>
    <w:p w:rsidR="00230BCE" w:rsidRPr="00F137D2" w:rsidRDefault="00230BCE" w:rsidP="00230BCE">
      <w:pPr>
        <w:numPr>
          <w:ilvl w:val="0"/>
          <w:numId w:val="2"/>
        </w:numPr>
        <w:spacing w:after="120" w:line="360" w:lineRule="auto"/>
        <w:jc w:val="both"/>
        <w:rPr>
          <w:rFonts w:ascii="Times New Roman" w:hAnsi="Times New Roman"/>
          <w:sz w:val="24"/>
          <w:szCs w:val="24"/>
        </w:rPr>
      </w:pPr>
      <w:r w:rsidRPr="00F137D2">
        <w:rPr>
          <w:rFonts w:ascii="Times New Roman" w:hAnsi="Times New Roman"/>
          <w:sz w:val="24"/>
          <w:szCs w:val="24"/>
        </w:rPr>
        <w:t>współprac</w:t>
      </w:r>
      <w:r w:rsidR="0001723D" w:rsidRPr="00F137D2">
        <w:rPr>
          <w:rFonts w:ascii="Times New Roman" w:hAnsi="Times New Roman"/>
          <w:sz w:val="24"/>
          <w:szCs w:val="24"/>
        </w:rPr>
        <w:t>a</w:t>
      </w:r>
      <w:r w:rsidRPr="00F137D2">
        <w:rPr>
          <w:rFonts w:ascii="Times New Roman" w:hAnsi="Times New Roman"/>
          <w:sz w:val="24"/>
          <w:szCs w:val="24"/>
        </w:rPr>
        <w:t xml:space="preserve"> z organami oraz instytucjami krajowymi i zagranicznymi w zakresie pro</w:t>
      </w:r>
      <w:r w:rsidR="00EF4CCA" w:rsidRPr="00F137D2">
        <w:rPr>
          <w:rFonts w:ascii="Times New Roman" w:hAnsi="Times New Roman"/>
          <w:sz w:val="24"/>
          <w:szCs w:val="24"/>
        </w:rPr>
        <w:t>blematyki migracji i uchodźstwa.</w:t>
      </w:r>
    </w:p>
    <w:p w:rsidR="00B6659D" w:rsidRPr="00F137D2" w:rsidRDefault="00B6659D" w:rsidP="00E778FF">
      <w:pPr>
        <w:pStyle w:val="Akapitzlist"/>
        <w:numPr>
          <w:ilvl w:val="0"/>
          <w:numId w:val="4"/>
        </w:numPr>
        <w:spacing w:before="600"/>
        <w:rPr>
          <w:rFonts w:ascii="Times New Roman" w:hAnsi="Times New Roman" w:cs="Times New Roman"/>
          <w:sz w:val="24"/>
          <w:szCs w:val="24"/>
          <w:lang w:eastAsia="pl-PL"/>
        </w:rPr>
      </w:pPr>
      <w:r w:rsidRPr="00F137D2">
        <w:rPr>
          <w:rFonts w:ascii="Times New Roman" w:hAnsi="Times New Roman" w:cs="Times New Roman"/>
          <w:sz w:val="24"/>
          <w:szCs w:val="24"/>
          <w:lang w:eastAsia="pl-PL"/>
        </w:rPr>
        <w:t>SKŁAD RADY</w:t>
      </w:r>
    </w:p>
    <w:p w:rsidR="00F0589E" w:rsidRDefault="00860933" w:rsidP="00E778FF">
      <w:pPr>
        <w:spacing w:before="600" w:after="0" w:line="360" w:lineRule="auto"/>
        <w:jc w:val="both"/>
        <w:rPr>
          <w:rFonts w:ascii="Times New Roman" w:hAnsi="Times New Roman"/>
          <w:sz w:val="24"/>
          <w:szCs w:val="24"/>
          <w:lang w:eastAsia="pl-PL"/>
        </w:rPr>
      </w:pPr>
      <w:r w:rsidRPr="00F137D2">
        <w:rPr>
          <w:rFonts w:ascii="Times New Roman" w:hAnsi="Times New Roman"/>
          <w:sz w:val="24"/>
          <w:szCs w:val="24"/>
          <w:lang w:eastAsia="pl-PL"/>
        </w:rPr>
        <w:t xml:space="preserve">Zgodnie z art. 89r ust. 1 ustawy o udzielaniu cudzoziemcom ochrony na terytorium Rzeczypospolitej Polskiej kadencja Rady trwa pięć lat. </w:t>
      </w:r>
      <w:r w:rsidR="009420B5">
        <w:rPr>
          <w:rFonts w:ascii="Times New Roman" w:hAnsi="Times New Roman"/>
          <w:sz w:val="24"/>
          <w:szCs w:val="24"/>
          <w:lang w:eastAsia="pl-PL"/>
        </w:rPr>
        <w:t>Rok</w:t>
      </w:r>
      <w:r w:rsidRPr="00F137D2">
        <w:rPr>
          <w:rFonts w:ascii="Times New Roman" w:hAnsi="Times New Roman"/>
          <w:sz w:val="24"/>
          <w:szCs w:val="24"/>
          <w:lang w:eastAsia="pl-PL"/>
        </w:rPr>
        <w:t xml:space="preserve"> 20</w:t>
      </w:r>
      <w:r w:rsidR="009420B5">
        <w:rPr>
          <w:rFonts w:ascii="Times New Roman" w:hAnsi="Times New Roman"/>
          <w:sz w:val="24"/>
          <w:szCs w:val="24"/>
          <w:lang w:eastAsia="pl-PL"/>
        </w:rPr>
        <w:t xml:space="preserve">20 </w:t>
      </w:r>
      <w:r w:rsidRPr="00F137D2">
        <w:rPr>
          <w:rFonts w:ascii="Times New Roman" w:hAnsi="Times New Roman"/>
          <w:sz w:val="24"/>
          <w:szCs w:val="24"/>
          <w:lang w:eastAsia="pl-PL"/>
        </w:rPr>
        <w:t xml:space="preserve"> </w:t>
      </w:r>
      <w:r w:rsidR="009420B5">
        <w:rPr>
          <w:rFonts w:ascii="Times New Roman" w:hAnsi="Times New Roman"/>
          <w:sz w:val="24"/>
          <w:szCs w:val="24"/>
          <w:lang w:eastAsia="pl-PL"/>
        </w:rPr>
        <w:t xml:space="preserve">był drugim rokiem </w:t>
      </w:r>
      <w:r w:rsidR="009420B5" w:rsidRPr="00F137D2">
        <w:rPr>
          <w:rFonts w:ascii="Times New Roman" w:hAnsi="Times New Roman"/>
          <w:sz w:val="24"/>
          <w:szCs w:val="24"/>
          <w:lang w:eastAsia="pl-PL"/>
        </w:rPr>
        <w:t xml:space="preserve">V kadencji </w:t>
      </w:r>
      <w:r w:rsidR="009420B5">
        <w:rPr>
          <w:rFonts w:ascii="Times New Roman" w:hAnsi="Times New Roman"/>
          <w:sz w:val="24"/>
          <w:szCs w:val="24"/>
          <w:lang w:eastAsia="pl-PL"/>
        </w:rPr>
        <w:t>Rady do Spraw Uchodźców.</w:t>
      </w:r>
    </w:p>
    <w:p w:rsidR="00860933" w:rsidRPr="00F137D2" w:rsidRDefault="00230BCE" w:rsidP="00E778FF">
      <w:pPr>
        <w:spacing w:before="240" w:after="0" w:line="360" w:lineRule="auto"/>
        <w:rPr>
          <w:rFonts w:ascii="Times New Roman" w:hAnsi="Times New Roman"/>
          <w:sz w:val="24"/>
          <w:szCs w:val="24"/>
          <w:u w:val="single"/>
          <w:lang w:eastAsia="pl-PL"/>
        </w:rPr>
      </w:pPr>
      <w:r w:rsidRPr="00F137D2">
        <w:rPr>
          <w:rFonts w:ascii="Times New Roman" w:hAnsi="Times New Roman"/>
          <w:bCs/>
          <w:sz w:val="24"/>
          <w:szCs w:val="24"/>
          <w:u w:val="single"/>
          <w:lang w:eastAsia="pl-PL"/>
        </w:rPr>
        <w:t>W s</w:t>
      </w:r>
      <w:r w:rsidR="00860933" w:rsidRPr="00F137D2">
        <w:rPr>
          <w:rFonts w:ascii="Times New Roman" w:hAnsi="Times New Roman"/>
          <w:bCs/>
          <w:sz w:val="24"/>
          <w:szCs w:val="24"/>
          <w:u w:val="single"/>
          <w:lang w:eastAsia="pl-PL"/>
        </w:rPr>
        <w:t>kład Rady V kadencji</w:t>
      </w:r>
      <w:r w:rsidRPr="00F137D2">
        <w:rPr>
          <w:rFonts w:ascii="Times New Roman" w:hAnsi="Times New Roman"/>
          <w:bCs/>
          <w:sz w:val="24"/>
          <w:szCs w:val="24"/>
          <w:u w:val="single"/>
          <w:lang w:eastAsia="pl-PL"/>
        </w:rPr>
        <w:t xml:space="preserve"> w</w:t>
      </w:r>
      <w:r w:rsidR="009420B5">
        <w:rPr>
          <w:rFonts w:ascii="Times New Roman" w:hAnsi="Times New Roman"/>
          <w:bCs/>
          <w:sz w:val="24"/>
          <w:szCs w:val="24"/>
          <w:u w:val="single"/>
          <w:lang w:eastAsia="pl-PL"/>
        </w:rPr>
        <w:t>chodzą</w:t>
      </w:r>
      <w:r w:rsidR="00860933" w:rsidRPr="00F137D2">
        <w:rPr>
          <w:rFonts w:ascii="Times New Roman" w:hAnsi="Times New Roman"/>
          <w:bCs/>
          <w:sz w:val="24"/>
          <w:szCs w:val="24"/>
          <w:u w:val="single"/>
          <w:lang w:eastAsia="pl-PL"/>
        </w:rPr>
        <w:t>:</w:t>
      </w:r>
    </w:p>
    <w:p w:rsidR="00860933" w:rsidRPr="00F137D2" w:rsidRDefault="00860933" w:rsidP="00505EC7">
      <w:pPr>
        <w:spacing w:before="240" w:after="0" w:line="360" w:lineRule="auto"/>
        <w:rPr>
          <w:rFonts w:ascii="Times New Roman" w:hAnsi="Times New Roman"/>
          <w:sz w:val="24"/>
          <w:szCs w:val="24"/>
          <w:lang w:eastAsia="pl-PL"/>
        </w:rPr>
      </w:pPr>
      <w:r w:rsidRPr="00F137D2">
        <w:rPr>
          <w:rFonts w:ascii="Times New Roman" w:hAnsi="Times New Roman"/>
          <w:bCs/>
          <w:sz w:val="24"/>
          <w:szCs w:val="24"/>
          <w:lang w:eastAsia="pl-PL"/>
        </w:rPr>
        <w:t>Grzegorz D</w:t>
      </w:r>
      <w:r w:rsidR="00BE2FE0" w:rsidRPr="00F137D2">
        <w:rPr>
          <w:rFonts w:ascii="Times New Roman" w:hAnsi="Times New Roman"/>
          <w:bCs/>
          <w:sz w:val="24"/>
          <w:szCs w:val="24"/>
          <w:lang w:eastAsia="pl-PL"/>
        </w:rPr>
        <w:t>ostatni</w:t>
      </w:r>
      <w:r w:rsidRPr="00F137D2">
        <w:rPr>
          <w:rFonts w:ascii="Times New Roman" w:hAnsi="Times New Roman"/>
          <w:bCs/>
          <w:sz w:val="24"/>
          <w:szCs w:val="24"/>
          <w:lang w:eastAsia="pl-PL"/>
        </w:rPr>
        <w:t>  (przewodniczący)</w:t>
      </w:r>
    </w:p>
    <w:p w:rsidR="00860933" w:rsidRPr="00F137D2" w:rsidRDefault="00860933" w:rsidP="00505EC7">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Jolanta Z</w:t>
      </w:r>
      <w:r w:rsidR="00BE2FE0" w:rsidRPr="00F137D2">
        <w:rPr>
          <w:rFonts w:ascii="Times New Roman" w:hAnsi="Times New Roman"/>
          <w:bCs/>
          <w:sz w:val="24"/>
          <w:szCs w:val="24"/>
          <w:lang w:eastAsia="pl-PL"/>
        </w:rPr>
        <w:t>aborska</w:t>
      </w:r>
      <w:r w:rsidRPr="00F137D2">
        <w:rPr>
          <w:rFonts w:ascii="Times New Roman" w:hAnsi="Times New Roman"/>
          <w:bCs/>
          <w:sz w:val="24"/>
          <w:szCs w:val="24"/>
          <w:lang w:eastAsia="pl-PL"/>
        </w:rPr>
        <w:t xml:space="preserve"> (wiceprzewodnicząca)</w:t>
      </w:r>
    </w:p>
    <w:p w:rsidR="00860933" w:rsidRPr="00F137D2" w:rsidRDefault="00860933" w:rsidP="00505EC7">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Ewa C</w:t>
      </w:r>
      <w:r w:rsidR="00BE2FE0" w:rsidRPr="00F137D2">
        <w:rPr>
          <w:rFonts w:ascii="Times New Roman" w:hAnsi="Times New Roman"/>
          <w:bCs/>
          <w:sz w:val="24"/>
          <w:szCs w:val="24"/>
          <w:lang w:eastAsia="pl-PL"/>
        </w:rPr>
        <w:t>oll</w:t>
      </w:r>
    </w:p>
    <w:p w:rsidR="00860933" w:rsidRPr="00F137D2" w:rsidRDefault="00860933" w:rsidP="00505EC7">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Kacper H</w:t>
      </w:r>
      <w:r w:rsidR="00BE2FE0" w:rsidRPr="00F137D2">
        <w:rPr>
          <w:rFonts w:ascii="Times New Roman" w:hAnsi="Times New Roman"/>
          <w:bCs/>
          <w:sz w:val="24"/>
          <w:szCs w:val="24"/>
          <w:lang w:eastAsia="pl-PL"/>
        </w:rPr>
        <w:t>alski</w:t>
      </w:r>
    </w:p>
    <w:p w:rsidR="00860933" w:rsidRPr="00F137D2" w:rsidRDefault="00860933" w:rsidP="00505EC7">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Jakub J</w:t>
      </w:r>
      <w:r w:rsidR="00BE2FE0" w:rsidRPr="00F137D2">
        <w:rPr>
          <w:rFonts w:ascii="Times New Roman" w:hAnsi="Times New Roman"/>
          <w:bCs/>
          <w:sz w:val="24"/>
          <w:szCs w:val="24"/>
          <w:lang w:eastAsia="pl-PL"/>
        </w:rPr>
        <w:t>amka</w:t>
      </w:r>
    </w:p>
    <w:p w:rsidR="00230BCE" w:rsidRPr="00F137D2" w:rsidRDefault="00230BCE" w:rsidP="00505EC7">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lastRenderedPageBreak/>
        <w:t>Marta K</w:t>
      </w:r>
      <w:r w:rsidR="00BE2FE0" w:rsidRPr="00F137D2">
        <w:rPr>
          <w:rFonts w:ascii="Times New Roman" w:hAnsi="Times New Roman"/>
          <w:bCs/>
          <w:sz w:val="24"/>
          <w:szCs w:val="24"/>
          <w:lang w:eastAsia="pl-PL"/>
        </w:rPr>
        <w:t>aczmarska</w:t>
      </w:r>
      <w:r w:rsidR="009420B5">
        <w:rPr>
          <w:rFonts w:ascii="Times New Roman" w:hAnsi="Times New Roman"/>
          <w:bCs/>
          <w:sz w:val="24"/>
          <w:szCs w:val="24"/>
          <w:lang w:eastAsia="pl-PL"/>
        </w:rPr>
        <w:t xml:space="preserve"> – zrezygnowała z członkostwa w Radzie </w:t>
      </w:r>
      <w:r w:rsidR="00963342">
        <w:rPr>
          <w:rFonts w:ascii="Times New Roman" w:hAnsi="Times New Roman"/>
          <w:bCs/>
          <w:sz w:val="24"/>
          <w:szCs w:val="24"/>
          <w:lang w:eastAsia="pl-PL"/>
        </w:rPr>
        <w:t xml:space="preserve">i została odwołana z dniem 28 </w:t>
      </w:r>
      <w:r w:rsidR="00E96C7E">
        <w:rPr>
          <w:rFonts w:ascii="Times New Roman" w:hAnsi="Times New Roman"/>
          <w:bCs/>
          <w:sz w:val="24"/>
          <w:szCs w:val="24"/>
          <w:lang w:eastAsia="pl-PL"/>
        </w:rPr>
        <w:t xml:space="preserve">    </w:t>
      </w:r>
      <w:r w:rsidR="00963342">
        <w:rPr>
          <w:rFonts w:ascii="Times New Roman" w:hAnsi="Times New Roman"/>
          <w:bCs/>
          <w:sz w:val="24"/>
          <w:szCs w:val="24"/>
          <w:lang w:eastAsia="pl-PL"/>
        </w:rPr>
        <w:t>października 2020.</w:t>
      </w:r>
      <w:r w:rsidR="009420B5">
        <w:rPr>
          <w:rFonts w:ascii="Times New Roman" w:hAnsi="Times New Roman"/>
          <w:bCs/>
          <w:sz w:val="24"/>
          <w:szCs w:val="24"/>
          <w:lang w:eastAsia="pl-PL"/>
        </w:rPr>
        <w:t xml:space="preserve"> </w:t>
      </w:r>
    </w:p>
    <w:p w:rsidR="009420B5" w:rsidRDefault="00860933" w:rsidP="00505EC7">
      <w:pPr>
        <w:spacing w:after="0" w:line="360" w:lineRule="auto"/>
        <w:rPr>
          <w:rFonts w:ascii="Times New Roman" w:hAnsi="Times New Roman"/>
          <w:bCs/>
          <w:sz w:val="24"/>
          <w:szCs w:val="24"/>
          <w:lang w:eastAsia="pl-PL"/>
        </w:rPr>
      </w:pPr>
      <w:r w:rsidRPr="00F137D2">
        <w:rPr>
          <w:rFonts w:ascii="Times New Roman" w:hAnsi="Times New Roman"/>
          <w:bCs/>
          <w:sz w:val="24"/>
          <w:szCs w:val="24"/>
          <w:lang w:eastAsia="pl-PL"/>
        </w:rPr>
        <w:t>Przemysław M</w:t>
      </w:r>
      <w:r w:rsidR="00BE2FE0" w:rsidRPr="00F137D2">
        <w:rPr>
          <w:rFonts w:ascii="Times New Roman" w:hAnsi="Times New Roman"/>
          <w:bCs/>
          <w:sz w:val="24"/>
          <w:szCs w:val="24"/>
          <w:lang w:eastAsia="pl-PL"/>
        </w:rPr>
        <w:t>yszakowski</w:t>
      </w:r>
      <w:r w:rsidR="009420B5" w:rsidRPr="009420B5">
        <w:rPr>
          <w:rFonts w:ascii="Times New Roman" w:hAnsi="Times New Roman"/>
          <w:bCs/>
          <w:sz w:val="24"/>
          <w:szCs w:val="24"/>
          <w:lang w:eastAsia="pl-PL"/>
        </w:rPr>
        <w:t xml:space="preserve"> </w:t>
      </w:r>
    </w:p>
    <w:p w:rsidR="00860933" w:rsidRPr="00F137D2" w:rsidRDefault="009420B5" w:rsidP="00505EC7">
      <w:pPr>
        <w:spacing w:after="0" w:line="360" w:lineRule="auto"/>
        <w:rPr>
          <w:rFonts w:ascii="Times New Roman" w:hAnsi="Times New Roman"/>
          <w:sz w:val="24"/>
          <w:szCs w:val="24"/>
          <w:lang w:eastAsia="pl-PL"/>
        </w:rPr>
      </w:pPr>
      <w:r>
        <w:rPr>
          <w:rFonts w:ascii="Times New Roman" w:hAnsi="Times New Roman"/>
          <w:bCs/>
          <w:sz w:val="24"/>
          <w:szCs w:val="24"/>
          <w:lang w:eastAsia="pl-PL"/>
        </w:rPr>
        <w:t xml:space="preserve">Radosław Podogrocki – powołany </w:t>
      </w:r>
      <w:r w:rsidR="00963342">
        <w:rPr>
          <w:rFonts w:ascii="Times New Roman" w:hAnsi="Times New Roman"/>
          <w:bCs/>
          <w:sz w:val="24"/>
          <w:szCs w:val="24"/>
          <w:lang w:eastAsia="pl-PL"/>
        </w:rPr>
        <w:t>z dniem 29 października 2020.</w:t>
      </w:r>
    </w:p>
    <w:p w:rsidR="00860933" w:rsidRPr="00F137D2" w:rsidRDefault="00860933" w:rsidP="00505EC7">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Sławomir P</w:t>
      </w:r>
      <w:r w:rsidR="00BE2FE0" w:rsidRPr="00F137D2">
        <w:rPr>
          <w:rFonts w:ascii="Times New Roman" w:hAnsi="Times New Roman"/>
          <w:bCs/>
          <w:sz w:val="24"/>
          <w:szCs w:val="24"/>
          <w:lang w:eastAsia="pl-PL"/>
        </w:rPr>
        <w:t>yl</w:t>
      </w:r>
    </w:p>
    <w:p w:rsidR="00860933" w:rsidRPr="00F137D2" w:rsidRDefault="00860933" w:rsidP="00505EC7">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Marek R</w:t>
      </w:r>
      <w:r w:rsidR="00BE2FE0" w:rsidRPr="00F137D2">
        <w:rPr>
          <w:rFonts w:ascii="Times New Roman" w:hAnsi="Times New Roman"/>
          <w:bCs/>
          <w:sz w:val="24"/>
          <w:szCs w:val="24"/>
          <w:lang w:eastAsia="pl-PL"/>
        </w:rPr>
        <w:t>edźko</w:t>
      </w:r>
    </w:p>
    <w:p w:rsidR="00860933" w:rsidRPr="00F137D2" w:rsidRDefault="00860933" w:rsidP="00505EC7">
      <w:pPr>
        <w:spacing w:after="0" w:line="360" w:lineRule="auto"/>
        <w:rPr>
          <w:rFonts w:ascii="Times New Roman" w:hAnsi="Times New Roman"/>
          <w:sz w:val="24"/>
          <w:szCs w:val="24"/>
          <w:lang w:eastAsia="pl-PL"/>
        </w:rPr>
      </w:pPr>
      <w:r w:rsidRPr="00F137D2">
        <w:rPr>
          <w:rFonts w:ascii="Times New Roman" w:hAnsi="Times New Roman"/>
          <w:bCs/>
          <w:sz w:val="24"/>
          <w:szCs w:val="24"/>
          <w:lang w:eastAsia="pl-PL"/>
        </w:rPr>
        <w:t>Rafał Ś</w:t>
      </w:r>
      <w:r w:rsidR="00BE2FE0" w:rsidRPr="00F137D2">
        <w:rPr>
          <w:rFonts w:ascii="Times New Roman" w:hAnsi="Times New Roman"/>
          <w:bCs/>
          <w:sz w:val="24"/>
          <w:szCs w:val="24"/>
          <w:lang w:eastAsia="pl-PL"/>
        </w:rPr>
        <w:t>wić</w:t>
      </w:r>
    </w:p>
    <w:p w:rsidR="00230BCE" w:rsidRPr="00F137D2" w:rsidRDefault="00860933" w:rsidP="00505EC7">
      <w:pPr>
        <w:spacing w:after="0" w:line="360" w:lineRule="auto"/>
        <w:rPr>
          <w:rFonts w:ascii="Times New Roman" w:hAnsi="Times New Roman"/>
          <w:bCs/>
          <w:sz w:val="24"/>
          <w:szCs w:val="24"/>
          <w:lang w:eastAsia="pl-PL"/>
        </w:rPr>
      </w:pPr>
      <w:r w:rsidRPr="00F137D2">
        <w:rPr>
          <w:rFonts w:ascii="Times New Roman" w:hAnsi="Times New Roman"/>
          <w:bCs/>
          <w:sz w:val="24"/>
          <w:szCs w:val="24"/>
          <w:lang w:eastAsia="pl-PL"/>
        </w:rPr>
        <w:t>Radosław W</w:t>
      </w:r>
      <w:r w:rsidR="00BE2FE0" w:rsidRPr="00F137D2">
        <w:rPr>
          <w:rFonts w:ascii="Times New Roman" w:hAnsi="Times New Roman"/>
          <w:bCs/>
          <w:sz w:val="24"/>
          <w:szCs w:val="24"/>
          <w:lang w:eastAsia="pl-PL"/>
        </w:rPr>
        <w:t>awrzyniak</w:t>
      </w:r>
      <w:r w:rsidRPr="00F137D2">
        <w:rPr>
          <w:rFonts w:ascii="Times New Roman" w:hAnsi="Times New Roman"/>
          <w:bCs/>
          <w:sz w:val="24"/>
          <w:szCs w:val="24"/>
          <w:lang w:eastAsia="pl-PL"/>
        </w:rPr>
        <w:br/>
      </w:r>
      <w:r w:rsidR="00230BCE" w:rsidRPr="00F137D2">
        <w:rPr>
          <w:rFonts w:ascii="Times New Roman" w:hAnsi="Times New Roman"/>
          <w:bCs/>
          <w:sz w:val="24"/>
          <w:szCs w:val="24"/>
          <w:lang w:eastAsia="pl-PL"/>
        </w:rPr>
        <w:t>Aleksandra Z</w:t>
      </w:r>
      <w:r w:rsidR="00BE2FE0" w:rsidRPr="00F137D2">
        <w:rPr>
          <w:rFonts w:ascii="Times New Roman" w:hAnsi="Times New Roman"/>
          <w:bCs/>
          <w:sz w:val="24"/>
          <w:szCs w:val="24"/>
          <w:lang w:eastAsia="pl-PL"/>
        </w:rPr>
        <w:t>iuzia</w:t>
      </w:r>
    </w:p>
    <w:p w:rsidR="00230BCE" w:rsidRDefault="00B6659D" w:rsidP="00E778FF">
      <w:pPr>
        <w:pStyle w:val="Akapitzlist"/>
        <w:numPr>
          <w:ilvl w:val="0"/>
          <w:numId w:val="4"/>
        </w:numPr>
        <w:spacing w:before="480"/>
        <w:rPr>
          <w:rFonts w:ascii="Times New Roman" w:hAnsi="Times New Roman" w:cs="Times New Roman"/>
          <w:sz w:val="24"/>
          <w:szCs w:val="24"/>
        </w:rPr>
      </w:pPr>
      <w:r w:rsidRPr="00F137D2">
        <w:rPr>
          <w:rFonts w:ascii="Times New Roman" w:hAnsi="Times New Roman" w:cs="Times New Roman"/>
          <w:sz w:val="24"/>
          <w:szCs w:val="24"/>
        </w:rPr>
        <w:t>POSIEDZENIA RADY</w:t>
      </w:r>
    </w:p>
    <w:p w:rsidR="00230BCE" w:rsidRPr="00A12A05" w:rsidRDefault="00230BCE" w:rsidP="00E778FF">
      <w:pPr>
        <w:spacing w:before="480" w:line="360" w:lineRule="auto"/>
        <w:jc w:val="both"/>
        <w:rPr>
          <w:rFonts w:ascii="Times New Roman" w:hAnsi="Times New Roman"/>
          <w:sz w:val="24"/>
          <w:szCs w:val="24"/>
        </w:rPr>
      </w:pPr>
      <w:r w:rsidRPr="00F137D2">
        <w:rPr>
          <w:rFonts w:ascii="Times New Roman" w:hAnsi="Times New Roman"/>
          <w:sz w:val="24"/>
          <w:szCs w:val="24"/>
        </w:rPr>
        <w:t>W roku 20</w:t>
      </w:r>
      <w:r w:rsidR="00C314A7">
        <w:rPr>
          <w:rFonts w:ascii="Times New Roman" w:hAnsi="Times New Roman"/>
          <w:sz w:val="24"/>
          <w:szCs w:val="24"/>
        </w:rPr>
        <w:t>20</w:t>
      </w:r>
      <w:r w:rsidRPr="00F137D2">
        <w:rPr>
          <w:rFonts w:ascii="Times New Roman" w:hAnsi="Times New Roman"/>
          <w:sz w:val="24"/>
          <w:szCs w:val="24"/>
        </w:rPr>
        <w:t xml:space="preserve"> członkowie Rady wzięli udział w </w:t>
      </w:r>
      <w:r w:rsidR="00006E06">
        <w:rPr>
          <w:rFonts w:ascii="Times New Roman" w:hAnsi="Times New Roman"/>
          <w:sz w:val="24"/>
          <w:szCs w:val="24"/>
        </w:rPr>
        <w:t>692</w:t>
      </w:r>
      <w:r w:rsidRPr="00F137D2">
        <w:rPr>
          <w:rFonts w:ascii="Times New Roman" w:hAnsi="Times New Roman"/>
          <w:sz w:val="24"/>
          <w:szCs w:val="24"/>
        </w:rPr>
        <w:t xml:space="preserve"> posiedzeniach składów orzekających</w:t>
      </w:r>
      <w:r w:rsidR="00544B8C">
        <w:rPr>
          <w:rFonts w:ascii="Times New Roman" w:hAnsi="Times New Roman"/>
          <w:sz w:val="24"/>
          <w:szCs w:val="24"/>
        </w:rPr>
        <w:br/>
      </w:r>
      <w:r w:rsidRPr="00F137D2">
        <w:rPr>
          <w:rFonts w:ascii="Times New Roman" w:hAnsi="Times New Roman"/>
          <w:sz w:val="24"/>
          <w:szCs w:val="24"/>
        </w:rPr>
        <w:t xml:space="preserve">i w </w:t>
      </w:r>
      <w:r w:rsidR="00006E06">
        <w:rPr>
          <w:rFonts w:ascii="Times New Roman" w:hAnsi="Times New Roman"/>
          <w:sz w:val="24"/>
          <w:szCs w:val="24"/>
        </w:rPr>
        <w:t>97</w:t>
      </w:r>
      <w:r w:rsidRPr="00F137D2">
        <w:rPr>
          <w:rFonts w:ascii="Times New Roman" w:hAnsi="Times New Roman"/>
          <w:sz w:val="24"/>
          <w:szCs w:val="24"/>
        </w:rPr>
        <w:t xml:space="preserve"> rozprawach przed Wojewódzkim Sądem Administracyjnym i Naczelnym Sądem Administracyjnym. Odbył</w:t>
      </w:r>
      <w:r w:rsidR="00006E06">
        <w:rPr>
          <w:rFonts w:ascii="Times New Roman" w:hAnsi="Times New Roman"/>
          <w:sz w:val="24"/>
          <w:szCs w:val="24"/>
        </w:rPr>
        <w:t>y</w:t>
      </w:r>
      <w:r w:rsidRPr="00F137D2">
        <w:rPr>
          <w:rFonts w:ascii="Times New Roman" w:hAnsi="Times New Roman"/>
          <w:sz w:val="24"/>
          <w:szCs w:val="24"/>
        </w:rPr>
        <w:t xml:space="preserve"> się </w:t>
      </w:r>
      <w:r w:rsidR="00006E06">
        <w:rPr>
          <w:rFonts w:ascii="Times New Roman" w:hAnsi="Times New Roman"/>
          <w:sz w:val="24"/>
          <w:szCs w:val="24"/>
        </w:rPr>
        <w:t>3</w:t>
      </w:r>
      <w:r w:rsidRPr="00F137D2">
        <w:rPr>
          <w:rFonts w:ascii="Times New Roman" w:hAnsi="Times New Roman"/>
          <w:sz w:val="24"/>
          <w:szCs w:val="24"/>
        </w:rPr>
        <w:t xml:space="preserve"> posiedze</w:t>
      </w:r>
      <w:r w:rsidR="00006E06">
        <w:rPr>
          <w:rFonts w:ascii="Times New Roman" w:hAnsi="Times New Roman"/>
          <w:sz w:val="24"/>
          <w:szCs w:val="24"/>
        </w:rPr>
        <w:t>nia</w:t>
      </w:r>
      <w:r w:rsidRPr="00F137D2">
        <w:rPr>
          <w:rFonts w:ascii="Times New Roman" w:hAnsi="Times New Roman"/>
          <w:sz w:val="24"/>
          <w:szCs w:val="24"/>
        </w:rPr>
        <w:t xml:space="preserve"> plenarn</w:t>
      </w:r>
      <w:r w:rsidR="00006E06">
        <w:rPr>
          <w:rFonts w:ascii="Times New Roman" w:hAnsi="Times New Roman"/>
          <w:sz w:val="24"/>
          <w:szCs w:val="24"/>
        </w:rPr>
        <w:t>e</w:t>
      </w:r>
      <w:r w:rsidRPr="00F137D2">
        <w:rPr>
          <w:rFonts w:ascii="Times New Roman" w:hAnsi="Times New Roman"/>
          <w:sz w:val="24"/>
          <w:szCs w:val="24"/>
        </w:rPr>
        <w:t xml:space="preserve"> Rady.</w:t>
      </w:r>
    </w:p>
    <w:tbl>
      <w:tblPr>
        <w:tblW w:w="3560" w:type="dxa"/>
        <w:tblInd w:w="55" w:type="dxa"/>
        <w:tblCellMar>
          <w:left w:w="70" w:type="dxa"/>
          <w:right w:w="70" w:type="dxa"/>
        </w:tblCellMar>
        <w:tblLook w:val="04A0" w:firstRow="1" w:lastRow="0" w:firstColumn="1" w:lastColumn="0" w:noHBand="0" w:noVBand="1"/>
      </w:tblPr>
      <w:tblGrid>
        <w:gridCol w:w="2120"/>
        <w:gridCol w:w="1440"/>
      </w:tblGrid>
      <w:tr w:rsidR="009C6BD0" w:rsidRPr="00F137D2" w:rsidTr="00F0589E">
        <w:trPr>
          <w:trHeight w:val="300"/>
        </w:trPr>
        <w:tc>
          <w:tcPr>
            <w:tcW w:w="21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E778FF">
            <w:pPr>
              <w:spacing w:after="0" w:line="240" w:lineRule="auto"/>
              <w:jc w:val="center"/>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Posiedzenie sądowe</w:t>
            </w:r>
          </w:p>
        </w:tc>
        <w:tc>
          <w:tcPr>
            <w:tcW w:w="14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E778FF">
            <w:pPr>
              <w:spacing w:after="0" w:line="240" w:lineRule="auto"/>
              <w:jc w:val="center"/>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Liczba</w:t>
            </w:r>
          </w:p>
        </w:tc>
      </w:tr>
      <w:tr w:rsidR="009C6BD0" w:rsidRPr="00F137D2" w:rsidTr="00F0589E">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E778FF">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NSA</w:t>
            </w:r>
          </w:p>
        </w:tc>
        <w:tc>
          <w:tcPr>
            <w:tcW w:w="1440" w:type="dxa"/>
            <w:tcBorders>
              <w:top w:val="nil"/>
              <w:left w:val="nil"/>
              <w:bottom w:val="single" w:sz="4" w:space="0" w:color="auto"/>
              <w:right w:val="single" w:sz="4" w:space="0" w:color="auto"/>
            </w:tcBorders>
            <w:shd w:val="clear" w:color="auto" w:fill="auto"/>
            <w:noWrap/>
            <w:vAlign w:val="bottom"/>
            <w:hideMark/>
          </w:tcPr>
          <w:p w:rsidR="009C6BD0" w:rsidRPr="00F137D2" w:rsidRDefault="00006E06" w:rsidP="00E778FF">
            <w:pPr>
              <w:spacing w:after="0" w:line="240" w:lineRule="auto"/>
              <w:jc w:val="right"/>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6</w:t>
            </w:r>
          </w:p>
        </w:tc>
      </w:tr>
      <w:tr w:rsidR="009C6BD0" w:rsidRPr="00F137D2" w:rsidTr="00F0589E">
        <w:trPr>
          <w:trHeight w:val="30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E778FF">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WSA</w:t>
            </w:r>
          </w:p>
        </w:tc>
        <w:tc>
          <w:tcPr>
            <w:tcW w:w="1440" w:type="dxa"/>
            <w:tcBorders>
              <w:top w:val="nil"/>
              <w:left w:val="nil"/>
              <w:bottom w:val="single" w:sz="4" w:space="0" w:color="auto"/>
              <w:right w:val="single" w:sz="4" w:space="0" w:color="auto"/>
            </w:tcBorders>
            <w:shd w:val="clear" w:color="auto" w:fill="auto"/>
            <w:noWrap/>
            <w:vAlign w:val="bottom"/>
            <w:hideMark/>
          </w:tcPr>
          <w:p w:rsidR="009C6BD0" w:rsidRPr="00F137D2" w:rsidRDefault="00006E06" w:rsidP="00E778FF">
            <w:pPr>
              <w:spacing w:after="0" w:line="240" w:lineRule="auto"/>
              <w:jc w:val="right"/>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91</w:t>
            </w:r>
          </w:p>
        </w:tc>
      </w:tr>
      <w:tr w:rsidR="009C6BD0" w:rsidRPr="00F137D2" w:rsidTr="00F0589E">
        <w:trPr>
          <w:trHeight w:val="300"/>
        </w:trPr>
        <w:tc>
          <w:tcPr>
            <w:tcW w:w="21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E778FF">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c>
          <w:tcPr>
            <w:tcW w:w="14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006E06" w:rsidP="00E778FF">
            <w:pPr>
              <w:spacing w:after="0" w:line="240" w:lineRule="auto"/>
              <w:jc w:val="right"/>
              <w:rPr>
                <w:rFonts w:ascii="Times New Roman" w:eastAsia="Times New Roman" w:hAnsi="Times New Roman"/>
                <w:b/>
                <w:bCs/>
                <w:color w:val="000000"/>
                <w:sz w:val="24"/>
                <w:szCs w:val="24"/>
                <w:lang w:eastAsia="pl-PL"/>
              </w:rPr>
            </w:pPr>
            <w:r>
              <w:rPr>
                <w:rFonts w:ascii="Times New Roman" w:eastAsia="Times New Roman" w:hAnsi="Times New Roman"/>
                <w:b/>
                <w:bCs/>
                <w:color w:val="000000"/>
                <w:sz w:val="24"/>
                <w:szCs w:val="24"/>
                <w:lang w:eastAsia="pl-PL"/>
              </w:rPr>
              <w:t>97</w:t>
            </w:r>
          </w:p>
        </w:tc>
      </w:tr>
    </w:tbl>
    <w:p w:rsidR="009C6BD0" w:rsidRPr="00F137D2" w:rsidRDefault="009C6BD0" w:rsidP="00E778FF">
      <w:pPr>
        <w:rPr>
          <w:rFonts w:ascii="Times New Roman" w:hAnsi="Times New Roman"/>
          <w:sz w:val="24"/>
          <w:szCs w:val="24"/>
        </w:rPr>
      </w:pPr>
    </w:p>
    <w:tbl>
      <w:tblPr>
        <w:tblW w:w="5080" w:type="dxa"/>
        <w:tblInd w:w="55" w:type="dxa"/>
        <w:tblCellMar>
          <w:left w:w="70" w:type="dxa"/>
          <w:right w:w="70" w:type="dxa"/>
        </w:tblCellMar>
        <w:tblLook w:val="04A0" w:firstRow="1" w:lastRow="0" w:firstColumn="1" w:lastColumn="0" w:noHBand="0" w:noVBand="1"/>
      </w:tblPr>
      <w:tblGrid>
        <w:gridCol w:w="2160"/>
        <w:gridCol w:w="2920"/>
      </w:tblGrid>
      <w:tr w:rsidR="009C6BD0" w:rsidRPr="00F137D2" w:rsidTr="00F0589E">
        <w:trPr>
          <w:trHeight w:val="300"/>
        </w:trPr>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E778FF">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Posiedzenia Rady</w:t>
            </w:r>
          </w:p>
        </w:tc>
        <w:tc>
          <w:tcPr>
            <w:tcW w:w="29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E778FF">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Liczba składów orzekających</w:t>
            </w:r>
          </w:p>
        </w:tc>
      </w:tr>
      <w:tr w:rsidR="009C6BD0" w:rsidRPr="00F137D2" w:rsidTr="00F0589E">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E778FF">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1-os. skład Rady</w:t>
            </w:r>
          </w:p>
        </w:tc>
        <w:tc>
          <w:tcPr>
            <w:tcW w:w="2920" w:type="dxa"/>
            <w:tcBorders>
              <w:top w:val="nil"/>
              <w:left w:val="nil"/>
              <w:bottom w:val="single" w:sz="4" w:space="0" w:color="auto"/>
              <w:right w:val="single" w:sz="4" w:space="0" w:color="auto"/>
            </w:tcBorders>
            <w:shd w:val="clear" w:color="auto" w:fill="auto"/>
            <w:noWrap/>
            <w:vAlign w:val="bottom"/>
            <w:hideMark/>
          </w:tcPr>
          <w:p w:rsidR="009C6BD0" w:rsidRPr="00F137D2" w:rsidRDefault="00006E06" w:rsidP="00E778FF">
            <w:pPr>
              <w:spacing w:after="0" w:line="240" w:lineRule="auto"/>
              <w:jc w:val="right"/>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30</w:t>
            </w:r>
          </w:p>
        </w:tc>
      </w:tr>
      <w:tr w:rsidR="009C6BD0" w:rsidRPr="00F137D2" w:rsidTr="00F0589E">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E778FF">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3-os. skład Rady</w:t>
            </w:r>
          </w:p>
        </w:tc>
        <w:tc>
          <w:tcPr>
            <w:tcW w:w="2920" w:type="dxa"/>
            <w:tcBorders>
              <w:top w:val="nil"/>
              <w:left w:val="nil"/>
              <w:bottom w:val="single" w:sz="4" w:space="0" w:color="auto"/>
              <w:right w:val="single" w:sz="4" w:space="0" w:color="auto"/>
            </w:tcBorders>
            <w:shd w:val="clear" w:color="auto" w:fill="auto"/>
            <w:noWrap/>
            <w:vAlign w:val="bottom"/>
            <w:hideMark/>
          </w:tcPr>
          <w:p w:rsidR="009C6BD0" w:rsidRPr="00F137D2" w:rsidRDefault="00006E06" w:rsidP="00E778FF">
            <w:pPr>
              <w:spacing w:after="0" w:line="240" w:lineRule="auto"/>
              <w:jc w:val="right"/>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662</w:t>
            </w:r>
          </w:p>
        </w:tc>
      </w:tr>
      <w:tr w:rsidR="009C6BD0" w:rsidRPr="00F137D2" w:rsidTr="00F0589E">
        <w:trPr>
          <w:trHeight w:val="285"/>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9C6BD0" w:rsidRPr="00F137D2" w:rsidRDefault="009C6BD0" w:rsidP="00E778FF">
            <w:pPr>
              <w:spacing w:after="0" w:line="240" w:lineRule="auto"/>
              <w:rPr>
                <w:rFonts w:ascii="Times New Roman" w:eastAsia="Times New Roman" w:hAnsi="Times New Roman"/>
                <w:color w:val="000000"/>
                <w:sz w:val="24"/>
                <w:szCs w:val="24"/>
                <w:lang w:eastAsia="pl-PL"/>
              </w:rPr>
            </w:pPr>
            <w:r w:rsidRPr="00F137D2">
              <w:rPr>
                <w:rFonts w:ascii="Times New Roman" w:eastAsia="Times New Roman" w:hAnsi="Times New Roman"/>
                <w:color w:val="000000"/>
                <w:sz w:val="24"/>
                <w:szCs w:val="24"/>
                <w:lang w:eastAsia="pl-PL"/>
              </w:rPr>
              <w:t>posiedzenie plenarne</w:t>
            </w:r>
          </w:p>
        </w:tc>
        <w:tc>
          <w:tcPr>
            <w:tcW w:w="2920" w:type="dxa"/>
            <w:tcBorders>
              <w:top w:val="nil"/>
              <w:left w:val="nil"/>
              <w:bottom w:val="single" w:sz="4" w:space="0" w:color="auto"/>
              <w:right w:val="single" w:sz="4" w:space="0" w:color="auto"/>
            </w:tcBorders>
            <w:shd w:val="clear" w:color="auto" w:fill="auto"/>
            <w:noWrap/>
            <w:vAlign w:val="bottom"/>
            <w:hideMark/>
          </w:tcPr>
          <w:p w:rsidR="009C6BD0" w:rsidRPr="00F137D2" w:rsidRDefault="00C314A7" w:rsidP="00E778FF">
            <w:pPr>
              <w:spacing w:after="0" w:line="240" w:lineRule="auto"/>
              <w:jc w:val="right"/>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w:t>
            </w:r>
          </w:p>
        </w:tc>
      </w:tr>
      <w:tr w:rsidR="009C6BD0" w:rsidRPr="00F137D2" w:rsidTr="00F0589E">
        <w:trPr>
          <w:trHeight w:val="300"/>
        </w:trPr>
        <w:tc>
          <w:tcPr>
            <w:tcW w:w="21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9C6BD0" w:rsidP="00E778FF">
            <w:pPr>
              <w:spacing w:after="0" w:line="240" w:lineRule="auto"/>
              <w:rPr>
                <w:rFonts w:ascii="Times New Roman" w:eastAsia="Times New Roman" w:hAnsi="Times New Roman"/>
                <w:b/>
                <w:bCs/>
                <w:color w:val="000000"/>
                <w:sz w:val="24"/>
                <w:szCs w:val="24"/>
                <w:lang w:eastAsia="pl-PL"/>
              </w:rPr>
            </w:pPr>
            <w:r w:rsidRPr="00F137D2">
              <w:rPr>
                <w:rFonts w:ascii="Times New Roman" w:eastAsia="Times New Roman" w:hAnsi="Times New Roman"/>
                <w:b/>
                <w:bCs/>
                <w:color w:val="000000"/>
                <w:sz w:val="24"/>
                <w:szCs w:val="24"/>
                <w:lang w:eastAsia="pl-PL"/>
              </w:rPr>
              <w:t>Suma końcowa</w:t>
            </w:r>
          </w:p>
        </w:tc>
        <w:tc>
          <w:tcPr>
            <w:tcW w:w="29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9C6BD0" w:rsidRPr="00F137D2" w:rsidRDefault="00006E06" w:rsidP="00E778FF">
            <w:pPr>
              <w:spacing w:after="0" w:line="240" w:lineRule="auto"/>
              <w:jc w:val="right"/>
              <w:rPr>
                <w:rFonts w:ascii="Times New Roman" w:eastAsia="Times New Roman" w:hAnsi="Times New Roman"/>
                <w:b/>
                <w:bCs/>
                <w:color w:val="000000"/>
                <w:sz w:val="24"/>
                <w:szCs w:val="24"/>
                <w:lang w:eastAsia="pl-PL"/>
              </w:rPr>
            </w:pPr>
            <w:r>
              <w:rPr>
                <w:rFonts w:ascii="Times New Roman" w:eastAsia="Times New Roman" w:hAnsi="Times New Roman"/>
                <w:b/>
                <w:bCs/>
                <w:color w:val="000000"/>
                <w:sz w:val="24"/>
                <w:szCs w:val="24"/>
                <w:lang w:eastAsia="pl-PL"/>
              </w:rPr>
              <w:t>695</w:t>
            </w:r>
          </w:p>
        </w:tc>
      </w:tr>
    </w:tbl>
    <w:p w:rsidR="00860933" w:rsidRPr="00F137D2" w:rsidRDefault="000E7E3F" w:rsidP="00E778FF">
      <w:pPr>
        <w:spacing w:before="240" w:line="360" w:lineRule="auto"/>
        <w:rPr>
          <w:rFonts w:ascii="Times New Roman" w:hAnsi="Times New Roman"/>
          <w:sz w:val="24"/>
          <w:szCs w:val="24"/>
          <w:u w:val="single"/>
        </w:rPr>
      </w:pPr>
      <w:r w:rsidRPr="00F137D2">
        <w:rPr>
          <w:rFonts w:ascii="Times New Roman" w:hAnsi="Times New Roman"/>
          <w:sz w:val="24"/>
          <w:szCs w:val="24"/>
          <w:u w:val="single"/>
        </w:rPr>
        <w:t>S</w:t>
      </w:r>
      <w:r w:rsidR="00860933" w:rsidRPr="00F137D2">
        <w:rPr>
          <w:rFonts w:ascii="Times New Roman" w:hAnsi="Times New Roman"/>
          <w:sz w:val="24"/>
          <w:szCs w:val="24"/>
          <w:u w:val="single"/>
        </w:rPr>
        <w:t>p</w:t>
      </w:r>
      <w:r w:rsidRPr="00F137D2">
        <w:rPr>
          <w:rFonts w:ascii="Times New Roman" w:hAnsi="Times New Roman"/>
          <w:sz w:val="24"/>
          <w:szCs w:val="24"/>
          <w:u w:val="single"/>
        </w:rPr>
        <w:t>rawy omawiane na posiedzeniach</w:t>
      </w:r>
    </w:p>
    <w:p w:rsidR="00B94FA5" w:rsidRDefault="00B94FA5" w:rsidP="00E778FF">
      <w:pPr>
        <w:spacing w:before="240" w:after="0" w:line="360" w:lineRule="auto"/>
        <w:jc w:val="both"/>
        <w:rPr>
          <w:rFonts w:ascii="Times New Roman" w:hAnsi="Times New Roman"/>
          <w:sz w:val="24"/>
          <w:szCs w:val="24"/>
        </w:rPr>
      </w:pPr>
      <w:r w:rsidRPr="00F137D2">
        <w:rPr>
          <w:rFonts w:ascii="Times New Roman" w:hAnsi="Times New Roman"/>
          <w:sz w:val="24"/>
          <w:szCs w:val="24"/>
        </w:rPr>
        <w:t xml:space="preserve">W </w:t>
      </w:r>
      <w:r>
        <w:rPr>
          <w:rFonts w:ascii="Times New Roman" w:hAnsi="Times New Roman"/>
          <w:sz w:val="24"/>
          <w:szCs w:val="24"/>
        </w:rPr>
        <w:t xml:space="preserve">roku 2020 z powodu ograniczeń związanych z pandemią COVID-19 odbyły się tylko trzy posiedzenia plenarne. </w:t>
      </w:r>
    </w:p>
    <w:p w:rsidR="00C314A7" w:rsidRPr="00C314A7" w:rsidRDefault="00B94FA5" w:rsidP="00C51A3E">
      <w:pPr>
        <w:spacing w:after="0" w:line="360" w:lineRule="auto"/>
        <w:contextualSpacing/>
        <w:jc w:val="both"/>
        <w:rPr>
          <w:rFonts w:ascii="Times New Roman" w:eastAsia="Times New Roman" w:hAnsi="Times New Roman"/>
          <w:sz w:val="24"/>
          <w:szCs w:val="24"/>
        </w:rPr>
      </w:pPr>
      <w:r w:rsidRPr="00F137D2">
        <w:rPr>
          <w:rFonts w:ascii="Times New Roman" w:hAnsi="Times New Roman"/>
          <w:sz w:val="24"/>
          <w:szCs w:val="24"/>
        </w:rPr>
        <w:t xml:space="preserve">W </w:t>
      </w:r>
      <w:r>
        <w:rPr>
          <w:rFonts w:ascii="Times New Roman" w:hAnsi="Times New Roman"/>
          <w:sz w:val="24"/>
          <w:szCs w:val="24"/>
        </w:rPr>
        <w:t xml:space="preserve">pierwszym kwartale 2020 roku </w:t>
      </w:r>
      <w:r w:rsidRPr="00F137D2">
        <w:rPr>
          <w:rFonts w:ascii="Times New Roman" w:hAnsi="Times New Roman"/>
          <w:sz w:val="24"/>
          <w:szCs w:val="24"/>
        </w:rPr>
        <w:t xml:space="preserve">omawiano bieżące zagadnienia związane </w:t>
      </w:r>
      <w:r>
        <w:rPr>
          <w:rFonts w:ascii="Times New Roman" w:hAnsi="Times New Roman"/>
          <w:sz w:val="24"/>
          <w:szCs w:val="24"/>
        </w:rPr>
        <w:br/>
      </w:r>
      <w:r w:rsidRPr="00F137D2">
        <w:rPr>
          <w:rFonts w:ascii="Times New Roman" w:hAnsi="Times New Roman"/>
          <w:sz w:val="24"/>
          <w:szCs w:val="24"/>
        </w:rPr>
        <w:t>z funkcjonowaniem Rady</w:t>
      </w:r>
      <w:r w:rsidR="00C314A7">
        <w:rPr>
          <w:rFonts w:ascii="Times New Roman" w:hAnsi="Times New Roman"/>
          <w:sz w:val="24"/>
          <w:szCs w:val="24"/>
        </w:rPr>
        <w:t>. Przewodniczący Rady – Pan Grzegorz Dostatni</w:t>
      </w:r>
      <w:r w:rsidRPr="00F137D2">
        <w:rPr>
          <w:rFonts w:ascii="Times New Roman" w:hAnsi="Times New Roman"/>
          <w:sz w:val="24"/>
          <w:szCs w:val="24"/>
        </w:rPr>
        <w:t xml:space="preserve"> </w:t>
      </w:r>
      <w:r>
        <w:rPr>
          <w:rFonts w:ascii="Times New Roman" w:hAnsi="Times New Roman"/>
          <w:sz w:val="24"/>
          <w:szCs w:val="24"/>
        </w:rPr>
        <w:t>opracowa</w:t>
      </w:r>
      <w:r w:rsidR="00C314A7">
        <w:rPr>
          <w:rFonts w:ascii="Times New Roman" w:hAnsi="Times New Roman"/>
          <w:sz w:val="24"/>
          <w:szCs w:val="24"/>
        </w:rPr>
        <w:t>ł</w:t>
      </w:r>
      <w:r>
        <w:rPr>
          <w:rFonts w:ascii="Times New Roman" w:hAnsi="Times New Roman"/>
          <w:sz w:val="24"/>
          <w:szCs w:val="24"/>
        </w:rPr>
        <w:t xml:space="preserve"> projekty</w:t>
      </w:r>
      <w:r w:rsidRPr="00F137D2">
        <w:rPr>
          <w:rFonts w:ascii="Times New Roman" w:hAnsi="Times New Roman"/>
          <w:sz w:val="24"/>
          <w:szCs w:val="24"/>
        </w:rPr>
        <w:t xml:space="preserve"> </w:t>
      </w:r>
      <w:r>
        <w:rPr>
          <w:rFonts w:ascii="Times New Roman" w:hAnsi="Times New Roman"/>
          <w:sz w:val="24"/>
          <w:szCs w:val="24"/>
        </w:rPr>
        <w:t>zmiany</w:t>
      </w:r>
      <w:r w:rsidRPr="00F137D2">
        <w:rPr>
          <w:rFonts w:ascii="Times New Roman" w:hAnsi="Times New Roman"/>
          <w:sz w:val="24"/>
          <w:szCs w:val="24"/>
        </w:rPr>
        <w:t xml:space="preserve"> rozporządzeń dotyczących funkcjonowania Rady.</w:t>
      </w:r>
      <w:r>
        <w:rPr>
          <w:rFonts w:ascii="Times New Roman" w:hAnsi="Times New Roman"/>
          <w:sz w:val="24"/>
          <w:szCs w:val="24"/>
        </w:rPr>
        <w:t xml:space="preserve"> </w:t>
      </w:r>
      <w:r w:rsidR="00C314A7">
        <w:rPr>
          <w:rFonts w:ascii="Times New Roman" w:eastAsia="Times New Roman" w:hAnsi="Times New Roman"/>
          <w:sz w:val="24"/>
          <w:szCs w:val="24"/>
        </w:rPr>
        <w:t>Z</w:t>
      </w:r>
      <w:r w:rsidR="00C314A7" w:rsidRPr="00C314A7">
        <w:rPr>
          <w:rFonts w:ascii="Times New Roman" w:eastAsia="Times New Roman" w:hAnsi="Times New Roman"/>
          <w:sz w:val="24"/>
          <w:szCs w:val="24"/>
        </w:rPr>
        <w:t xml:space="preserve">miana statutu organizacyjnego i regulaminu </w:t>
      </w:r>
      <w:r w:rsidR="00C314A7">
        <w:rPr>
          <w:rFonts w:ascii="Times New Roman" w:eastAsia="Times New Roman" w:hAnsi="Times New Roman"/>
          <w:sz w:val="24"/>
          <w:szCs w:val="24"/>
        </w:rPr>
        <w:t>miałaby na celu</w:t>
      </w:r>
      <w:r w:rsidR="00C314A7" w:rsidRPr="00C314A7">
        <w:rPr>
          <w:rFonts w:ascii="Times New Roman" w:eastAsia="Times New Roman" w:hAnsi="Times New Roman"/>
          <w:sz w:val="24"/>
          <w:szCs w:val="24"/>
        </w:rPr>
        <w:t xml:space="preserve"> uporządkowani</w:t>
      </w:r>
      <w:r w:rsidR="00C314A7">
        <w:rPr>
          <w:rFonts w:ascii="Times New Roman" w:eastAsia="Times New Roman" w:hAnsi="Times New Roman"/>
          <w:sz w:val="24"/>
          <w:szCs w:val="24"/>
        </w:rPr>
        <w:t>e</w:t>
      </w:r>
      <w:r w:rsidR="00C314A7" w:rsidRPr="00C314A7">
        <w:rPr>
          <w:rFonts w:ascii="Times New Roman" w:eastAsia="Times New Roman" w:hAnsi="Times New Roman"/>
          <w:sz w:val="24"/>
          <w:szCs w:val="24"/>
        </w:rPr>
        <w:t xml:space="preserve"> procedur orzeczniczych i przyspieszeni</w:t>
      </w:r>
      <w:r w:rsidR="00C314A7">
        <w:rPr>
          <w:rFonts w:ascii="Times New Roman" w:eastAsia="Times New Roman" w:hAnsi="Times New Roman"/>
          <w:sz w:val="24"/>
          <w:szCs w:val="24"/>
        </w:rPr>
        <w:t>e</w:t>
      </w:r>
      <w:r w:rsidR="00C314A7" w:rsidRPr="00C314A7">
        <w:rPr>
          <w:rFonts w:ascii="Times New Roman" w:eastAsia="Times New Roman" w:hAnsi="Times New Roman"/>
          <w:sz w:val="24"/>
          <w:szCs w:val="24"/>
        </w:rPr>
        <w:t xml:space="preserve"> orzekania. Po zmianach uchwały, uzgadnianie stanowisk i zawiadamianie o zwołaniu </w:t>
      </w:r>
      <w:r w:rsidR="00C314A7" w:rsidRPr="00C314A7">
        <w:rPr>
          <w:rFonts w:ascii="Times New Roman" w:eastAsia="Times New Roman" w:hAnsi="Times New Roman"/>
          <w:sz w:val="24"/>
          <w:szCs w:val="24"/>
        </w:rPr>
        <w:lastRenderedPageBreak/>
        <w:t xml:space="preserve">posiedzenia składu orzekającego mogłoby odbywać się w drodze elektronicznej. Zmienione mogłyby zostać również zasady wynagradzania członków Rady, tj. wynagrodzenie przysługiwałoby członkowi Rady za każde wydane orzeczenie kończące postępowanie (takie, na które przysługuje stronie skarga lub zażalenie) zamiast, jak dotychczas, za udział w posiedzeniu składu orzekającego. </w:t>
      </w:r>
    </w:p>
    <w:p w:rsidR="00B94FA5" w:rsidRPr="00F137D2" w:rsidRDefault="00B94FA5" w:rsidP="00C51A3E">
      <w:pPr>
        <w:spacing w:after="0" w:line="360" w:lineRule="auto"/>
        <w:jc w:val="both"/>
        <w:rPr>
          <w:rFonts w:ascii="Times New Roman" w:hAnsi="Times New Roman"/>
          <w:sz w:val="24"/>
          <w:szCs w:val="24"/>
        </w:rPr>
      </w:pPr>
      <w:r>
        <w:rPr>
          <w:rFonts w:ascii="Times New Roman" w:hAnsi="Times New Roman"/>
          <w:sz w:val="24"/>
          <w:szCs w:val="24"/>
        </w:rPr>
        <w:t>Ze względu na wybuch pandemii, wstrzymano dalsze prace legislacyjne nad projektami.</w:t>
      </w:r>
    </w:p>
    <w:p w:rsidR="00963342" w:rsidRDefault="00305E7A" w:rsidP="003059EA">
      <w:pPr>
        <w:spacing w:line="360" w:lineRule="auto"/>
        <w:jc w:val="both"/>
        <w:rPr>
          <w:rFonts w:ascii="Times New Roman" w:hAnsi="Times New Roman"/>
          <w:sz w:val="24"/>
          <w:szCs w:val="24"/>
        </w:rPr>
      </w:pPr>
      <w:r>
        <w:rPr>
          <w:rFonts w:ascii="Times New Roman" w:hAnsi="Times New Roman"/>
          <w:sz w:val="24"/>
          <w:szCs w:val="24"/>
        </w:rPr>
        <w:t>Ponadto, t</w:t>
      </w:r>
      <w:r w:rsidR="00B94FA5">
        <w:rPr>
          <w:rFonts w:ascii="Times New Roman" w:hAnsi="Times New Roman"/>
          <w:sz w:val="24"/>
          <w:szCs w:val="24"/>
        </w:rPr>
        <w:t xml:space="preserve">ematy związane z organizacją pracy w warunkach pandemii, obok </w:t>
      </w:r>
      <w:r>
        <w:rPr>
          <w:rFonts w:ascii="Times New Roman" w:hAnsi="Times New Roman"/>
          <w:sz w:val="24"/>
          <w:szCs w:val="24"/>
        </w:rPr>
        <w:t xml:space="preserve">regularnie dokonywanych </w:t>
      </w:r>
      <w:r w:rsidR="00B94FA5">
        <w:rPr>
          <w:rFonts w:ascii="Times New Roman" w:hAnsi="Times New Roman"/>
          <w:sz w:val="24"/>
          <w:szCs w:val="24"/>
        </w:rPr>
        <w:t xml:space="preserve">analiz </w:t>
      </w:r>
      <w:r>
        <w:rPr>
          <w:rFonts w:ascii="Times New Roman" w:hAnsi="Times New Roman"/>
          <w:sz w:val="24"/>
          <w:szCs w:val="24"/>
        </w:rPr>
        <w:t>o</w:t>
      </w:r>
      <w:r w:rsidR="00B94FA5">
        <w:rPr>
          <w:rFonts w:ascii="Times New Roman" w:hAnsi="Times New Roman"/>
          <w:sz w:val="24"/>
          <w:szCs w:val="24"/>
        </w:rPr>
        <w:t>rzecznictwa sądów administracyjnych, zdominowały posiedzenia Rady.</w:t>
      </w:r>
    </w:p>
    <w:p w:rsidR="00CD0C4F" w:rsidRDefault="00CD0C4F" w:rsidP="00E778FF">
      <w:pPr>
        <w:spacing w:before="360"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Na posiedzeniu plenarnym nr 2/20 Rada ustaliła, że pozostawia do indywidualnej oceny każdego zespołu orzekającego, czy występować do WSA z wnioskiem o rozpatrzenie skargi </w:t>
      </w:r>
      <w:r>
        <w:rPr>
          <w:rFonts w:ascii="Times New Roman" w:eastAsia="Times New Roman" w:hAnsi="Times New Roman"/>
          <w:sz w:val="24"/>
          <w:szCs w:val="24"/>
        </w:rPr>
        <w:br/>
        <w:t xml:space="preserve">w trybie uproszczonym. </w:t>
      </w:r>
    </w:p>
    <w:p w:rsidR="00C02CD0" w:rsidRPr="00F137D2" w:rsidRDefault="000E7E3F" w:rsidP="00E778FF">
      <w:pPr>
        <w:spacing w:before="360" w:line="360" w:lineRule="auto"/>
        <w:jc w:val="both"/>
        <w:rPr>
          <w:rFonts w:ascii="Times New Roman" w:hAnsi="Times New Roman"/>
          <w:sz w:val="24"/>
          <w:szCs w:val="24"/>
          <w:u w:val="single"/>
        </w:rPr>
      </w:pPr>
      <w:r w:rsidRPr="00F137D2">
        <w:rPr>
          <w:rFonts w:ascii="Times New Roman" w:hAnsi="Times New Roman"/>
          <w:sz w:val="24"/>
          <w:szCs w:val="24"/>
          <w:u w:val="single"/>
        </w:rPr>
        <w:t>Uchwały Rady</w:t>
      </w:r>
      <w:r w:rsidR="00860933" w:rsidRPr="00F137D2">
        <w:rPr>
          <w:rFonts w:ascii="Times New Roman" w:hAnsi="Times New Roman"/>
          <w:sz w:val="24"/>
          <w:szCs w:val="24"/>
          <w:u w:val="single"/>
        </w:rPr>
        <w:t xml:space="preserve"> </w:t>
      </w:r>
      <w:r w:rsidR="00C02CD0" w:rsidRPr="00F137D2">
        <w:rPr>
          <w:rFonts w:ascii="Times New Roman" w:hAnsi="Times New Roman"/>
          <w:sz w:val="24"/>
          <w:szCs w:val="24"/>
          <w:u w:val="single"/>
        </w:rPr>
        <w:t xml:space="preserve"> </w:t>
      </w:r>
    </w:p>
    <w:p w:rsidR="00963342" w:rsidRPr="00C51A3E" w:rsidRDefault="00C314A7" w:rsidP="00E778FF">
      <w:pPr>
        <w:spacing w:before="360" w:after="0" w:line="360" w:lineRule="auto"/>
        <w:jc w:val="both"/>
        <w:rPr>
          <w:rFonts w:ascii="Times New Roman" w:hAnsi="Times New Roman"/>
          <w:sz w:val="24"/>
          <w:szCs w:val="24"/>
        </w:rPr>
      </w:pPr>
      <w:r w:rsidRPr="00C51A3E">
        <w:rPr>
          <w:rFonts w:ascii="Times New Roman" w:hAnsi="Times New Roman"/>
          <w:sz w:val="24"/>
          <w:szCs w:val="24"/>
        </w:rPr>
        <w:t>W dniu 28 kwietnia 2020 r. Rad</w:t>
      </w:r>
      <w:r w:rsidR="00624A40">
        <w:rPr>
          <w:rFonts w:ascii="Times New Roman" w:hAnsi="Times New Roman"/>
          <w:sz w:val="24"/>
          <w:szCs w:val="24"/>
        </w:rPr>
        <w:t>a</w:t>
      </w:r>
      <w:r w:rsidRPr="00C51A3E">
        <w:rPr>
          <w:rFonts w:ascii="Times New Roman" w:hAnsi="Times New Roman"/>
          <w:sz w:val="24"/>
          <w:szCs w:val="24"/>
        </w:rPr>
        <w:t xml:space="preserve"> do Spraw Uchodźców podjęła uchwałę nr </w:t>
      </w:r>
      <w:r w:rsidR="00963342" w:rsidRPr="00C51A3E">
        <w:rPr>
          <w:rFonts w:ascii="Times New Roman" w:hAnsi="Times New Roman"/>
          <w:sz w:val="24"/>
          <w:szCs w:val="24"/>
        </w:rPr>
        <w:t>1/2020</w:t>
      </w:r>
      <w:r w:rsidRPr="00C51A3E">
        <w:rPr>
          <w:rFonts w:ascii="Times New Roman" w:hAnsi="Times New Roman"/>
          <w:sz w:val="24"/>
          <w:szCs w:val="24"/>
        </w:rPr>
        <w:t xml:space="preserve"> </w:t>
      </w:r>
      <w:r w:rsidR="00963342" w:rsidRPr="00C51A3E">
        <w:rPr>
          <w:rFonts w:ascii="Times New Roman" w:hAnsi="Times New Roman"/>
          <w:sz w:val="24"/>
          <w:szCs w:val="24"/>
        </w:rPr>
        <w:t xml:space="preserve">w sprawie wstrzymywania wykonania decyzji Rady w okresie obowiązywania stanu zagrożenia epidemicznego albo stanu epidemii ogłoszonego z powodu COVID-19 </w:t>
      </w:r>
    </w:p>
    <w:p w:rsidR="00963342" w:rsidRPr="00963342" w:rsidRDefault="00963342" w:rsidP="00E778FF">
      <w:pPr>
        <w:spacing w:before="360" w:after="0" w:line="360" w:lineRule="auto"/>
        <w:jc w:val="both"/>
        <w:rPr>
          <w:rFonts w:ascii="Times New Roman" w:hAnsi="Times New Roman"/>
          <w:sz w:val="24"/>
          <w:szCs w:val="24"/>
        </w:rPr>
      </w:pPr>
      <w:r w:rsidRPr="00963342">
        <w:rPr>
          <w:rFonts w:ascii="Times New Roman" w:hAnsi="Times New Roman"/>
          <w:sz w:val="24"/>
          <w:szCs w:val="24"/>
        </w:rPr>
        <w:t xml:space="preserve">Na podstawie </w:t>
      </w:r>
      <w:r w:rsidR="00C314A7">
        <w:rPr>
          <w:rFonts w:ascii="Times New Roman" w:hAnsi="Times New Roman"/>
          <w:sz w:val="24"/>
          <w:szCs w:val="24"/>
        </w:rPr>
        <w:t xml:space="preserve">uchwały Rada zaleca </w:t>
      </w:r>
      <w:r w:rsidRPr="00963342">
        <w:rPr>
          <w:rFonts w:ascii="Times New Roman" w:hAnsi="Times New Roman"/>
          <w:sz w:val="24"/>
          <w:szCs w:val="24"/>
        </w:rPr>
        <w:t>swoim członkom wstrzymywanie z mocy prawa wykonania, na podstawie art. 61 par. 2 pkt 1 ustawy – Prawo o postępowaniu przed sądami administracyjnymi, decyzji o utrzymaniu w mocy decyzji o odmowie nadania statusu uchodźcy i odmowie udzielenia ochrony uzupełniającej, w sytuacji, gdy od decyzji Rady została złożona skarga do sądu administracyjnego w okresie obowiązywania stanu zagrożenia epidemicznego albo stanu epidemii ogłoszonego z powodu COVID-19.</w:t>
      </w:r>
      <w:r w:rsidR="00C314A7">
        <w:rPr>
          <w:rFonts w:ascii="Times New Roman" w:hAnsi="Times New Roman"/>
          <w:sz w:val="24"/>
          <w:szCs w:val="24"/>
        </w:rPr>
        <w:t xml:space="preserve"> </w:t>
      </w:r>
      <w:r w:rsidRPr="00963342">
        <w:rPr>
          <w:rFonts w:ascii="Times New Roman" w:hAnsi="Times New Roman"/>
          <w:sz w:val="24"/>
          <w:szCs w:val="24"/>
        </w:rPr>
        <w:t>Uchwała w</w:t>
      </w:r>
      <w:r w:rsidR="00C314A7">
        <w:rPr>
          <w:rFonts w:ascii="Times New Roman" w:hAnsi="Times New Roman"/>
          <w:sz w:val="24"/>
          <w:szCs w:val="24"/>
        </w:rPr>
        <w:t>eszła</w:t>
      </w:r>
      <w:r w:rsidRPr="00963342">
        <w:rPr>
          <w:rFonts w:ascii="Times New Roman" w:hAnsi="Times New Roman"/>
          <w:sz w:val="24"/>
          <w:szCs w:val="24"/>
        </w:rPr>
        <w:t xml:space="preserve"> w życie z dniem podjęcia.</w:t>
      </w:r>
    </w:p>
    <w:p w:rsidR="00860933" w:rsidRPr="00F137D2" w:rsidRDefault="000E7E3F" w:rsidP="00E778FF">
      <w:pPr>
        <w:spacing w:before="360" w:line="360" w:lineRule="auto"/>
        <w:rPr>
          <w:rFonts w:ascii="Times New Roman" w:hAnsi="Times New Roman"/>
          <w:sz w:val="24"/>
          <w:szCs w:val="24"/>
          <w:u w:val="single"/>
        </w:rPr>
      </w:pPr>
      <w:r w:rsidRPr="00F137D2">
        <w:rPr>
          <w:rFonts w:ascii="Times New Roman" w:hAnsi="Times New Roman"/>
          <w:sz w:val="24"/>
          <w:szCs w:val="24"/>
          <w:u w:val="single"/>
        </w:rPr>
        <w:t>W</w:t>
      </w:r>
      <w:r w:rsidR="00860933" w:rsidRPr="00F137D2">
        <w:rPr>
          <w:rFonts w:ascii="Times New Roman" w:hAnsi="Times New Roman"/>
          <w:sz w:val="24"/>
          <w:szCs w:val="24"/>
          <w:u w:val="single"/>
        </w:rPr>
        <w:t>spółpraca</w:t>
      </w:r>
      <w:r w:rsidRPr="00F137D2">
        <w:rPr>
          <w:rFonts w:ascii="Times New Roman" w:hAnsi="Times New Roman"/>
          <w:sz w:val="24"/>
          <w:szCs w:val="24"/>
          <w:u w:val="single"/>
        </w:rPr>
        <w:t xml:space="preserve"> Rady krajowa i międzynarodowa</w:t>
      </w:r>
    </w:p>
    <w:p w:rsidR="00305E7A" w:rsidRPr="00305E7A" w:rsidRDefault="00305E7A" w:rsidP="00E778FF">
      <w:pPr>
        <w:spacing w:before="240" w:after="0" w:line="360" w:lineRule="auto"/>
        <w:jc w:val="both"/>
        <w:rPr>
          <w:rFonts w:ascii="Times New Roman" w:eastAsia="Times New Roman" w:hAnsi="Times New Roman"/>
          <w:sz w:val="24"/>
          <w:szCs w:val="24"/>
          <w:lang w:eastAsia="pl-PL"/>
        </w:rPr>
      </w:pPr>
      <w:r>
        <w:rPr>
          <w:rFonts w:ascii="Times New Roman" w:hAnsi="Times New Roman"/>
          <w:sz w:val="24"/>
          <w:szCs w:val="24"/>
        </w:rPr>
        <w:t xml:space="preserve">Ze względu na ograniczenia związane z </w:t>
      </w:r>
      <w:r w:rsidR="009C3596">
        <w:rPr>
          <w:rFonts w:ascii="Times New Roman" w:hAnsi="Times New Roman"/>
          <w:sz w:val="24"/>
          <w:szCs w:val="24"/>
        </w:rPr>
        <w:t>epide</w:t>
      </w:r>
      <w:r>
        <w:rPr>
          <w:rFonts w:ascii="Times New Roman" w:hAnsi="Times New Roman"/>
          <w:sz w:val="24"/>
          <w:szCs w:val="24"/>
        </w:rPr>
        <w:t xml:space="preserve">mią COVID-19, znacznemu ograniczeniu uległa współpraca z innymi organami i instytucjami, działającymi w obszarze związanym z ochroną międzynarodową. Jednakże w dniu 15 września 2020 r. odbyło się </w:t>
      </w:r>
      <w:r w:rsidRPr="00305E7A">
        <w:rPr>
          <w:rFonts w:ascii="Times New Roman" w:eastAsia="Times New Roman" w:hAnsi="Times New Roman"/>
          <w:sz w:val="24"/>
          <w:szCs w:val="24"/>
          <w:lang w:eastAsia="pl-PL"/>
        </w:rPr>
        <w:t>w siedzibie Rady</w:t>
      </w:r>
      <w:r>
        <w:rPr>
          <w:rFonts w:ascii="Times New Roman" w:eastAsia="Times New Roman" w:hAnsi="Times New Roman"/>
          <w:sz w:val="24"/>
          <w:szCs w:val="24"/>
          <w:lang w:eastAsia="pl-PL"/>
        </w:rPr>
        <w:t xml:space="preserve"> spotkanie</w:t>
      </w:r>
      <w:r w:rsidRPr="00305E7A">
        <w:rPr>
          <w:rFonts w:ascii="Times New Roman" w:eastAsia="Times New Roman" w:hAnsi="Times New Roman"/>
          <w:sz w:val="24"/>
          <w:szCs w:val="24"/>
          <w:lang w:eastAsia="pl-PL"/>
        </w:rPr>
        <w:t xml:space="preserve"> z przedstawiciel</w:t>
      </w:r>
      <w:r w:rsidR="00965881">
        <w:rPr>
          <w:rFonts w:ascii="Times New Roman" w:eastAsia="Times New Roman" w:hAnsi="Times New Roman"/>
          <w:sz w:val="24"/>
          <w:szCs w:val="24"/>
          <w:lang w:eastAsia="pl-PL"/>
        </w:rPr>
        <w:t>k</w:t>
      </w:r>
      <w:r w:rsidRPr="00305E7A">
        <w:rPr>
          <w:rFonts w:ascii="Times New Roman" w:eastAsia="Times New Roman" w:hAnsi="Times New Roman"/>
          <w:sz w:val="24"/>
          <w:szCs w:val="24"/>
          <w:lang w:eastAsia="pl-PL"/>
        </w:rPr>
        <w:t>ami Wysokiego Komisarza Narodów Zjednoczonych do Spraw Uchodźców</w:t>
      </w:r>
      <w:r w:rsidR="00965881">
        <w:rPr>
          <w:rFonts w:ascii="Times New Roman" w:eastAsia="Times New Roman" w:hAnsi="Times New Roman"/>
          <w:sz w:val="24"/>
          <w:szCs w:val="24"/>
          <w:lang w:eastAsia="pl-PL"/>
        </w:rPr>
        <w:t>, z Panią Christine Goyer na czele</w:t>
      </w:r>
      <w:r w:rsidRPr="00305E7A">
        <w:rPr>
          <w:rFonts w:ascii="Times New Roman" w:eastAsia="Times New Roman" w:hAnsi="Times New Roman"/>
          <w:sz w:val="24"/>
          <w:szCs w:val="24"/>
          <w:lang w:eastAsia="pl-PL"/>
        </w:rPr>
        <w:t xml:space="preserve">. </w:t>
      </w:r>
      <w:r w:rsidR="00965881">
        <w:rPr>
          <w:rFonts w:ascii="Times New Roman" w:eastAsia="Times New Roman" w:hAnsi="Times New Roman"/>
          <w:sz w:val="24"/>
          <w:szCs w:val="24"/>
          <w:lang w:eastAsia="pl-PL"/>
        </w:rPr>
        <w:t>Goście</w:t>
      </w:r>
      <w:r w:rsidRPr="00305E7A">
        <w:rPr>
          <w:rFonts w:ascii="Times New Roman" w:eastAsia="Times New Roman" w:hAnsi="Times New Roman"/>
          <w:sz w:val="24"/>
          <w:szCs w:val="24"/>
          <w:lang w:eastAsia="pl-PL"/>
        </w:rPr>
        <w:t xml:space="preserve"> zaproponowali wspomaganie orzecznictwa II </w:t>
      </w:r>
      <w:r w:rsidRPr="00305E7A">
        <w:rPr>
          <w:rFonts w:ascii="Times New Roman" w:eastAsia="Times New Roman" w:hAnsi="Times New Roman"/>
          <w:sz w:val="24"/>
          <w:szCs w:val="24"/>
          <w:lang w:eastAsia="pl-PL"/>
        </w:rPr>
        <w:lastRenderedPageBreak/>
        <w:t>instancji, np. zorganizowanie szkolenia lub seminarium, podczas którego można będzie omówić wyniki analiz decyzji I instancji z różnych krajów, a także protokoły przesłuchań cudzoziemców ubiegających się o azyl. Zaproponowano również pomoc w zdiagnozowaniu obszarów problematycznych, np. określenie grup dyskryminowanych w poszczególnych krajach.</w:t>
      </w:r>
      <w:r>
        <w:rPr>
          <w:rFonts w:ascii="Times New Roman" w:eastAsia="Times New Roman" w:hAnsi="Times New Roman"/>
          <w:sz w:val="24"/>
          <w:szCs w:val="24"/>
          <w:lang w:eastAsia="pl-PL"/>
        </w:rPr>
        <w:t xml:space="preserve"> </w:t>
      </w:r>
      <w:r w:rsidR="00965881">
        <w:rPr>
          <w:rFonts w:ascii="Times New Roman" w:eastAsia="Times New Roman" w:hAnsi="Times New Roman"/>
          <w:sz w:val="24"/>
          <w:szCs w:val="24"/>
          <w:lang w:eastAsia="pl-PL"/>
        </w:rPr>
        <w:t>Zaostrzenie rygorów sanitarnych spowodowało, że nie kontynuowano tych prac.</w:t>
      </w:r>
    </w:p>
    <w:p w:rsidR="00C02CD0" w:rsidRPr="00F137D2" w:rsidRDefault="00B6659D" w:rsidP="00E778FF">
      <w:pPr>
        <w:pStyle w:val="Akapitzlist"/>
        <w:numPr>
          <w:ilvl w:val="0"/>
          <w:numId w:val="4"/>
        </w:numPr>
        <w:spacing w:before="480"/>
        <w:rPr>
          <w:rFonts w:ascii="Times New Roman" w:hAnsi="Times New Roman" w:cs="Times New Roman"/>
          <w:sz w:val="24"/>
          <w:szCs w:val="24"/>
        </w:rPr>
      </w:pPr>
      <w:r w:rsidRPr="00F137D2">
        <w:rPr>
          <w:rFonts w:ascii="Times New Roman" w:hAnsi="Times New Roman" w:cs="Times New Roman"/>
          <w:sz w:val="24"/>
          <w:szCs w:val="24"/>
        </w:rPr>
        <w:t>OBSŁUGA RADY PRZEZ KPRM</w:t>
      </w:r>
    </w:p>
    <w:p w:rsidR="00C02CD0" w:rsidRPr="00F137D2" w:rsidRDefault="00C02CD0" w:rsidP="00E778FF">
      <w:pPr>
        <w:spacing w:before="480" w:after="0" w:line="360" w:lineRule="auto"/>
        <w:jc w:val="both"/>
        <w:rPr>
          <w:rFonts w:ascii="Times New Roman" w:hAnsi="Times New Roman"/>
          <w:sz w:val="24"/>
          <w:szCs w:val="24"/>
        </w:rPr>
      </w:pPr>
      <w:r w:rsidRPr="00F137D2">
        <w:rPr>
          <w:rFonts w:ascii="Times New Roman" w:hAnsi="Times New Roman"/>
          <w:sz w:val="24"/>
          <w:szCs w:val="24"/>
        </w:rPr>
        <w:t>Zgodnie z art. 89zb ust. 1 u.o.o. obsługę administracyjną i kancelaryjną Rady zapewnia Kancelaria Prezesa Rady Ministrów. Z</w:t>
      </w:r>
      <w:r w:rsidRPr="00F137D2">
        <w:rPr>
          <w:rFonts w:ascii="Times New Roman" w:hAnsi="Times New Roman"/>
          <w:sz w:val="24"/>
          <w:szCs w:val="24"/>
          <w:lang w:eastAsia="pl-PL"/>
        </w:rPr>
        <w:t xml:space="preserve">adania związane z obsługą Rady do Spraw Uchodźców realizowane były w Departamencie Społeczeństwa Obywatelskiego. Stan zatrudnienia </w:t>
      </w:r>
      <w:r w:rsidR="00544B8C">
        <w:rPr>
          <w:rFonts w:ascii="Times New Roman" w:hAnsi="Times New Roman"/>
          <w:sz w:val="24"/>
          <w:szCs w:val="24"/>
          <w:lang w:eastAsia="pl-PL"/>
        </w:rPr>
        <w:br/>
      </w:r>
      <w:r w:rsidRPr="00F137D2">
        <w:rPr>
          <w:rFonts w:ascii="Times New Roman" w:hAnsi="Times New Roman"/>
          <w:sz w:val="24"/>
          <w:szCs w:val="24"/>
          <w:lang w:eastAsia="pl-PL"/>
        </w:rPr>
        <w:t xml:space="preserve">w Wydziale Obsługi Rady do Spraw Uchodźców wynosił na koniec roku </w:t>
      </w:r>
      <w:r w:rsidR="00B57799">
        <w:rPr>
          <w:rFonts w:ascii="Times New Roman" w:hAnsi="Times New Roman"/>
          <w:sz w:val="24"/>
          <w:szCs w:val="24"/>
          <w:lang w:eastAsia="pl-PL"/>
        </w:rPr>
        <w:t>osiem</w:t>
      </w:r>
      <w:r w:rsidRPr="00F137D2">
        <w:rPr>
          <w:rFonts w:ascii="Times New Roman" w:hAnsi="Times New Roman"/>
          <w:color w:val="FF0000"/>
          <w:sz w:val="24"/>
          <w:szCs w:val="24"/>
          <w:lang w:eastAsia="pl-PL"/>
        </w:rPr>
        <w:t xml:space="preserve"> </w:t>
      </w:r>
      <w:r w:rsidRPr="00F137D2">
        <w:rPr>
          <w:rFonts w:ascii="Times New Roman" w:hAnsi="Times New Roman"/>
          <w:sz w:val="24"/>
          <w:szCs w:val="24"/>
          <w:lang w:eastAsia="pl-PL"/>
        </w:rPr>
        <w:t>osób</w:t>
      </w:r>
      <w:r w:rsidR="00BE2FE0" w:rsidRPr="00F137D2">
        <w:rPr>
          <w:rFonts w:ascii="Times New Roman" w:hAnsi="Times New Roman"/>
          <w:sz w:val="24"/>
          <w:szCs w:val="24"/>
          <w:lang w:eastAsia="pl-PL"/>
        </w:rPr>
        <w:t xml:space="preserve"> </w:t>
      </w:r>
      <w:r w:rsidR="00544B8C">
        <w:rPr>
          <w:rFonts w:ascii="Times New Roman" w:hAnsi="Times New Roman"/>
          <w:sz w:val="24"/>
          <w:szCs w:val="24"/>
          <w:lang w:eastAsia="pl-PL"/>
        </w:rPr>
        <w:br/>
      </w:r>
      <w:r w:rsidR="00BE2FE0" w:rsidRPr="00F137D2">
        <w:rPr>
          <w:rFonts w:ascii="Times New Roman" w:hAnsi="Times New Roman"/>
          <w:sz w:val="24"/>
          <w:szCs w:val="24"/>
          <w:lang w:eastAsia="pl-PL"/>
        </w:rPr>
        <w:t xml:space="preserve">(o </w:t>
      </w:r>
      <w:r w:rsidR="00B57799">
        <w:rPr>
          <w:rFonts w:ascii="Times New Roman" w:hAnsi="Times New Roman"/>
          <w:sz w:val="24"/>
          <w:szCs w:val="24"/>
          <w:lang w:eastAsia="pl-PL"/>
        </w:rPr>
        <w:t>jedną mniej niż w 2019 i dwie</w:t>
      </w:r>
      <w:r w:rsidR="00BE2FE0" w:rsidRPr="00F137D2">
        <w:rPr>
          <w:rFonts w:ascii="Times New Roman" w:hAnsi="Times New Roman"/>
          <w:sz w:val="24"/>
          <w:szCs w:val="24"/>
          <w:lang w:eastAsia="pl-PL"/>
        </w:rPr>
        <w:t xml:space="preserve"> mniej niż w latach </w:t>
      </w:r>
      <w:r w:rsidR="00B57799">
        <w:rPr>
          <w:rFonts w:ascii="Times New Roman" w:hAnsi="Times New Roman"/>
          <w:sz w:val="24"/>
          <w:szCs w:val="24"/>
          <w:lang w:eastAsia="pl-PL"/>
        </w:rPr>
        <w:t>wcześniejszych</w:t>
      </w:r>
      <w:r w:rsidR="00BE2FE0" w:rsidRPr="00F137D2">
        <w:rPr>
          <w:rFonts w:ascii="Times New Roman" w:hAnsi="Times New Roman"/>
          <w:sz w:val="24"/>
          <w:szCs w:val="24"/>
          <w:lang w:eastAsia="pl-PL"/>
        </w:rPr>
        <w:t>)</w:t>
      </w:r>
      <w:r w:rsidRPr="00F137D2">
        <w:rPr>
          <w:rFonts w:ascii="Times New Roman" w:hAnsi="Times New Roman"/>
          <w:sz w:val="24"/>
          <w:szCs w:val="24"/>
          <w:lang w:eastAsia="pl-PL"/>
        </w:rPr>
        <w:t xml:space="preserve">. </w:t>
      </w:r>
      <w:r w:rsidR="00F137D2" w:rsidRPr="00F137D2">
        <w:rPr>
          <w:rFonts w:ascii="Times New Roman" w:hAnsi="Times New Roman"/>
          <w:sz w:val="24"/>
          <w:szCs w:val="24"/>
          <w:lang w:eastAsia="pl-PL"/>
        </w:rPr>
        <w:t>Zmniejszenie stanu osobowego Wydziału negatywnie odbiło się  na wykonywaniu zadań przez Radę i utrudniło jej realizację ustawowych obowiązków.</w:t>
      </w:r>
    </w:p>
    <w:p w:rsidR="00B57799" w:rsidRDefault="00C02CD0" w:rsidP="00B57799">
      <w:pPr>
        <w:spacing w:after="240" w:line="360" w:lineRule="auto"/>
        <w:jc w:val="both"/>
        <w:rPr>
          <w:rFonts w:ascii="Times New Roman" w:hAnsi="Times New Roman"/>
          <w:sz w:val="24"/>
          <w:szCs w:val="24"/>
          <w:lang w:eastAsia="pl-PL"/>
        </w:rPr>
      </w:pPr>
      <w:r w:rsidRPr="00F137D2">
        <w:rPr>
          <w:rFonts w:ascii="Times New Roman" w:hAnsi="Times New Roman"/>
          <w:sz w:val="24"/>
          <w:szCs w:val="24"/>
          <w:lang w:eastAsia="pl-PL"/>
        </w:rPr>
        <w:t xml:space="preserve">W </w:t>
      </w:r>
      <w:r w:rsidR="00BE2FE0" w:rsidRPr="00F137D2">
        <w:rPr>
          <w:rFonts w:ascii="Times New Roman" w:hAnsi="Times New Roman"/>
          <w:sz w:val="24"/>
          <w:szCs w:val="24"/>
          <w:lang w:eastAsia="pl-PL"/>
        </w:rPr>
        <w:t xml:space="preserve">ramach obowiązków pracownicy Wydziału zapewniali </w:t>
      </w:r>
      <w:r w:rsidRPr="00F137D2">
        <w:rPr>
          <w:rFonts w:ascii="Times New Roman" w:hAnsi="Times New Roman"/>
          <w:sz w:val="24"/>
          <w:szCs w:val="24"/>
          <w:lang w:eastAsia="pl-PL"/>
        </w:rPr>
        <w:t xml:space="preserve">obsługę posiedzeń plenarnych,  posiedzeń składów orzekających oraz udziału </w:t>
      </w:r>
      <w:r w:rsidR="00BE2FE0" w:rsidRPr="00F137D2">
        <w:rPr>
          <w:rFonts w:ascii="Times New Roman" w:hAnsi="Times New Roman"/>
          <w:sz w:val="24"/>
          <w:szCs w:val="24"/>
          <w:lang w:eastAsia="pl-PL"/>
        </w:rPr>
        <w:t xml:space="preserve">członków Rady </w:t>
      </w:r>
      <w:r w:rsidRPr="00F137D2">
        <w:rPr>
          <w:rFonts w:ascii="Times New Roman" w:hAnsi="Times New Roman"/>
          <w:sz w:val="24"/>
          <w:szCs w:val="24"/>
          <w:lang w:eastAsia="pl-PL"/>
        </w:rPr>
        <w:t xml:space="preserve">w rozprawach przed WSA </w:t>
      </w:r>
      <w:r w:rsidRPr="00F137D2">
        <w:rPr>
          <w:rFonts w:ascii="Times New Roman" w:hAnsi="Times New Roman"/>
          <w:sz w:val="24"/>
          <w:szCs w:val="24"/>
          <w:lang w:eastAsia="pl-PL"/>
        </w:rPr>
        <w:br/>
        <w:t xml:space="preserve">w Warszawie i Naczelnym Sądem Administracyjnym. </w:t>
      </w:r>
    </w:p>
    <w:p w:rsidR="00B57799" w:rsidRDefault="00B57799" w:rsidP="00B57799">
      <w:pPr>
        <w:spacing w:after="240" w:line="360" w:lineRule="auto"/>
        <w:jc w:val="both"/>
        <w:rPr>
          <w:rFonts w:ascii="Times New Roman" w:hAnsi="Times New Roman"/>
          <w:sz w:val="24"/>
          <w:szCs w:val="24"/>
          <w:lang w:eastAsia="pl-PL"/>
        </w:rPr>
      </w:pPr>
      <w:r>
        <w:rPr>
          <w:rFonts w:ascii="Times New Roman" w:hAnsi="Times New Roman"/>
          <w:sz w:val="24"/>
          <w:szCs w:val="24"/>
          <w:lang w:eastAsia="pl-PL"/>
        </w:rPr>
        <w:t>Przede wszystkim jednak</w:t>
      </w:r>
      <w:r w:rsidR="00C356D0">
        <w:rPr>
          <w:rFonts w:ascii="Times New Roman" w:hAnsi="Times New Roman"/>
          <w:sz w:val="24"/>
          <w:szCs w:val="24"/>
          <w:lang w:eastAsia="pl-PL"/>
        </w:rPr>
        <w:t>,</w:t>
      </w:r>
      <w:r>
        <w:rPr>
          <w:rFonts w:ascii="Times New Roman" w:hAnsi="Times New Roman"/>
          <w:sz w:val="24"/>
          <w:szCs w:val="24"/>
          <w:lang w:eastAsia="pl-PL"/>
        </w:rPr>
        <w:t xml:space="preserve"> w</w:t>
      </w:r>
      <w:r w:rsidR="00C02CD0" w:rsidRPr="00F137D2">
        <w:rPr>
          <w:rFonts w:ascii="Times New Roman" w:hAnsi="Times New Roman"/>
          <w:sz w:val="24"/>
          <w:szCs w:val="24"/>
          <w:lang w:eastAsia="pl-PL"/>
        </w:rPr>
        <w:t xml:space="preserve"> związku z toczącymi się przed Radą postępowaniami, pracownicy Wydziału prowadzili wstępne postępowania przygotowawcze i związaną z tym etapem postępowania korespondencję.</w:t>
      </w:r>
    </w:p>
    <w:p w:rsidR="00C02CD0" w:rsidRPr="00F137D2" w:rsidRDefault="00C02CD0" w:rsidP="00B57799">
      <w:pPr>
        <w:spacing w:after="240" w:line="360" w:lineRule="auto"/>
        <w:jc w:val="both"/>
        <w:rPr>
          <w:rFonts w:ascii="Times New Roman" w:hAnsi="Times New Roman"/>
          <w:sz w:val="24"/>
          <w:szCs w:val="24"/>
          <w:lang w:eastAsia="pl-PL"/>
        </w:rPr>
      </w:pPr>
      <w:r w:rsidRPr="00F137D2">
        <w:rPr>
          <w:rFonts w:ascii="Times New Roman" w:hAnsi="Times New Roman"/>
          <w:sz w:val="24"/>
          <w:szCs w:val="24"/>
          <w:lang w:eastAsia="pl-PL"/>
        </w:rPr>
        <w:t xml:space="preserve">Ponadto, pracownicy Wydziału dokonywali tłumaczeń części dokumentów obcojęzycznych dopuszczonych jako dowody w postępowaniu. </w:t>
      </w:r>
    </w:p>
    <w:p w:rsidR="00C02CD0" w:rsidRPr="00F137D2" w:rsidRDefault="00C02CD0" w:rsidP="00E778FF">
      <w:pPr>
        <w:spacing w:after="120" w:line="360" w:lineRule="auto"/>
        <w:jc w:val="both"/>
        <w:rPr>
          <w:rFonts w:ascii="Times New Roman" w:hAnsi="Times New Roman"/>
          <w:sz w:val="24"/>
          <w:szCs w:val="24"/>
          <w:lang w:eastAsia="pl-PL"/>
        </w:rPr>
      </w:pPr>
      <w:r w:rsidRPr="00F137D2">
        <w:rPr>
          <w:rFonts w:ascii="Times New Roman" w:hAnsi="Times New Roman"/>
          <w:sz w:val="24"/>
          <w:szCs w:val="24"/>
          <w:lang w:eastAsia="pl-PL"/>
        </w:rPr>
        <w:t>Pracownicy Wydziału obsługującego Radę wykonują rozbudowane czynności kancelaryjno</w:t>
      </w:r>
      <w:r w:rsidRPr="00F137D2">
        <w:rPr>
          <w:rFonts w:ascii="Times New Roman" w:hAnsi="Times New Roman"/>
          <w:sz w:val="24"/>
          <w:szCs w:val="24"/>
          <w:lang w:eastAsia="pl-PL"/>
        </w:rPr>
        <w:br/>
        <w:t>– rejestracyjne, w szczególności wprowadzają dane dotyczące postępowań administracyjnych</w:t>
      </w:r>
      <w:r w:rsidRPr="00F137D2">
        <w:rPr>
          <w:rFonts w:ascii="Times New Roman" w:hAnsi="Times New Roman"/>
          <w:sz w:val="24"/>
          <w:szCs w:val="24"/>
          <w:lang w:eastAsia="pl-PL"/>
        </w:rPr>
        <w:br/>
        <w:t>i sądowoadministracyjnych do stosownych rejestrów</w:t>
      </w:r>
      <w:r w:rsidR="00EB3D92" w:rsidRPr="00F137D2">
        <w:rPr>
          <w:rFonts w:ascii="Times New Roman" w:hAnsi="Times New Roman"/>
          <w:sz w:val="24"/>
          <w:szCs w:val="24"/>
          <w:lang w:eastAsia="pl-PL"/>
        </w:rPr>
        <w:t>, co należy do ustawowych zadań Rady</w:t>
      </w:r>
      <w:r w:rsidR="00BE2FE0" w:rsidRPr="00F137D2">
        <w:rPr>
          <w:rFonts w:ascii="Times New Roman" w:hAnsi="Times New Roman"/>
          <w:sz w:val="24"/>
          <w:szCs w:val="24"/>
          <w:lang w:eastAsia="pl-PL"/>
        </w:rPr>
        <w:t>.</w:t>
      </w:r>
    </w:p>
    <w:p w:rsidR="00AF7877" w:rsidRPr="00E778FF" w:rsidRDefault="00C02CD0" w:rsidP="00473C43">
      <w:pPr>
        <w:spacing w:before="240" w:after="1200" w:line="360" w:lineRule="auto"/>
        <w:jc w:val="both"/>
        <w:rPr>
          <w:rFonts w:ascii="Times New Roman" w:hAnsi="Times New Roman"/>
          <w:color w:val="FF0000"/>
          <w:sz w:val="24"/>
          <w:szCs w:val="24"/>
          <w:lang w:eastAsia="pl-PL"/>
        </w:rPr>
      </w:pPr>
      <w:r w:rsidRPr="00F137D2">
        <w:rPr>
          <w:rFonts w:ascii="Times New Roman" w:hAnsi="Times New Roman"/>
          <w:sz w:val="24"/>
          <w:szCs w:val="24"/>
          <w:lang w:eastAsia="pl-PL"/>
        </w:rPr>
        <w:t>Finansowanie Rady jest zapewniane w ramach budżetu KPRM. W 20</w:t>
      </w:r>
      <w:r w:rsidR="00B57799">
        <w:rPr>
          <w:rFonts w:ascii="Times New Roman" w:hAnsi="Times New Roman"/>
          <w:sz w:val="24"/>
          <w:szCs w:val="24"/>
          <w:lang w:eastAsia="pl-PL"/>
        </w:rPr>
        <w:t>20</w:t>
      </w:r>
      <w:r w:rsidRPr="00F137D2">
        <w:rPr>
          <w:rFonts w:ascii="Times New Roman" w:hAnsi="Times New Roman"/>
          <w:sz w:val="24"/>
          <w:szCs w:val="24"/>
          <w:lang w:eastAsia="pl-PL"/>
        </w:rPr>
        <w:t xml:space="preserve"> r.</w:t>
      </w:r>
      <w:r w:rsidR="00EB3D92" w:rsidRPr="00F137D2">
        <w:rPr>
          <w:rFonts w:ascii="Times New Roman" w:hAnsi="Times New Roman"/>
          <w:sz w:val="24"/>
          <w:szCs w:val="24"/>
          <w:lang w:eastAsia="pl-PL"/>
        </w:rPr>
        <w:t>, tak jak w latach poprzednich,</w:t>
      </w:r>
      <w:r w:rsidRPr="00F137D2">
        <w:rPr>
          <w:rFonts w:ascii="Times New Roman" w:hAnsi="Times New Roman"/>
          <w:sz w:val="24"/>
          <w:szCs w:val="24"/>
          <w:lang w:eastAsia="pl-PL"/>
        </w:rPr>
        <w:t xml:space="preserve"> Rada dysponowała budżetem w wysokości 680 tys. zł.</w:t>
      </w:r>
      <w:r w:rsidRPr="00F137D2">
        <w:rPr>
          <w:rFonts w:ascii="Times New Roman" w:hAnsi="Times New Roman"/>
          <w:color w:val="FF0000"/>
          <w:sz w:val="24"/>
          <w:szCs w:val="24"/>
          <w:lang w:eastAsia="pl-PL"/>
        </w:rPr>
        <w:t xml:space="preserve"> </w:t>
      </w:r>
    </w:p>
    <w:p w:rsidR="001C4C0E" w:rsidRPr="00F137D2" w:rsidRDefault="00B6659D" w:rsidP="00473C43">
      <w:pPr>
        <w:pStyle w:val="Akapitzlist"/>
        <w:numPr>
          <w:ilvl w:val="0"/>
          <w:numId w:val="4"/>
        </w:numPr>
        <w:spacing w:before="120" w:after="600"/>
        <w:rPr>
          <w:rFonts w:ascii="Times New Roman" w:hAnsi="Times New Roman" w:cs="Times New Roman"/>
          <w:sz w:val="24"/>
          <w:szCs w:val="24"/>
        </w:rPr>
      </w:pPr>
      <w:r w:rsidRPr="00F137D2">
        <w:rPr>
          <w:rFonts w:ascii="Times New Roman" w:hAnsi="Times New Roman" w:cs="Times New Roman"/>
          <w:sz w:val="24"/>
          <w:szCs w:val="24"/>
        </w:rPr>
        <w:lastRenderedPageBreak/>
        <w:t>STATYSTYKI</w:t>
      </w:r>
    </w:p>
    <w:p w:rsidR="00F137D2" w:rsidRPr="00F137D2" w:rsidRDefault="00F137D2" w:rsidP="00E57804">
      <w:pPr>
        <w:spacing w:before="100" w:beforeAutospacing="1" w:after="0" w:line="360" w:lineRule="auto"/>
        <w:jc w:val="both"/>
        <w:rPr>
          <w:rFonts w:ascii="Times New Roman" w:hAnsi="Times New Roman"/>
          <w:sz w:val="24"/>
          <w:szCs w:val="24"/>
        </w:rPr>
      </w:pPr>
      <w:r w:rsidRPr="00F137D2">
        <w:rPr>
          <w:rFonts w:ascii="Times New Roman" w:hAnsi="Times New Roman"/>
          <w:sz w:val="24"/>
          <w:szCs w:val="24"/>
        </w:rPr>
        <w:t>W 20</w:t>
      </w:r>
      <w:r w:rsidR="003E1777">
        <w:rPr>
          <w:rFonts w:ascii="Times New Roman" w:hAnsi="Times New Roman"/>
          <w:sz w:val="24"/>
          <w:szCs w:val="24"/>
        </w:rPr>
        <w:t>20</w:t>
      </w:r>
      <w:r w:rsidRPr="00F137D2">
        <w:rPr>
          <w:rFonts w:ascii="Times New Roman" w:hAnsi="Times New Roman"/>
          <w:sz w:val="24"/>
          <w:szCs w:val="24"/>
        </w:rPr>
        <w:t xml:space="preserve"> do Rady wpłynęło </w:t>
      </w:r>
      <w:r w:rsidR="003E1777">
        <w:rPr>
          <w:rFonts w:ascii="Times New Roman" w:hAnsi="Times New Roman"/>
          <w:sz w:val="24"/>
          <w:szCs w:val="24"/>
        </w:rPr>
        <w:t>809</w:t>
      </w:r>
      <w:r w:rsidRPr="00F137D2">
        <w:rPr>
          <w:rFonts w:ascii="Times New Roman" w:hAnsi="Times New Roman"/>
          <w:sz w:val="24"/>
          <w:szCs w:val="24"/>
        </w:rPr>
        <w:t xml:space="preserve"> odwołań, </w:t>
      </w:r>
      <w:r w:rsidR="003E1777">
        <w:rPr>
          <w:rFonts w:ascii="Times New Roman" w:hAnsi="Times New Roman"/>
          <w:sz w:val="24"/>
          <w:szCs w:val="24"/>
        </w:rPr>
        <w:t>6</w:t>
      </w:r>
      <w:r w:rsidRPr="00F137D2">
        <w:rPr>
          <w:rFonts w:ascii="Times New Roman" w:hAnsi="Times New Roman"/>
          <w:sz w:val="24"/>
          <w:szCs w:val="24"/>
        </w:rPr>
        <w:t xml:space="preserve"> zażaleń (w tym na postanowienia UdsC – </w:t>
      </w:r>
      <w:r w:rsidR="003E1777">
        <w:rPr>
          <w:rFonts w:ascii="Times New Roman" w:hAnsi="Times New Roman"/>
          <w:sz w:val="24"/>
          <w:szCs w:val="24"/>
        </w:rPr>
        <w:t>5</w:t>
      </w:r>
      <w:r w:rsidRPr="00F137D2">
        <w:rPr>
          <w:rFonts w:ascii="Times New Roman" w:hAnsi="Times New Roman"/>
          <w:sz w:val="24"/>
          <w:szCs w:val="24"/>
        </w:rPr>
        <w:t xml:space="preserve">, </w:t>
      </w:r>
      <w:r w:rsidR="00544B8C">
        <w:rPr>
          <w:rFonts w:ascii="Times New Roman" w:hAnsi="Times New Roman"/>
          <w:sz w:val="24"/>
          <w:szCs w:val="24"/>
        </w:rPr>
        <w:br/>
      </w:r>
      <w:r w:rsidRPr="00F137D2">
        <w:rPr>
          <w:rFonts w:ascii="Times New Roman" w:hAnsi="Times New Roman"/>
          <w:sz w:val="24"/>
          <w:szCs w:val="24"/>
        </w:rPr>
        <w:t xml:space="preserve">na postanowienia RdU – </w:t>
      </w:r>
      <w:r w:rsidR="003E1777">
        <w:rPr>
          <w:rFonts w:ascii="Times New Roman" w:hAnsi="Times New Roman"/>
          <w:sz w:val="24"/>
          <w:szCs w:val="24"/>
        </w:rPr>
        <w:t>1</w:t>
      </w:r>
      <w:r w:rsidRPr="00F137D2">
        <w:rPr>
          <w:rFonts w:ascii="Times New Roman" w:hAnsi="Times New Roman"/>
          <w:sz w:val="24"/>
          <w:szCs w:val="24"/>
        </w:rPr>
        <w:t xml:space="preserve">) oraz </w:t>
      </w:r>
      <w:r w:rsidR="003E1777">
        <w:rPr>
          <w:rFonts w:ascii="Times New Roman" w:hAnsi="Times New Roman"/>
          <w:sz w:val="24"/>
          <w:szCs w:val="24"/>
        </w:rPr>
        <w:t>336</w:t>
      </w:r>
      <w:r w:rsidRPr="00F137D2">
        <w:rPr>
          <w:rFonts w:ascii="Times New Roman" w:hAnsi="Times New Roman"/>
          <w:sz w:val="24"/>
          <w:szCs w:val="24"/>
        </w:rPr>
        <w:t xml:space="preserve"> skarg na decyzje Rady skierowane do WSA, na które składy Rady opracowały odpowiedzi. W 201</w:t>
      </w:r>
      <w:r w:rsidR="003E1777">
        <w:rPr>
          <w:rFonts w:ascii="Times New Roman" w:hAnsi="Times New Roman"/>
          <w:sz w:val="24"/>
          <w:szCs w:val="24"/>
        </w:rPr>
        <w:t>9</w:t>
      </w:r>
      <w:r w:rsidRPr="00F137D2">
        <w:rPr>
          <w:rFonts w:ascii="Times New Roman" w:hAnsi="Times New Roman"/>
          <w:sz w:val="24"/>
          <w:szCs w:val="24"/>
        </w:rPr>
        <w:t xml:space="preserve"> r. zostało wniesionych odpowiednio </w:t>
      </w:r>
      <w:r w:rsidR="003E1777" w:rsidRPr="00F137D2">
        <w:rPr>
          <w:rFonts w:ascii="Times New Roman" w:hAnsi="Times New Roman"/>
          <w:sz w:val="24"/>
          <w:szCs w:val="24"/>
        </w:rPr>
        <w:t>786</w:t>
      </w:r>
      <w:r w:rsidR="003E1777">
        <w:rPr>
          <w:rFonts w:ascii="Times New Roman" w:hAnsi="Times New Roman"/>
          <w:sz w:val="24"/>
          <w:szCs w:val="24"/>
        </w:rPr>
        <w:t xml:space="preserve"> </w:t>
      </w:r>
      <w:r w:rsidRPr="00F137D2">
        <w:rPr>
          <w:rFonts w:ascii="Times New Roman" w:hAnsi="Times New Roman"/>
          <w:sz w:val="24"/>
          <w:szCs w:val="24"/>
        </w:rPr>
        <w:t>odwołań, 1</w:t>
      </w:r>
      <w:r w:rsidR="003E1777">
        <w:rPr>
          <w:rFonts w:ascii="Times New Roman" w:hAnsi="Times New Roman"/>
          <w:sz w:val="24"/>
          <w:szCs w:val="24"/>
        </w:rPr>
        <w:t>1</w:t>
      </w:r>
      <w:r w:rsidRPr="00F137D2">
        <w:rPr>
          <w:rFonts w:ascii="Times New Roman" w:hAnsi="Times New Roman"/>
          <w:sz w:val="24"/>
          <w:szCs w:val="24"/>
        </w:rPr>
        <w:t xml:space="preserve"> zażaleń i </w:t>
      </w:r>
      <w:r w:rsidR="003E1777">
        <w:rPr>
          <w:rFonts w:ascii="Times New Roman" w:hAnsi="Times New Roman"/>
          <w:sz w:val="24"/>
          <w:szCs w:val="24"/>
        </w:rPr>
        <w:t>291</w:t>
      </w:r>
      <w:r w:rsidRPr="00F137D2">
        <w:rPr>
          <w:rFonts w:ascii="Times New Roman" w:hAnsi="Times New Roman"/>
          <w:sz w:val="24"/>
          <w:szCs w:val="24"/>
        </w:rPr>
        <w:t xml:space="preserve"> skarg.</w:t>
      </w:r>
      <w:r w:rsidRPr="00F137D2">
        <w:rPr>
          <w:rFonts w:ascii="Times New Roman" w:hAnsi="Times New Roman"/>
          <w:color w:val="FF0000"/>
          <w:sz w:val="24"/>
          <w:szCs w:val="24"/>
        </w:rPr>
        <w:t xml:space="preserve"> </w:t>
      </w:r>
      <w:r w:rsidRPr="00F137D2">
        <w:rPr>
          <w:rFonts w:ascii="Times New Roman" w:hAnsi="Times New Roman"/>
          <w:sz w:val="24"/>
          <w:szCs w:val="24"/>
        </w:rPr>
        <w:t xml:space="preserve">Porównanie tych lat wskazuje na nieznaczny </w:t>
      </w:r>
      <w:r w:rsidR="003E1777">
        <w:rPr>
          <w:rFonts w:ascii="Times New Roman" w:hAnsi="Times New Roman"/>
          <w:sz w:val="24"/>
          <w:szCs w:val="24"/>
        </w:rPr>
        <w:t>wzrost</w:t>
      </w:r>
      <w:r w:rsidRPr="00F137D2">
        <w:rPr>
          <w:rFonts w:ascii="Times New Roman" w:hAnsi="Times New Roman"/>
          <w:sz w:val="24"/>
          <w:szCs w:val="24"/>
        </w:rPr>
        <w:t xml:space="preserve"> liczby odwołań </w:t>
      </w:r>
      <w:r w:rsidR="003E1777">
        <w:rPr>
          <w:rFonts w:ascii="Times New Roman" w:hAnsi="Times New Roman"/>
          <w:sz w:val="24"/>
          <w:szCs w:val="24"/>
        </w:rPr>
        <w:t>oraz dość wyraźny wzrost</w:t>
      </w:r>
      <w:r w:rsidRPr="00F137D2">
        <w:rPr>
          <w:rFonts w:ascii="Times New Roman" w:hAnsi="Times New Roman"/>
          <w:sz w:val="24"/>
          <w:szCs w:val="24"/>
        </w:rPr>
        <w:t xml:space="preserve"> liczby skarg. Najczęściej, tak jak w roku ubiegłym, odwołania wnosili obywatele </w:t>
      </w:r>
      <w:r w:rsidRPr="00C51A3E">
        <w:rPr>
          <w:rFonts w:ascii="Times New Roman" w:hAnsi="Times New Roman"/>
          <w:sz w:val="24"/>
          <w:szCs w:val="24"/>
        </w:rPr>
        <w:t>Federacji Rosyjskiej i Ukrainy.</w:t>
      </w:r>
      <w:r w:rsidRPr="00F137D2">
        <w:rPr>
          <w:rFonts w:ascii="Times New Roman" w:hAnsi="Times New Roman"/>
          <w:sz w:val="24"/>
          <w:szCs w:val="24"/>
        </w:rPr>
        <w:t xml:space="preserve"> </w:t>
      </w:r>
    </w:p>
    <w:p w:rsidR="009F60CB" w:rsidRPr="00F137D2" w:rsidRDefault="00F137D2" w:rsidP="00E57804">
      <w:pPr>
        <w:spacing w:before="100" w:beforeAutospacing="1" w:after="0" w:line="360" w:lineRule="auto"/>
        <w:jc w:val="both"/>
        <w:rPr>
          <w:rFonts w:ascii="Times New Roman" w:hAnsi="Times New Roman"/>
          <w:sz w:val="24"/>
          <w:szCs w:val="24"/>
        </w:rPr>
      </w:pPr>
      <w:r w:rsidRPr="00F137D2">
        <w:rPr>
          <w:rFonts w:ascii="Times New Roman" w:hAnsi="Times New Roman"/>
          <w:sz w:val="24"/>
          <w:szCs w:val="24"/>
        </w:rPr>
        <w:t>R</w:t>
      </w:r>
      <w:r w:rsidR="009F60CB" w:rsidRPr="00F137D2">
        <w:rPr>
          <w:rFonts w:ascii="Times New Roman" w:hAnsi="Times New Roman"/>
          <w:sz w:val="24"/>
          <w:szCs w:val="24"/>
        </w:rPr>
        <w:t>ada wydała w 20</w:t>
      </w:r>
      <w:r w:rsidR="003E1777">
        <w:rPr>
          <w:rFonts w:ascii="Times New Roman" w:hAnsi="Times New Roman"/>
          <w:sz w:val="24"/>
          <w:szCs w:val="24"/>
        </w:rPr>
        <w:t>20</w:t>
      </w:r>
      <w:r w:rsidR="009F60CB" w:rsidRPr="00F137D2">
        <w:rPr>
          <w:rFonts w:ascii="Times New Roman" w:hAnsi="Times New Roman"/>
          <w:sz w:val="24"/>
          <w:szCs w:val="24"/>
        </w:rPr>
        <w:t xml:space="preserve"> r. 8</w:t>
      </w:r>
      <w:r w:rsidR="003E1777">
        <w:rPr>
          <w:rFonts w:ascii="Times New Roman" w:hAnsi="Times New Roman"/>
          <w:sz w:val="24"/>
          <w:szCs w:val="24"/>
        </w:rPr>
        <w:t>67</w:t>
      </w:r>
      <w:r w:rsidR="009F60CB" w:rsidRPr="00F137D2">
        <w:rPr>
          <w:rFonts w:ascii="Times New Roman" w:hAnsi="Times New Roman"/>
          <w:sz w:val="24"/>
          <w:szCs w:val="24"/>
        </w:rPr>
        <w:t xml:space="preserve"> decyzji, </w:t>
      </w:r>
      <w:r w:rsidR="003E1777">
        <w:rPr>
          <w:rFonts w:ascii="Times New Roman" w:hAnsi="Times New Roman"/>
          <w:sz w:val="24"/>
          <w:szCs w:val="24"/>
        </w:rPr>
        <w:t xml:space="preserve">69 </w:t>
      </w:r>
      <w:r w:rsidR="009F60CB" w:rsidRPr="00F137D2">
        <w:rPr>
          <w:rFonts w:ascii="Times New Roman" w:hAnsi="Times New Roman"/>
          <w:sz w:val="24"/>
          <w:szCs w:val="24"/>
        </w:rPr>
        <w:t xml:space="preserve">postanowień, </w:t>
      </w:r>
      <w:r w:rsidR="003E1777">
        <w:rPr>
          <w:rFonts w:ascii="Times New Roman" w:hAnsi="Times New Roman"/>
          <w:sz w:val="24"/>
          <w:szCs w:val="24"/>
        </w:rPr>
        <w:t>5</w:t>
      </w:r>
      <w:r w:rsidR="009F60CB" w:rsidRPr="00F137D2">
        <w:rPr>
          <w:rFonts w:ascii="Times New Roman" w:hAnsi="Times New Roman"/>
          <w:sz w:val="24"/>
          <w:szCs w:val="24"/>
        </w:rPr>
        <w:t xml:space="preserve"> postanowień o przesłuchaniu, sporządziła 3</w:t>
      </w:r>
      <w:r w:rsidR="003E1777">
        <w:rPr>
          <w:rFonts w:ascii="Times New Roman" w:hAnsi="Times New Roman"/>
          <w:sz w:val="24"/>
          <w:szCs w:val="24"/>
        </w:rPr>
        <w:t>28</w:t>
      </w:r>
      <w:r w:rsidR="009F60CB" w:rsidRPr="00F137D2">
        <w:rPr>
          <w:rFonts w:ascii="Times New Roman" w:hAnsi="Times New Roman"/>
          <w:sz w:val="24"/>
          <w:szCs w:val="24"/>
        </w:rPr>
        <w:t xml:space="preserve"> odpowiedzi na skargi do WSA, </w:t>
      </w:r>
      <w:r w:rsidR="003E1777">
        <w:rPr>
          <w:rFonts w:ascii="Times New Roman" w:hAnsi="Times New Roman"/>
          <w:sz w:val="24"/>
          <w:szCs w:val="24"/>
        </w:rPr>
        <w:t>17</w:t>
      </w:r>
      <w:r w:rsidR="009F60CB" w:rsidRPr="00F137D2">
        <w:rPr>
          <w:rFonts w:ascii="Times New Roman" w:hAnsi="Times New Roman"/>
          <w:sz w:val="24"/>
          <w:szCs w:val="24"/>
        </w:rPr>
        <w:t xml:space="preserve">odpowiedzi na skargi kasacyjne oraz złożyła jedną skargę kasacyjną. </w:t>
      </w:r>
    </w:p>
    <w:p w:rsidR="009F60CB" w:rsidRPr="00F137D2" w:rsidRDefault="009F60CB" w:rsidP="009F60CB">
      <w:pPr>
        <w:spacing w:line="360" w:lineRule="auto"/>
        <w:jc w:val="both"/>
        <w:rPr>
          <w:rFonts w:ascii="Times New Roman" w:hAnsi="Times New Roman"/>
          <w:sz w:val="24"/>
          <w:szCs w:val="24"/>
        </w:rPr>
      </w:pPr>
      <w:r w:rsidRPr="00F137D2">
        <w:rPr>
          <w:rFonts w:ascii="Times New Roman" w:hAnsi="Times New Roman"/>
          <w:sz w:val="24"/>
          <w:szCs w:val="24"/>
        </w:rPr>
        <w:t>W 20</w:t>
      </w:r>
      <w:r w:rsidR="003E1777">
        <w:rPr>
          <w:rFonts w:ascii="Times New Roman" w:hAnsi="Times New Roman"/>
          <w:sz w:val="24"/>
          <w:szCs w:val="24"/>
        </w:rPr>
        <w:t>20</w:t>
      </w:r>
      <w:r w:rsidRPr="00F137D2">
        <w:rPr>
          <w:rFonts w:ascii="Times New Roman" w:hAnsi="Times New Roman"/>
          <w:sz w:val="24"/>
          <w:szCs w:val="24"/>
        </w:rPr>
        <w:t xml:space="preserve"> r. Rada udzieliła ochrony w </w:t>
      </w:r>
      <w:r w:rsidR="003E1777">
        <w:rPr>
          <w:rFonts w:ascii="Times New Roman" w:hAnsi="Times New Roman"/>
          <w:sz w:val="24"/>
          <w:szCs w:val="24"/>
        </w:rPr>
        <w:t>6</w:t>
      </w:r>
      <w:r w:rsidRPr="00F137D2">
        <w:rPr>
          <w:rFonts w:ascii="Times New Roman" w:hAnsi="Times New Roman"/>
          <w:sz w:val="24"/>
          <w:szCs w:val="24"/>
        </w:rPr>
        <w:t xml:space="preserve"> sprawach (udzielenie ochrony uzupełniającej – 4, udzielenie pobytu tolerowanego - </w:t>
      </w:r>
      <w:r w:rsidR="003E1777">
        <w:rPr>
          <w:rFonts w:ascii="Times New Roman" w:hAnsi="Times New Roman"/>
          <w:sz w:val="24"/>
          <w:szCs w:val="24"/>
        </w:rPr>
        <w:t>2</w:t>
      </w:r>
      <w:r w:rsidRPr="00F137D2">
        <w:rPr>
          <w:rFonts w:ascii="Times New Roman" w:hAnsi="Times New Roman"/>
          <w:sz w:val="24"/>
          <w:szCs w:val="24"/>
        </w:rPr>
        <w:t xml:space="preserve">). Ponadto wydała </w:t>
      </w:r>
      <w:r w:rsidR="003E1777">
        <w:rPr>
          <w:rFonts w:ascii="Times New Roman" w:hAnsi="Times New Roman"/>
          <w:sz w:val="24"/>
          <w:szCs w:val="24"/>
        </w:rPr>
        <w:t>28</w:t>
      </w:r>
      <w:r w:rsidRPr="00F137D2">
        <w:rPr>
          <w:rFonts w:ascii="Times New Roman" w:hAnsi="Times New Roman"/>
          <w:sz w:val="24"/>
          <w:szCs w:val="24"/>
        </w:rPr>
        <w:t xml:space="preserve"> decyzji utrzymujących w mocy decyzje o pozbawieniu ochrony uzupełniającej oraz </w:t>
      </w:r>
      <w:r w:rsidR="003E1777">
        <w:rPr>
          <w:rFonts w:ascii="Times New Roman" w:hAnsi="Times New Roman"/>
          <w:sz w:val="24"/>
          <w:szCs w:val="24"/>
        </w:rPr>
        <w:t>4</w:t>
      </w:r>
      <w:r w:rsidRPr="00F137D2">
        <w:rPr>
          <w:rFonts w:ascii="Times New Roman" w:hAnsi="Times New Roman"/>
          <w:sz w:val="24"/>
          <w:szCs w:val="24"/>
        </w:rPr>
        <w:t xml:space="preserve"> decyzj</w:t>
      </w:r>
      <w:r w:rsidR="003E1777">
        <w:rPr>
          <w:rFonts w:ascii="Times New Roman" w:hAnsi="Times New Roman"/>
          <w:sz w:val="24"/>
          <w:szCs w:val="24"/>
        </w:rPr>
        <w:t>e</w:t>
      </w:r>
      <w:r w:rsidRPr="00F137D2">
        <w:rPr>
          <w:rFonts w:ascii="Times New Roman" w:hAnsi="Times New Roman"/>
          <w:sz w:val="24"/>
          <w:szCs w:val="24"/>
        </w:rPr>
        <w:t xml:space="preserve"> utrzymując</w:t>
      </w:r>
      <w:r w:rsidR="003E1777">
        <w:rPr>
          <w:rFonts w:ascii="Times New Roman" w:hAnsi="Times New Roman"/>
          <w:sz w:val="24"/>
          <w:szCs w:val="24"/>
        </w:rPr>
        <w:t>e</w:t>
      </w:r>
      <w:r w:rsidRPr="00F137D2">
        <w:rPr>
          <w:rFonts w:ascii="Times New Roman" w:hAnsi="Times New Roman"/>
          <w:sz w:val="24"/>
          <w:szCs w:val="24"/>
        </w:rPr>
        <w:t xml:space="preserve"> w mocy decyzje </w:t>
      </w:r>
      <w:r w:rsidR="00AF7877">
        <w:rPr>
          <w:rFonts w:ascii="Times New Roman" w:hAnsi="Times New Roman"/>
          <w:sz w:val="24"/>
          <w:szCs w:val="24"/>
        </w:rPr>
        <w:br/>
      </w:r>
      <w:r w:rsidRPr="00F137D2">
        <w:rPr>
          <w:rFonts w:ascii="Times New Roman" w:hAnsi="Times New Roman"/>
          <w:sz w:val="24"/>
          <w:szCs w:val="24"/>
        </w:rPr>
        <w:t xml:space="preserve">o pozbawieniu statusu uchodźcy. </w:t>
      </w:r>
    </w:p>
    <w:p w:rsidR="00F137D2" w:rsidRPr="00F137D2" w:rsidRDefault="00F137D2" w:rsidP="00F137D2">
      <w:pPr>
        <w:spacing w:after="0" w:line="360" w:lineRule="auto"/>
        <w:jc w:val="both"/>
        <w:rPr>
          <w:rFonts w:ascii="Times New Roman" w:hAnsi="Times New Roman"/>
          <w:sz w:val="24"/>
          <w:szCs w:val="24"/>
        </w:rPr>
      </w:pPr>
      <w:r w:rsidRPr="00F137D2">
        <w:rPr>
          <w:rFonts w:ascii="Times New Roman" w:hAnsi="Times New Roman"/>
          <w:sz w:val="24"/>
          <w:szCs w:val="24"/>
        </w:rPr>
        <w:t>Pewne kategorie spraw były rozpatrywane priorytetowo. Do takich należały w 20</w:t>
      </w:r>
      <w:r w:rsidR="003E1777">
        <w:rPr>
          <w:rFonts w:ascii="Times New Roman" w:hAnsi="Times New Roman"/>
          <w:sz w:val="24"/>
          <w:szCs w:val="24"/>
        </w:rPr>
        <w:t>20</w:t>
      </w:r>
      <w:r w:rsidRPr="00F137D2">
        <w:rPr>
          <w:rFonts w:ascii="Times New Roman" w:hAnsi="Times New Roman"/>
          <w:sz w:val="24"/>
          <w:szCs w:val="24"/>
        </w:rPr>
        <w:t xml:space="preserve"> roku przed wszystkim:</w:t>
      </w:r>
    </w:p>
    <w:p w:rsidR="00F137D2" w:rsidRPr="00A12A05" w:rsidRDefault="00AF7877" w:rsidP="00F137D2">
      <w:pPr>
        <w:numPr>
          <w:ilvl w:val="0"/>
          <w:numId w:val="5"/>
        </w:numPr>
        <w:spacing w:after="0" w:line="360" w:lineRule="auto"/>
        <w:contextualSpacing/>
        <w:jc w:val="both"/>
        <w:rPr>
          <w:rFonts w:ascii="Times New Roman" w:hAnsi="Times New Roman"/>
          <w:sz w:val="24"/>
          <w:szCs w:val="24"/>
        </w:rPr>
      </w:pPr>
      <w:r w:rsidRPr="00A12A05">
        <w:rPr>
          <w:rFonts w:ascii="Times New Roman" w:hAnsi="Times New Roman"/>
          <w:sz w:val="24"/>
          <w:szCs w:val="24"/>
        </w:rPr>
        <w:t>48</w:t>
      </w:r>
      <w:r w:rsidR="00F137D2" w:rsidRPr="00A12A05">
        <w:rPr>
          <w:rFonts w:ascii="Times New Roman" w:hAnsi="Times New Roman"/>
          <w:sz w:val="24"/>
          <w:szCs w:val="24"/>
        </w:rPr>
        <w:t xml:space="preserve"> postępowań dotyczących cudzoziemców umieszczonych w Strzeżonych Ośrodkach dla Cudzoziemców (w tym w aresztach przy SOC),</w:t>
      </w:r>
    </w:p>
    <w:p w:rsidR="00F137D2" w:rsidRPr="00A12A05" w:rsidRDefault="003E1777" w:rsidP="00F137D2">
      <w:pPr>
        <w:numPr>
          <w:ilvl w:val="0"/>
          <w:numId w:val="5"/>
        </w:numPr>
        <w:spacing w:after="0" w:line="360" w:lineRule="auto"/>
        <w:contextualSpacing/>
        <w:jc w:val="both"/>
        <w:rPr>
          <w:rFonts w:ascii="Times New Roman" w:hAnsi="Times New Roman"/>
          <w:sz w:val="24"/>
          <w:szCs w:val="24"/>
        </w:rPr>
      </w:pPr>
      <w:r w:rsidRPr="00A12A05">
        <w:rPr>
          <w:rFonts w:ascii="Times New Roman" w:hAnsi="Times New Roman"/>
          <w:sz w:val="24"/>
          <w:szCs w:val="24"/>
        </w:rPr>
        <w:t>45</w:t>
      </w:r>
      <w:r w:rsidR="00F137D2" w:rsidRPr="00A12A05">
        <w:rPr>
          <w:rFonts w:ascii="Times New Roman" w:hAnsi="Times New Roman"/>
          <w:sz w:val="24"/>
          <w:szCs w:val="24"/>
        </w:rPr>
        <w:t xml:space="preserve"> postępowań w trybie przyspieszonym, które rozpatrywane były w składzie jednoosobowym,</w:t>
      </w:r>
    </w:p>
    <w:p w:rsidR="00F137D2" w:rsidRPr="00A12A05" w:rsidRDefault="003E1777" w:rsidP="00E57804">
      <w:pPr>
        <w:numPr>
          <w:ilvl w:val="0"/>
          <w:numId w:val="5"/>
        </w:numPr>
        <w:spacing w:after="1320" w:line="360" w:lineRule="auto"/>
        <w:contextualSpacing/>
        <w:jc w:val="both"/>
        <w:rPr>
          <w:rFonts w:ascii="Times New Roman" w:hAnsi="Times New Roman"/>
          <w:sz w:val="24"/>
          <w:szCs w:val="24"/>
        </w:rPr>
      </w:pPr>
      <w:r w:rsidRPr="00A12A05">
        <w:rPr>
          <w:rFonts w:ascii="Times New Roman" w:hAnsi="Times New Roman"/>
          <w:sz w:val="24"/>
          <w:szCs w:val="24"/>
        </w:rPr>
        <w:t>43</w:t>
      </w:r>
      <w:r w:rsidR="00F137D2" w:rsidRPr="00A12A05">
        <w:rPr>
          <w:rFonts w:ascii="Times New Roman" w:hAnsi="Times New Roman"/>
          <w:sz w:val="24"/>
          <w:szCs w:val="24"/>
        </w:rPr>
        <w:t xml:space="preserve"> postępowa</w:t>
      </w:r>
      <w:r w:rsidRPr="00A12A05">
        <w:rPr>
          <w:rFonts w:ascii="Times New Roman" w:hAnsi="Times New Roman"/>
          <w:sz w:val="24"/>
          <w:szCs w:val="24"/>
        </w:rPr>
        <w:t>nia</w:t>
      </w:r>
      <w:r w:rsidR="00F137D2" w:rsidRPr="00A12A05">
        <w:rPr>
          <w:rFonts w:ascii="Times New Roman" w:hAnsi="Times New Roman"/>
          <w:sz w:val="24"/>
          <w:szCs w:val="24"/>
        </w:rPr>
        <w:t xml:space="preserve"> dotycząc</w:t>
      </w:r>
      <w:r w:rsidRPr="00A12A05">
        <w:rPr>
          <w:rFonts w:ascii="Times New Roman" w:hAnsi="Times New Roman"/>
          <w:sz w:val="24"/>
          <w:szCs w:val="24"/>
        </w:rPr>
        <w:t>e</w:t>
      </w:r>
      <w:r w:rsidR="00F137D2" w:rsidRPr="00A12A05">
        <w:rPr>
          <w:rFonts w:ascii="Times New Roman" w:hAnsi="Times New Roman"/>
          <w:sz w:val="24"/>
          <w:szCs w:val="24"/>
        </w:rPr>
        <w:t xml:space="preserve"> odwołań od decyzji o przekazaniu do innego państwa na mocy rozporządzenia Parlamentu Europejskiego i Rady (UE) nr 604/2013 z dnia </w:t>
      </w:r>
      <w:r w:rsidR="00544B8C" w:rsidRPr="00A12A05">
        <w:rPr>
          <w:rFonts w:ascii="Times New Roman" w:hAnsi="Times New Roman"/>
          <w:sz w:val="24"/>
          <w:szCs w:val="24"/>
        </w:rPr>
        <w:br/>
      </w:r>
      <w:r w:rsidR="00F137D2" w:rsidRPr="00A12A05">
        <w:rPr>
          <w:rFonts w:ascii="Times New Roman" w:hAnsi="Times New Roman"/>
          <w:sz w:val="24"/>
          <w:szCs w:val="24"/>
        </w:rPr>
        <w:t>26 czerwca 2013 r. w sprawie ustanowienia kryteriów i mechanizmów ustalania państwa członkowskiego odpowiedzialnego za rozpatrzenie wniosku o udzielenie ochrony międzynarodowej złożonego</w:t>
      </w:r>
      <w:r w:rsidR="009F6A5B" w:rsidRPr="00A12A05">
        <w:rPr>
          <w:rFonts w:ascii="Times New Roman" w:hAnsi="Times New Roman"/>
          <w:sz w:val="24"/>
          <w:szCs w:val="24"/>
        </w:rPr>
        <w:t xml:space="preserve"> </w:t>
      </w:r>
      <w:r w:rsidR="00F137D2" w:rsidRPr="00A12A05">
        <w:rPr>
          <w:rFonts w:ascii="Times New Roman" w:hAnsi="Times New Roman"/>
          <w:sz w:val="24"/>
          <w:szCs w:val="24"/>
        </w:rPr>
        <w:t>w jednym z państw członkowskich przez obywatela państwa trzeciego lub bezpaństwowca (Dz. Urz. UE L 180 z 29.06.2013).</w:t>
      </w:r>
    </w:p>
    <w:p w:rsidR="009F60CB" w:rsidRPr="00F137D2" w:rsidRDefault="009F60CB" w:rsidP="00E57804">
      <w:pPr>
        <w:spacing w:before="1560" w:after="100" w:afterAutospacing="1"/>
        <w:rPr>
          <w:rFonts w:ascii="Times New Roman" w:hAnsi="Times New Roman"/>
          <w:sz w:val="24"/>
          <w:szCs w:val="24"/>
        </w:rPr>
      </w:pPr>
      <w:r w:rsidRPr="00F137D2">
        <w:rPr>
          <w:rFonts w:ascii="Times New Roman" w:hAnsi="Times New Roman"/>
          <w:sz w:val="24"/>
          <w:szCs w:val="24"/>
        </w:rPr>
        <w:t>Szczegółowe statystyki za 20</w:t>
      </w:r>
      <w:r w:rsidR="003E1777">
        <w:rPr>
          <w:rFonts w:ascii="Times New Roman" w:hAnsi="Times New Roman"/>
          <w:sz w:val="24"/>
          <w:szCs w:val="24"/>
        </w:rPr>
        <w:t>20</w:t>
      </w:r>
      <w:r w:rsidRPr="00F137D2">
        <w:rPr>
          <w:rFonts w:ascii="Times New Roman" w:hAnsi="Times New Roman"/>
          <w:sz w:val="24"/>
          <w:szCs w:val="24"/>
        </w:rPr>
        <w:t xml:space="preserve"> r. przedstawiają się następująco:</w:t>
      </w:r>
    </w:p>
    <w:p w:rsidR="003E1777" w:rsidRDefault="00953CC0" w:rsidP="00E57804">
      <w:pPr>
        <w:spacing w:before="1560" w:after="100" w:afterAutospacing="1"/>
        <w:rPr>
          <w:rFonts w:ascii="Times New Roman" w:hAnsi="Times New Roman"/>
          <w:sz w:val="24"/>
          <w:szCs w:val="24"/>
        </w:rPr>
      </w:pPr>
      <w:r w:rsidRPr="00F137D2">
        <w:rPr>
          <w:rFonts w:ascii="Times New Roman" w:hAnsi="Times New Roman"/>
          <w:sz w:val="24"/>
          <w:szCs w:val="24"/>
        </w:rPr>
        <w:lastRenderedPageBreak/>
        <w:t>Wpływ odwołań z podziałem na kraje pochodzenia:</w:t>
      </w:r>
    </w:p>
    <w:tbl>
      <w:tblPr>
        <w:tblW w:w="3482" w:type="dxa"/>
        <w:tblCellMar>
          <w:left w:w="70" w:type="dxa"/>
          <w:right w:w="70" w:type="dxa"/>
        </w:tblCellMar>
        <w:tblLook w:val="04A0" w:firstRow="1" w:lastRow="0" w:firstColumn="1" w:lastColumn="0" w:noHBand="0" w:noVBand="1"/>
      </w:tblPr>
      <w:tblGrid>
        <w:gridCol w:w="1636"/>
        <w:gridCol w:w="1106"/>
        <w:gridCol w:w="965"/>
      </w:tblGrid>
      <w:tr w:rsidR="000F0206" w:rsidRPr="000F0206" w:rsidTr="000F0206">
        <w:trPr>
          <w:trHeight w:val="300"/>
        </w:trPr>
        <w:tc>
          <w:tcPr>
            <w:tcW w:w="1526"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Kraj pochodzenia</w:t>
            </w:r>
          </w:p>
        </w:tc>
        <w:tc>
          <w:tcPr>
            <w:tcW w:w="996"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wpływ odwołania</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Suma końcowa</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Afganistan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Algieria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8</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8</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Armenia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8</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8</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Azerbejdżan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Bangladesz</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10</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Bezpaństwowiec</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Białoruś</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17</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17</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Brazylia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Bułgaria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Chiny</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Egipt</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Etiopia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Finlandia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Gambia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Grecja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Gruzja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29</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29</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Gwinea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Indie</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13</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Irak</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9</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9</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Iran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Kamerun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Kazachstan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7</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7</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Kirgistan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15</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Kolumbia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Kongo</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Kuba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9</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9</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Liban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Libia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Maroko</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Mołdawia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Nepal</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Niemcy</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Nigeria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10</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Pakistan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9</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9</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Rosja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384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384</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Serbia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Sierra Leone</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Sri Lanka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Sudan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Syria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Szwecja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lastRenderedPageBreak/>
              <w:t>Tadżykistan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Togo</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Tunezja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Turcja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10</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Turkmenistan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Ukraina</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160</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160</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Uzbekistan</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Wietnam</w:t>
            </w:r>
          </w:p>
        </w:tc>
        <w:tc>
          <w:tcPr>
            <w:tcW w:w="996"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5</w:t>
            </w:r>
          </w:p>
        </w:tc>
      </w:tr>
      <w:tr w:rsidR="000F0206" w:rsidRPr="000F0206" w:rsidTr="000F0206">
        <w:trPr>
          <w:trHeight w:val="300"/>
        </w:trPr>
        <w:tc>
          <w:tcPr>
            <w:tcW w:w="1526" w:type="dxa"/>
            <w:tcBorders>
              <w:top w:val="nil"/>
              <w:left w:val="single" w:sz="4" w:space="0" w:color="auto"/>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Suma końcowa</w:t>
            </w:r>
          </w:p>
        </w:tc>
        <w:tc>
          <w:tcPr>
            <w:tcW w:w="996" w:type="dxa"/>
            <w:tcBorders>
              <w:top w:val="nil"/>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jc w:val="right"/>
              <w:rPr>
                <w:rFonts w:eastAsia="Times New Roman" w:cs="Calibri"/>
                <w:b/>
                <w:bCs/>
                <w:color w:val="000000"/>
                <w:lang w:eastAsia="pl-PL"/>
              </w:rPr>
            </w:pPr>
            <w:r w:rsidRPr="000F0206">
              <w:rPr>
                <w:rFonts w:eastAsia="Times New Roman" w:cs="Calibri"/>
                <w:b/>
                <w:bCs/>
                <w:color w:val="000000"/>
                <w:lang w:eastAsia="pl-PL"/>
              </w:rPr>
              <w:t>809</w:t>
            </w:r>
          </w:p>
        </w:tc>
        <w:tc>
          <w:tcPr>
            <w:tcW w:w="960" w:type="dxa"/>
            <w:tcBorders>
              <w:top w:val="nil"/>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jc w:val="right"/>
              <w:rPr>
                <w:rFonts w:eastAsia="Times New Roman" w:cs="Calibri"/>
                <w:b/>
                <w:bCs/>
                <w:color w:val="000000"/>
                <w:lang w:eastAsia="pl-PL"/>
              </w:rPr>
            </w:pPr>
            <w:r w:rsidRPr="000F0206">
              <w:rPr>
                <w:rFonts w:eastAsia="Times New Roman" w:cs="Calibri"/>
                <w:b/>
                <w:bCs/>
                <w:color w:val="000000"/>
                <w:lang w:eastAsia="pl-PL"/>
              </w:rPr>
              <w:t>809</w:t>
            </w:r>
          </w:p>
        </w:tc>
      </w:tr>
    </w:tbl>
    <w:p w:rsidR="003E1777" w:rsidRDefault="003E1777" w:rsidP="003E1777">
      <w:pPr>
        <w:rPr>
          <w:rFonts w:ascii="Times New Roman" w:hAnsi="Times New Roman"/>
          <w:sz w:val="24"/>
          <w:szCs w:val="24"/>
        </w:rPr>
      </w:pPr>
    </w:p>
    <w:p w:rsidR="000F0206" w:rsidRDefault="00953CC0" w:rsidP="000F0206">
      <w:pPr>
        <w:rPr>
          <w:rFonts w:ascii="Times New Roman" w:hAnsi="Times New Roman"/>
          <w:sz w:val="24"/>
          <w:szCs w:val="24"/>
        </w:rPr>
      </w:pPr>
      <w:r w:rsidRPr="00F137D2">
        <w:rPr>
          <w:rFonts w:ascii="Times New Roman" w:hAnsi="Times New Roman"/>
          <w:sz w:val="24"/>
          <w:szCs w:val="24"/>
        </w:rPr>
        <w:t>Rodzaje zażaleń z podziałem na kraj pochodzenia:</w:t>
      </w:r>
    </w:p>
    <w:tbl>
      <w:tblPr>
        <w:tblW w:w="8500" w:type="dxa"/>
        <w:tblCellMar>
          <w:left w:w="70" w:type="dxa"/>
          <w:right w:w="70" w:type="dxa"/>
        </w:tblCellMar>
        <w:tblLook w:val="04A0" w:firstRow="1" w:lastRow="0" w:firstColumn="1" w:lastColumn="0" w:noHBand="0" w:noVBand="1"/>
      </w:tblPr>
      <w:tblGrid>
        <w:gridCol w:w="2163"/>
        <w:gridCol w:w="1674"/>
        <w:gridCol w:w="960"/>
        <w:gridCol w:w="960"/>
        <w:gridCol w:w="960"/>
        <w:gridCol w:w="960"/>
        <w:gridCol w:w="823"/>
      </w:tblGrid>
      <w:tr w:rsidR="000F0206" w:rsidRPr="000F0206" w:rsidTr="00EC253D">
        <w:trPr>
          <w:trHeight w:val="300"/>
        </w:trPr>
        <w:tc>
          <w:tcPr>
            <w:tcW w:w="216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zażalenie</w:t>
            </w:r>
          </w:p>
        </w:tc>
        <w:tc>
          <w:tcPr>
            <w:tcW w:w="1674"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Bezpaństwowiec</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Iran</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Rosja</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Syria</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Ukraina</w:t>
            </w:r>
          </w:p>
        </w:tc>
        <w:tc>
          <w:tcPr>
            <w:tcW w:w="823"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0F0206" w:rsidRDefault="000F0206" w:rsidP="00EC253D">
            <w:pPr>
              <w:spacing w:after="0" w:line="240" w:lineRule="auto"/>
              <w:rPr>
                <w:rFonts w:eastAsia="Times New Roman" w:cs="Calibri"/>
                <w:b/>
                <w:bCs/>
                <w:color w:val="000000"/>
                <w:lang w:eastAsia="pl-PL"/>
              </w:rPr>
            </w:pPr>
            <w:r w:rsidRPr="000F0206">
              <w:rPr>
                <w:rFonts w:eastAsia="Times New Roman" w:cs="Calibri"/>
                <w:b/>
                <w:bCs/>
                <w:color w:val="000000"/>
                <w:lang w:eastAsia="pl-PL"/>
              </w:rPr>
              <w:t xml:space="preserve">Suma </w:t>
            </w:r>
          </w:p>
        </w:tc>
      </w:tr>
      <w:tr w:rsidR="000F0206" w:rsidRPr="000F0206" w:rsidTr="00EC253D">
        <w:trPr>
          <w:trHeight w:val="300"/>
        </w:trPr>
        <w:tc>
          <w:tcPr>
            <w:tcW w:w="2163"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zażalenie na post. RdU</w:t>
            </w:r>
          </w:p>
        </w:tc>
        <w:tc>
          <w:tcPr>
            <w:tcW w:w="1674"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 </w:t>
            </w:r>
          </w:p>
        </w:tc>
        <w:tc>
          <w:tcPr>
            <w:tcW w:w="823"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EC253D">
        <w:trPr>
          <w:trHeight w:val="300"/>
        </w:trPr>
        <w:tc>
          <w:tcPr>
            <w:tcW w:w="2163"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zażalenie na post. UDSC</w:t>
            </w:r>
          </w:p>
        </w:tc>
        <w:tc>
          <w:tcPr>
            <w:tcW w:w="1674"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823"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5</w:t>
            </w:r>
          </w:p>
        </w:tc>
      </w:tr>
      <w:tr w:rsidR="000F0206" w:rsidRPr="000F0206" w:rsidTr="00EC253D">
        <w:trPr>
          <w:trHeight w:val="300"/>
        </w:trPr>
        <w:tc>
          <w:tcPr>
            <w:tcW w:w="2163" w:type="dxa"/>
            <w:tcBorders>
              <w:top w:val="nil"/>
              <w:left w:val="single" w:sz="4" w:space="0" w:color="auto"/>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Suma końcowa</w:t>
            </w:r>
          </w:p>
        </w:tc>
        <w:tc>
          <w:tcPr>
            <w:tcW w:w="1674"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b/>
                <w:bCs/>
                <w:color w:val="000000"/>
                <w:lang w:eastAsia="pl-PL"/>
              </w:rPr>
            </w:pPr>
            <w:r w:rsidRPr="000F0206">
              <w:rPr>
                <w:rFonts w:eastAsia="Times New Roman" w:cs="Calibri"/>
                <w:b/>
                <w:bCs/>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b/>
                <w:bCs/>
                <w:color w:val="000000"/>
                <w:lang w:eastAsia="pl-PL"/>
              </w:rPr>
            </w:pPr>
            <w:r w:rsidRPr="000F0206">
              <w:rPr>
                <w:rFonts w:eastAsia="Times New Roman" w:cs="Calibri"/>
                <w:b/>
                <w:bCs/>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b/>
                <w:bCs/>
                <w:color w:val="000000"/>
                <w:lang w:eastAsia="pl-PL"/>
              </w:rPr>
            </w:pPr>
            <w:r w:rsidRPr="000F0206">
              <w:rPr>
                <w:rFonts w:eastAsia="Times New Roman" w:cs="Calibri"/>
                <w:b/>
                <w:bCs/>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b/>
                <w:bCs/>
                <w:color w:val="000000"/>
                <w:lang w:eastAsia="pl-PL"/>
              </w:rPr>
            </w:pPr>
            <w:r w:rsidRPr="000F0206">
              <w:rPr>
                <w:rFonts w:eastAsia="Times New Roman" w:cs="Calibri"/>
                <w:b/>
                <w:bCs/>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b/>
                <w:bCs/>
                <w:color w:val="000000"/>
                <w:lang w:eastAsia="pl-PL"/>
              </w:rPr>
            </w:pPr>
            <w:r w:rsidRPr="000F0206">
              <w:rPr>
                <w:rFonts w:eastAsia="Times New Roman" w:cs="Calibri"/>
                <w:b/>
                <w:bCs/>
                <w:color w:val="000000"/>
                <w:lang w:eastAsia="pl-PL"/>
              </w:rPr>
              <w:t>2</w:t>
            </w:r>
          </w:p>
        </w:tc>
        <w:tc>
          <w:tcPr>
            <w:tcW w:w="823"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b/>
                <w:bCs/>
                <w:color w:val="000000"/>
                <w:lang w:eastAsia="pl-PL"/>
              </w:rPr>
            </w:pPr>
            <w:r w:rsidRPr="000F0206">
              <w:rPr>
                <w:rFonts w:eastAsia="Times New Roman" w:cs="Calibri"/>
                <w:b/>
                <w:bCs/>
                <w:color w:val="000000"/>
                <w:lang w:eastAsia="pl-PL"/>
              </w:rPr>
              <w:t>6</w:t>
            </w:r>
          </w:p>
        </w:tc>
      </w:tr>
    </w:tbl>
    <w:p w:rsidR="000F0206" w:rsidRDefault="000F0206" w:rsidP="000F0206">
      <w:pPr>
        <w:rPr>
          <w:rFonts w:ascii="Times New Roman" w:hAnsi="Times New Roman"/>
          <w:sz w:val="24"/>
          <w:szCs w:val="24"/>
        </w:rPr>
      </w:pPr>
    </w:p>
    <w:p w:rsidR="000F0206" w:rsidRDefault="000F0206" w:rsidP="000F0206">
      <w:pPr>
        <w:rPr>
          <w:rFonts w:ascii="Times New Roman" w:hAnsi="Times New Roman"/>
          <w:sz w:val="24"/>
          <w:szCs w:val="24"/>
        </w:rPr>
      </w:pPr>
      <w:r w:rsidRPr="00F137D2">
        <w:rPr>
          <w:rFonts w:ascii="Times New Roman" w:hAnsi="Times New Roman"/>
          <w:sz w:val="24"/>
          <w:szCs w:val="24"/>
        </w:rPr>
        <w:t xml:space="preserve"> </w:t>
      </w:r>
      <w:r w:rsidR="00953CC0" w:rsidRPr="00F137D2">
        <w:rPr>
          <w:rFonts w:ascii="Times New Roman" w:hAnsi="Times New Roman"/>
          <w:sz w:val="24"/>
          <w:szCs w:val="24"/>
        </w:rPr>
        <w:t>Inne wnioski z podziałem na kraj pochodzenia:</w:t>
      </w:r>
    </w:p>
    <w:tbl>
      <w:tblPr>
        <w:tblW w:w="9244" w:type="dxa"/>
        <w:tblInd w:w="-38" w:type="dxa"/>
        <w:tblLayout w:type="fixed"/>
        <w:tblCellMar>
          <w:left w:w="30" w:type="dxa"/>
          <w:right w:w="30" w:type="dxa"/>
        </w:tblCellMar>
        <w:tblLook w:val="0000" w:firstRow="0" w:lastRow="0" w:firstColumn="0" w:lastColumn="0" w:noHBand="0" w:noVBand="0"/>
      </w:tblPr>
      <w:tblGrid>
        <w:gridCol w:w="1590"/>
        <w:gridCol w:w="992"/>
        <w:gridCol w:w="709"/>
        <w:gridCol w:w="992"/>
        <w:gridCol w:w="709"/>
        <w:gridCol w:w="567"/>
        <w:gridCol w:w="708"/>
        <w:gridCol w:w="567"/>
        <w:gridCol w:w="993"/>
        <w:gridCol w:w="708"/>
        <w:gridCol w:w="709"/>
      </w:tblGrid>
      <w:tr w:rsidR="00EC253D" w:rsidTr="00A12A05">
        <w:trPr>
          <w:trHeight w:val="262"/>
        </w:trPr>
        <w:tc>
          <w:tcPr>
            <w:tcW w:w="1590"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Wnioski</w:t>
            </w:r>
          </w:p>
        </w:tc>
        <w:tc>
          <w:tcPr>
            <w:tcW w:w="992"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Afganistan</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Angola</w:t>
            </w:r>
          </w:p>
        </w:tc>
        <w:tc>
          <w:tcPr>
            <w:tcW w:w="992"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Azerbejdżan</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Białoruś</w:t>
            </w:r>
          </w:p>
        </w:tc>
        <w:tc>
          <w:tcPr>
            <w:tcW w:w="567"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Chiny</w:t>
            </w:r>
          </w:p>
        </w:tc>
        <w:tc>
          <w:tcPr>
            <w:tcW w:w="708"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Nigeria</w:t>
            </w:r>
          </w:p>
        </w:tc>
        <w:tc>
          <w:tcPr>
            <w:tcW w:w="567"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Rosja</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Tadżykistan</w:t>
            </w:r>
          </w:p>
        </w:tc>
        <w:tc>
          <w:tcPr>
            <w:tcW w:w="708"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Ukraina</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EC253D">
            <w:pPr>
              <w:autoSpaceDE w:val="0"/>
              <w:autoSpaceDN w:val="0"/>
              <w:adjustRightInd w:val="0"/>
              <w:spacing w:after="0" w:line="240" w:lineRule="auto"/>
              <w:rPr>
                <w:rFonts w:cs="Calibri"/>
                <w:b/>
                <w:bCs/>
                <w:color w:val="000000"/>
                <w:sz w:val="18"/>
                <w:szCs w:val="18"/>
              </w:rPr>
            </w:pPr>
            <w:r w:rsidRPr="00A12A05">
              <w:rPr>
                <w:rFonts w:cs="Calibri"/>
                <w:b/>
                <w:bCs/>
                <w:color w:val="000000"/>
                <w:sz w:val="18"/>
                <w:szCs w:val="18"/>
              </w:rPr>
              <w:t xml:space="preserve">Suma </w:t>
            </w:r>
          </w:p>
        </w:tc>
      </w:tr>
      <w:tr w:rsidR="00EC253D" w:rsidTr="00EC253D">
        <w:trPr>
          <w:trHeight w:val="262"/>
        </w:trPr>
        <w:tc>
          <w:tcPr>
            <w:tcW w:w="1590"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rPr>
                <w:rFonts w:cs="Calibri"/>
                <w:color w:val="000000"/>
                <w:sz w:val="18"/>
                <w:szCs w:val="18"/>
              </w:rPr>
            </w:pPr>
            <w:r w:rsidRPr="00A12A05">
              <w:rPr>
                <w:rFonts w:cs="Calibri"/>
                <w:color w:val="000000"/>
                <w:sz w:val="18"/>
                <w:szCs w:val="18"/>
              </w:rPr>
              <w:t>o ponowne rozpatrzenie sprawy</w:t>
            </w:r>
          </w:p>
        </w:tc>
        <w:tc>
          <w:tcPr>
            <w:tcW w:w="992"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jc w:val="right"/>
              <w:rPr>
                <w:rFonts w:cs="Calibri"/>
                <w:color w:val="000000"/>
              </w:rPr>
            </w:pPr>
            <w:r w:rsidRPr="00A12A05">
              <w:rPr>
                <w:rFonts w:cs="Calibri"/>
                <w:color w:val="000000"/>
              </w:rPr>
              <w:t>1</w:t>
            </w:r>
          </w:p>
        </w:tc>
        <w:tc>
          <w:tcPr>
            <w:tcW w:w="709"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jc w:val="right"/>
              <w:rPr>
                <w:rFonts w:cs="Calibri"/>
                <w:color w:val="000000"/>
              </w:rPr>
            </w:pPr>
          </w:p>
        </w:tc>
        <w:tc>
          <w:tcPr>
            <w:tcW w:w="992"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jc w:val="right"/>
              <w:rPr>
                <w:rFonts w:cs="Calibri"/>
                <w:color w:val="000000"/>
              </w:rPr>
            </w:pPr>
          </w:p>
        </w:tc>
        <w:tc>
          <w:tcPr>
            <w:tcW w:w="709"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jc w:val="right"/>
              <w:rPr>
                <w:rFonts w:cs="Calibri"/>
                <w:color w:val="000000"/>
              </w:rPr>
            </w:pPr>
          </w:p>
        </w:tc>
        <w:tc>
          <w:tcPr>
            <w:tcW w:w="567"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jc w:val="right"/>
              <w:rPr>
                <w:rFonts w:cs="Calibri"/>
                <w:color w:val="000000"/>
              </w:rPr>
            </w:pPr>
          </w:p>
        </w:tc>
        <w:tc>
          <w:tcPr>
            <w:tcW w:w="708"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jc w:val="right"/>
              <w:rPr>
                <w:rFonts w:cs="Calibri"/>
                <w:color w:val="000000"/>
              </w:rPr>
            </w:pPr>
          </w:p>
        </w:tc>
        <w:tc>
          <w:tcPr>
            <w:tcW w:w="567"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jc w:val="right"/>
              <w:rPr>
                <w:rFonts w:cs="Calibri"/>
                <w:color w:val="000000"/>
              </w:rPr>
            </w:pPr>
            <w:r w:rsidRPr="00A12A05">
              <w:rPr>
                <w:rFonts w:cs="Calibri"/>
                <w:color w:val="000000"/>
              </w:rPr>
              <w:t>1</w:t>
            </w:r>
          </w:p>
        </w:tc>
        <w:tc>
          <w:tcPr>
            <w:tcW w:w="993"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jc w:val="right"/>
              <w:rPr>
                <w:rFonts w:cs="Calibri"/>
                <w:color w:val="000000"/>
              </w:rPr>
            </w:pPr>
          </w:p>
        </w:tc>
        <w:tc>
          <w:tcPr>
            <w:tcW w:w="708"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jc w:val="right"/>
              <w:rPr>
                <w:rFonts w:cs="Calibri"/>
                <w:color w:val="000000"/>
              </w:rPr>
            </w:pPr>
          </w:p>
        </w:tc>
        <w:tc>
          <w:tcPr>
            <w:tcW w:w="709" w:type="dxa"/>
            <w:tcBorders>
              <w:top w:val="single" w:sz="6" w:space="0" w:color="auto"/>
              <w:left w:val="single" w:sz="6" w:space="0" w:color="auto"/>
              <w:bottom w:val="single" w:sz="6" w:space="0" w:color="auto"/>
              <w:right w:val="single" w:sz="6" w:space="0" w:color="auto"/>
            </w:tcBorders>
          </w:tcPr>
          <w:p w:rsidR="000F0206" w:rsidRPr="00A12A05" w:rsidRDefault="000F0206">
            <w:pPr>
              <w:autoSpaceDE w:val="0"/>
              <w:autoSpaceDN w:val="0"/>
              <w:adjustRightInd w:val="0"/>
              <w:spacing w:after="0" w:line="240" w:lineRule="auto"/>
              <w:jc w:val="right"/>
              <w:rPr>
                <w:rFonts w:cs="Calibri"/>
                <w:color w:val="000000"/>
              </w:rPr>
            </w:pPr>
            <w:r w:rsidRPr="00A12A05">
              <w:rPr>
                <w:rFonts w:cs="Calibri"/>
                <w:color w:val="000000"/>
              </w:rPr>
              <w:t>2</w:t>
            </w:r>
          </w:p>
        </w:tc>
      </w:tr>
      <w:tr w:rsidR="00EC253D" w:rsidTr="00EC253D">
        <w:trPr>
          <w:trHeight w:val="262"/>
        </w:trPr>
        <w:tc>
          <w:tcPr>
            <w:tcW w:w="1590" w:type="dxa"/>
            <w:tcBorders>
              <w:top w:val="single" w:sz="6" w:space="0" w:color="auto"/>
              <w:left w:val="single" w:sz="6" w:space="0" w:color="auto"/>
              <w:bottom w:val="single" w:sz="6" w:space="0" w:color="auto"/>
              <w:right w:val="single" w:sz="4" w:space="0" w:color="auto"/>
            </w:tcBorders>
          </w:tcPr>
          <w:p w:rsidR="00EC253D" w:rsidRPr="00A12A05" w:rsidRDefault="00EC253D">
            <w:pPr>
              <w:autoSpaceDE w:val="0"/>
              <w:autoSpaceDN w:val="0"/>
              <w:adjustRightInd w:val="0"/>
              <w:spacing w:after="0" w:line="240" w:lineRule="auto"/>
              <w:rPr>
                <w:rFonts w:cs="Calibri"/>
                <w:color w:val="000000"/>
                <w:sz w:val="18"/>
                <w:szCs w:val="18"/>
              </w:rPr>
            </w:pPr>
            <w:r w:rsidRPr="00A12A05">
              <w:rPr>
                <w:rFonts w:cs="Calibri"/>
                <w:color w:val="000000"/>
                <w:sz w:val="18"/>
                <w:szCs w:val="18"/>
              </w:rPr>
              <w:t>o wstrzymanie</w:t>
            </w:r>
          </w:p>
          <w:p w:rsidR="00EC253D" w:rsidRPr="00A12A05" w:rsidRDefault="00EC253D">
            <w:pPr>
              <w:autoSpaceDE w:val="0"/>
              <w:autoSpaceDN w:val="0"/>
              <w:adjustRightInd w:val="0"/>
              <w:spacing w:after="0" w:line="240" w:lineRule="auto"/>
              <w:rPr>
                <w:rFonts w:cs="Calibri"/>
                <w:color w:val="000000"/>
                <w:sz w:val="18"/>
                <w:szCs w:val="18"/>
              </w:rPr>
            </w:pPr>
            <w:r w:rsidRPr="00A12A05">
              <w:rPr>
                <w:rFonts w:cs="Calibri"/>
                <w:color w:val="000000"/>
                <w:sz w:val="18"/>
                <w:szCs w:val="18"/>
              </w:rPr>
              <w:t>wykonania decyzji</w:t>
            </w:r>
          </w:p>
          <w:p w:rsidR="00EC253D" w:rsidRPr="00A12A05" w:rsidRDefault="00EC253D">
            <w:pPr>
              <w:autoSpaceDE w:val="0"/>
              <w:autoSpaceDN w:val="0"/>
              <w:adjustRightInd w:val="0"/>
              <w:spacing w:after="0" w:line="240" w:lineRule="auto"/>
              <w:rPr>
                <w:rFonts w:cs="Calibri"/>
                <w:color w:val="000000"/>
                <w:sz w:val="18"/>
                <w:szCs w:val="18"/>
              </w:rPr>
            </w:pPr>
            <w:r w:rsidRPr="00A12A05">
              <w:rPr>
                <w:rFonts w:cs="Calibri"/>
                <w:color w:val="000000"/>
                <w:sz w:val="18"/>
                <w:szCs w:val="18"/>
              </w:rPr>
              <w:t>do RDU</w:t>
            </w:r>
          </w:p>
        </w:tc>
        <w:tc>
          <w:tcPr>
            <w:tcW w:w="992" w:type="dxa"/>
            <w:tcBorders>
              <w:top w:val="single" w:sz="6" w:space="0" w:color="auto"/>
              <w:left w:val="single" w:sz="4" w:space="0" w:color="auto"/>
              <w:bottom w:val="single" w:sz="6" w:space="0" w:color="auto"/>
              <w:right w:val="single" w:sz="6" w:space="0" w:color="auto"/>
            </w:tcBorders>
          </w:tcPr>
          <w:p w:rsidR="00EC253D" w:rsidRPr="00A12A05" w:rsidRDefault="00EC253D">
            <w:pPr>
              <w:spacing w:line="259" w:lineRule="auto"/>
              <w:rPr>
                <w:rFonts w:cs="Calibri"/>
                <w:color w:val="000000"/>
                <w:sz w:val="18"/>
                <w:szCs w:val="18"/>
              </w:rPr>
            </w:pPr>
          </w:p>
          <w:p w:rsidR="00EC253D" w:rsidRPr="00A12A05" w:rsidRDefault="00EC253D">
            <w:pPr>
              <w:autoSpaceDE w:val="0"/>
              <w:autoSpaceDN w:val="0"/>
              <w:adjustRightInd w:val="0"/>
              <w:spacing w:after="0" w:line="240" w:lineRule="auto"/>
              <w:rPr>
                <w:rFonts w:cs="Calibri"/>
                <w:color w:val="000000"/>
                <w:sz w:val="18"/>
                <w:szCs w:val="18"/>
              </w:rPr>
            </w:pPr>
          </w:p>
        </w:tc>
        <w:tc>
          <w:tcPr>
            <w:tcW w:w="709"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1</w:t>
            </w:r>
          </w:p>
        </w:tc>
        <w:tc>
          <w:tcPr>
            <w:tcW w:w="992"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1</w:t>
            </w:r>
          </w:p>
        </w:tc>
        <w:tc>
          <w:tcPr>
            <w:tcW w:w="709"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p>
        </w:tc>
        <w:tc>
          <w:tcPr>
            <w:tcW w:w="567"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1</w:t>
            </w:r>
          </w:p>
        </w:tc>
        <w:tc>
          <w:tcPr>
            <w:tcW w:w="708"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2</w:t>
            </w:r>
          </w:p>
        </w:tc>
        <w:tc>
          <w:tcPr>
            <w:tcW w:w="567"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16</w:t>
            </w:r>
          </w:p>
        </w:tc>
        <w:tc>
          <w:tcPr>
            <w:tcW w:w="993"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3</w:t>
            </w:r>
          </w:p>
        </w:tc>
        <w:tc>
          <w:tcPr>
            <w:tcW w:w="708"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12</w:t>
            </w:r>
          </w:p>
        </w:tc>
        <w:tc>
          <w:tcPr>
            <w:tcW w:w="709"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36</w:t>
            </w:r>
          </w:p>
        </w:tc>
      </w:tr>
      <w:tr w:rsidR="00EC253D" w:rsidTr="00EC253D">
        <w:trPr>
          <w:trHeight w:val="262"/>
        </w:trPr>
        <w:tc>
          <w:tcPr>
            <w:tcW w:w="1590" w:type="dxa"/>
            <w:tcBorders>
              <w:top w:val="single" w:sz="6" w:space="0" w:color="auto"/>
              <w:left w:val="single" w:sz="6" w:space="0" w:color="auto"/>
              <w:bottom w:val="single" w:sz="6" w:space="0" w:color="auto"/>
              <w:right w:val="single" w:sz="4" w:space="0" w:color="auto"/>
            </w:tcBorders>
          </w:tcPr>
          <w:p w:rsidR="00EC253D" w:rsidRPr="00A12A05" w:rsidRDefault="00EC253D">
            <w:pPr>
              <w:autoSpaceDE w:val="0"/>
              <w:autoSpaceDN w:val="0"/>
              <w:adjustRightInd w:val="0"/>
              <w:spacing w:after="0" w:line="240" w:lineRule="auto"/>
              <w:rPr>
                <w:rFonts w:cs="Calibri"/>
                <w:color w:val="000000"/>
                <w:sz w:val="18"/>
                <w:szCs w:val="18"/>
              </w:rPr>
            </w:pPr>
            <w:r w:rsidRPr="00A12A05">
              <w:rPr>
                <w:rFonts w:cs="Calibri"/>
                <w:color w:val="000000"/>
                <w:sz w:val="18"/>
                <w:szCs w:val="18"/>
              </w:rPr>
              <w:t>o wznowienie</w:t>
            </w:r>
          </w:p>
          <w:p w:rsidR="00EC253D" w:rsidRPr="00A12A05" w:rsidRDefault="00EC253D">
            <w:pPr>
              <w:autoSpaceDE w:val="0"/>
              <w:autoSpaceDN w:val="0"/>
              <w:adjustRightInd w:val="0"/>
              <w:spacing w:after="0" w:line="240" w:lineRule="auto"/>
              <w:rPr>
                <w:rFonts w:cs="Calibri"/>
                <w:color w:val="000000"/>
                <w:sz w:val="18"/>
                <w:szCs w:val="18"/>
              </w:rPr>
            </w:pPr>
            <w:r w:rsidRPr="00A12A05">
              <w:rPr>
                <w:rFonts w:cs="Calibri"/>
                <w:color w:val="000000"/>
                <w:sz w:val="18"/>
                <w:szCs w:val="18"/>
              </w:rPr>
              <w:t>postępowania</w:t>
            </w:r>
          </w:p>
        </w:tc>
        <w:tc>
          <w:tcPr>
            <w:tcW w:w="992" w:type="dxa"/>
            <w:tcBorders>
              <w:top w:val="single" w:sz="6" w:space="0" w:color="auto"/>
              <w:left w:val="single" w:sz="4" w:space="0" w:color="auto"/>
              <w:bottom w:val="single" w:sz="6" w:space="0" w:color="auto"/>
              <w:right w:val="single" w:sz="4" w:space="0" w:color="auto"/>
            </w:tcBorders>
          </w:tcPr>
          <w:p w:rsidR="00EC253D" w:rsidRPr="00A12A05" w:rsidRDefault="00EC253D">
            <w:pPr>
              <w:spacing w:line="259" w:lineRule="auto"/>
              <w:rPr>
                <w:rFonts w:cs="Calibri"/>
                <w:color w:val="000000"/>
                <w:sz w:val="18"/>
                <w:szCs w:val="18"/>
              </w:rPr>
            </w:pPr>
          </w:p>
          <w:p w:rsidR="00EC253D" w:rsidRPr="00A12A05" w:rsidRDefault="00EC253D">
            <w:pPr>
              <w:autoSpaceDE w:val="0"/>
              <w:autoSpaceDN w:val="0"/>
              <w:adjustRightInd w:val="0"/>
              <w:spacing w:after="0" w:line="240" w:lineRule="auto"/>
              <w:rPr>
                <w:rFonts w:cs="Calibri"/>
                <w:color w:val="000000"/>
                <w:sz w:val="18"/>
                <w:szCs w:val="18"/>
              </w:rPr>
            </w:pPr>
          </w:p>
        </w:tc>
        <w:tc>
          <w:tcPr>
            <w:tcW w:w="709" w:type="dxa"/>
            <w:tcBorders>
              <w:top w:val="single" w:sz="6" w:space="0" w:color="auto"/>
              <w:left w:val="single" w:sz="4" w:space="0" w:color="auto"/>
              <w:bottom w:val="single" w:sz="6" w:space="0" w:color="auto"/>
              <w:right w:val="single" w:sz="4" w:space="0" w:color="auto"/>
            </w:tcBorders>
          </w:tcPr>
          <w:p w:rsidR="00EC253D" w:rsidRPr="00A12A05" w:rsidRDefault="00EC253D">
            <w:pPr>
              <w:spacing w:line="259" w:lineRule="auto"/>
              <w:rPr>
                <w:rFonts w:cs="Calibri"/>
                <w:color w:val="000000"/>
                <w:sz w:val="18"/>
                <w:szCs w:val="18"/>
              </w:rPr>
            </w:pPr>
          </w:p>
          <w:p w:rsidR="00EC253D" w:rsidRPr="00A12A05" w:rsidRDefault="00EC253D">
            <w:pPr>
              <w:autoSpaceDE w:val="0"/>
              <w:autoSpaceDN w:val="0"/>
              <w:adjustRightInd w:val="0"/>
              <w:spacing w:after="0" w:line="240" w:lineRule="auto"/>
              <w:rPr>
                <w:rFonts w:cs="Calibri"/>
                <w:color w:val="000000"/>
                <w:sz w:val="18"/>
                <w:szCs w:val="18"/>
              </w:rPr>
            </w:pPr>
          </w:p>
        </w:tc>
        <w:tc>
          <w:tcPr>
            <w:tcW w:w="992" w:type="dxa"/>
            <w:tcBorders>
              <w:top w:val="single" w:sz="6" w:space="0" w:color="auto"/>
              <w:left w:val="single" w:sz="4" w:space="0" w:color="auto"/>
              <w:bottom w:val="single" w:sz="6" w:space="0" w:color="auto"/>
              <w:right w:val="single" w:sz="6" w:space="0" w:color="auto"/>
            </w:tcBorders>
          </w:tcPr>
          <w:p w:rsidR="00EC253D" w:rsidRPr="00A12A05" w:rsidRDefault="00EC253D" w:rsidP="00EC253D">
            <w:pPr>
              <w:autoSpaceDE w:val="0"/>
              <w:autoSpaceDN w:val="0"/>
              <w:adjustRightInd w:val="0"/>
              <w:spacing w:after="0" w:line="240" w:lineRule="auto"/>
              <w:rPr>
                <w:rFonts w:cs="Calibri"/>
                <w:color w:val="000000"/>
                <w:sz w:val="18"/>
                <w:szCs w:val="18"/>
              </w:rPr>
            </w:pPr>
          </w:p>
        </w:tc>
        <w:tc>
          <w:tcPr>
            <w:tcW w:w="709"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2</w:t>
            </w:r>
          </w:p>
        </w:tc>
        <w:tc>
          <w:tcPr>
            <w:tcW w:w="567"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p>
        </w:tc>
        <w:tc>
          <w:tcPr>
            <w:tcW w:w="708"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p>
        </w:tc>
        <w:tc>
          <w:tcPr>
            <w:tcW w:w="567"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3</w:t>
            </w:r>
          </w:p>
        </w:tc>
        <w:tc>
          <w:tcPr>
            <w:tcW w:w="993"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p>
        </w:tc>
        <w:tc>
          <w:tcPr>
            <w:tcW w:w="708"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p>
        </w:tc>
        <w:tc>
          <w:tcPr>
            <w:tcW w:w="709"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5</w:t>
            </w:r>
          </w:p>
        </w:tc>
      </w:tr>
      <w:tr w:rsidR="00EC253D" w:rsidTr="00EC253D">
        <w:trPr>
          <w:trHeight w:val="262"/>
        </w:trPr>
        <w:tc>
          <w:tcPr>
            <w:tcW w:w="1590" w:type="dxa"/>
            <w:tcBorders>
              <w:top w:val="single" w:sz="6" w:space="0" w:color="auto"/>
              <w:left w:val="single" w:sz="6" w:space="0" w:color="auto"/>
              <w:bottom w:val="single" w:sz="6" w:space="0" w:color="auto"/>
              <w:right w:val="single" w:sz="4" w:space="0" w:color="auto"/>
            </w:tcBorders>
          </w:tcPr>
          <w:p w:rsidR="00EC253D" w:rsidRPr="00A12A05" w:rsidRDefault="00EC253D">
            <w:pPr>
              <w:autoSpaceDE w:val="0"/>
              <w:autoSpaceDN w:val="0"/>
              <w:adjustRightInd w:val="0"/>
              <w:spacing w:after="0" w:line="240" w:lineRule="auto"/>
              <w:rPr>
                <w:rFonts w:cs="Calibri"/>
                <w:color w:val="000000"/>
                <w:sz w:val="18"/>
                <w:szCs w:val="18"/>
              </w:rPr>
            </w:pPr>
            <w:r w:rsidRPr="00A12A05">
              <w:rPr>
                <w:rFonts w:cs="Calibri"/>
                <w:color w:val="000000"/>
                <w:sz w:val="18"/>
                <w:szCs w:val="18"/>
              </w:rPr>
              <w:t>o zawieszenie</w:t>
            </w:r>
          </w:p>
          <w:p w:rsidR="00EC253D" w:rsidRPr="00A12A05" w:rsidRDefault="00EC253D">
            <w:pPr>
              <w:autoSpaceDE w:val="0"/>
              <w:autoSpaceDN w:val="0"/>
              <w:adjustRightInd w:val="0"/>
              <w:spacing w:after="0" w:line="240" w:lineRule="auto"/>
              <w:rPr>
                <w:rFonts w:cs="Calibri"/>
                <w:color w:val="000000"/>
                <w:sz w:val="18"/>
                <w:szCs w:val="18"/>
              </w:rPr>
            </w:pPr>
            <w:r w:rsidRPr="00A12A05">
              <w:rPr>
                <w:rFonts w:cs="Calibri"/>
                <w:color w:val="000000"/>
                <w:sz w:val="18"/>
                <w:szCs w:val="18"/>
              </w:rPr>
              <w:t>postępowania</w:t>
            </w:r>
          </w:p>
        </w:tc>
        <w:tc>
          <w:tcPr>
            <w:tcW w:w="992" w:type="dxa"/>
            <w:tcBorders>
              <w:top w:val="single" w:sz="6" w:space="0" w:color="auto"/>
              <w:left w:val="single" w:sz="4" w:space="0" w:color="auto"/>
              <w:bottom w:val="single" w:sz="6" w:space="0" w:color="auto"/>
              <w:right w:val="single" w:sz="4" w:space="0" w:color="auto"/>
            </w:tcBorders>
          </w:tcPr>
          <w:p w:rsidR="00EC253D" w:rsidRPr="00A12A05" w:rsidRDefault="00EC253D">
            <w:pPr>
              <w:spacing w:line="259" w:lineRule="auto"/>
              <w:rPr>
                <w:rFonts w:cs="Calibri"/>
                <w:color w:val="000000"/>
                <w:sz w:val="18"/>
                <w:szCs w:val="18"/>
              </w:rPr>
            </w:pPr>
          </w:p>
          <w:p w:rsidR="00EC253D" w:rsidRPr="00A12A05" w:rsidRDefault="00EC253D">
            <w:pPr>
              <w:autoSpaceDE w:val="0"/>
              <w:autoSpaceDN w:val="0"/>
              <w:adjustRightInd w:val="0"/>
              <w:spacing w:after="0" w:line="240" w:lineRule="auto"/>
              <w:rPr>
                <w:rFonts w:cs="Calibri"/>
                <w:color w:val="000000"/>
                <w:sz w:val="18"/>
                <w:szCs w:val="18"/>
              </w:rPr>
            </w:pPr>
          </w:p>
        </w:tc>
        <w:tc>
          <w:tcPr>
            <w:tcW w:w="709" w:type="dxa"/>
            <w:tcBorders>
              <w:top w:val="single" w:sz="6" w:space="0" w:color="auto"/>
              <w:left w:val="single" w:sz="4" w:space="0" w:color="auto"/>
              <w:bottom w:val="single" w:sz="6" w:space="0" w:color="auto"/>
              <w:right w:val="single" w:sz="4" w:space="0" w:color="auto"/>
            </w:tcBorders>
          </w:tcPr>
          <w:p w:rsidR="00EC253D" w:rsidRPr="00A12A05" w:rsidRDefault="00EC253D">
            <w:pPr>
              <w:spacing w:line="259" w:lineRule="auto"/>
              <w:rPr>
                <w:rFonts w:cs="Calibri"/>
                <w:color w:val="000000"/>
                <w:sz w:val="18"/>
                <w:szCs w:val="18"/>
              </w:rPr>
            </w:pPr>
          </w:p>
          <w:p w:rsidR="00EC253D" w:rsidRPr="00A12A05" w:rsidRDefault="00EC253D">
            <w:pPr>
              <w:autoSpaceDE w:val="0"/>
              <w:autoSpaceDN w:val="0"/>
              <w:adjustRightInd w:val="0"/>
              <w:spacing w:after="0" w:line="240" w:lineRule="auto"/>
              <w:rPr>
                <w:rFonts w:cs="Calibri"/>
                <w:color w:val="000000"/>
                <w:sz w:val="18"/>
                <w:szCs w:val="18"/>
              </w:rPr>
            </w:pPr>
          </w:p>
        </w:tc>
        <w:tc>
          <w:tcPr>
            <w:tcW w:w="992" w:type="dxa"/>
            <w:tcBorders>
              <w:top w:val="single" w:sz="6" w:space="0" w:color="auto"/>
              <w:left w:val="single" w:sz="4" w:space="0" w:color="auto"/>
              <w:bottom w:val="single" w:sz="6" w:space="0" w:color="auto"/>
              <w:right w:val="single" w:sz="6" w:space="0" w:color="auto"/>
            </w:tcBorders>
          </w:tcPr>
          <w:p w:rsidR="00EC253D" w:rsidRPr="00A12A05" w:rsidRDefault="00EC253D" w:rsidP="00EC253D">
            <w:pPr>
              <w:autoSpaceDE w:val="0"/>
              <w:autoSpaceDN w:val="0"/>
              <w:adjustRightInd w:val="0"/>
              <w:spacing w:after="0" w:line="240" w:lineRule="auto"/>
              <w:rPr>
                <w:rFonts w:cs="Calibri"/>
                <w:color w:val="000000"/>
                <w:sz w:val="18"/>
                <w:szCs w:val="18"/>
              </w:rPr>
            </w:pPr>
          </w:p>
        </w:tc>
        <w:tc>
          <w:tcPr>
            <w:tcW w:w="709"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p>
        </w:tc>
        <w:tc>
          <w:tcPr>
            <w:tcW w:w="567"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p>
        </w:tc>
        <w:tc>
          <w:tcPr>
            <w:tcW w:w="708"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p>
        </w:tc>
        <w:tc>
          <w:tcPr>
            <w:tcW w:w="567"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1</w:t>
            </w:r>
          </w:p>
        </w:tc>
        <w:tc>
          <w:tcPr>
            <w:tcW w:w="993"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p>
        </w:tc>
        <w:tc>
          <w:tcPr>
            <w:tcW w:w="708"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p>
        </w:tc>
        <w:tc>
          <w:tcPr>
            <w:tcW w:w="709" w:type="dxa"/>
            <w:tcBorders>
              <w:top w:val="single" w:sz="6" w:space="0" w:color="auto"/>
              <w:left w:val="single" w:sz="6" w:space="0" w:color="auto"/>
              <w:bottom w:val="single" w:sz="6" w:space="0" w:color="auto"/>
              <w:right w:val="single" w:sz="6" w:space="0" w:color="auto"/>
            </w:tcBorders>
          </w:tcPr>
          <w:p w:rsidR="00EC253D" w:rsidRPr="00A12A05" w:rsidRDefault="00EC253D">
            <w:pPr>
              <w:autoSpaceDE w:val="0"/>
              <w:autoSpaceDN w:val="0"/>
              <w:adjustRightInd w:val="0"/>
              <w:spacing w:after="0" w:line="240" w:lineRule="auto"/>
              <w:jc w:val="right"/>
              <w:rPr>
                <w:rFonts w:cs="Calibri"/>
                <w:color w:val="000000"/>
              </w:rPr>
            </w:pPr>
            <w:r w:rsidRPr="00A12A05">
              <w:rPr>
                <w:rFonts w:cs="Calibri"/>
                <w:color w:val="000000"/>
              </w:rPr>
              <w:t>1</w:t>
            </w:r>
          </w:p>
        </w:tc>
      </w:tr>
      <w:tr w:rsidR="00EC253D" w:rsidTr="00A12A05">
        <w:trPr>
          <w:trHeight w:val="262"/>
        </w:trPr>
        <w:tc>
          <w:tcPr>
            <w:tcW w:w="1590"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rPr>
                <w:rFonts w:cs="Calibri"/>
                <w:b/>
                <w:bCs/>
                <w:color w:val="000000"/>
              </w:rPr>
            </w:pPr>
            <w:r w:rsidRPr="00A12A05">
              <w:rPr>
                <w:rFonts w:cs="Calibri"/>
                <w:b/>
                <w:bCs/>
                <w:color w:val="000000"/>
              </w:rPr>
              <w:t>Suma końcowa</w:t>
            </w:r>
          </w:p>
        </w:tc>
        <w:tc>
          <w:tcPr>
            <w:tcW w:w="992"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jc w:val="right"/>
              <w:rPr>
                <w:rFonts w:cs="Calibri"/>
                <w:b/>
                <w:bCs/>
                <w:color w:val="000000"/>
              </w:rPr>
            </w:pPr>
            <w:r w:rsidRPr="00A12A05">
              <w:rPr>
                <w:rFonts w:cs="Calibri"/>
                <w:b/>
                <w:bCs/>
                <w:color w:val="000000"/>
              </w:rPr>
              <w:t>1</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jc w:val="right"/>
              <w:rPr>
                <w:rFonts w:cs="Calibri"/>
                <w:b/>
                <w:bCs/>
                <w:color w:val="000000"/>
              </w:rPr>
            </w:pPr>
            <w:r w:rsidRPr="00A12A05">
              <w:rPr>
                <w:rFonts w:cs="Calibri"/>
                <w:b/>
                <w:bCs/>
                <w:color w:val="000000"/>
              </w:rPr>
              <w:t>1</w:t>
            </w:r>
          </w:p>
        </w:tc>
        <w:tc>
          <w:tcPr>
            <w:tcW w:w="992"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jc w:val="right"/>
              <w:rPr>
                <w:rFonts w:cs="Calibri"/>
                <w:b/>
                <w:bCs/>
                <w:color w:val="000000"/>
              </w:rPr>
            </w:pPr>
            <w:r w:rsidRPr="00A12A05">
              <w:rPr>
                <w:rFonts w:cs="Calibri"/>
                <w:b/>
                <w:bCs/>
                <w:color w:val="000000"/>
              </w:rPr>
              <w:t>1</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jc w:val="right"/>
              <w:rPr>
                <w:rFonts w:cs="Calibri"/>
                <w:b/>
                <w:bCs/>
                <w:color w:val="000000"/>
              </w:rPr>
            </w:pPr>
            <w:r w:rsidRPr="00A12A05">
              <w:rPr>
                <w:rFonts w:cs="Calibri"/>
                <w:b/>
                <w:bCs/>
                <w:color w:val="000000"/>
              </w:rPr>
              <w:t>2</w:t>
            </w:r>
          </w:p>
        </w:tc>
        <w:tc>
          <w:tcPr>
            <w:tcW w:w="567"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jc w:val="right"/>
              <w:rPr>
                <w:rFonts w:cs="Calibri"/>
                <w:b/>
                <w:bCs/>
                <w:color w:val="000000"/>
              </w:rPr>
            </w:pPr>
            <w:r w:rsidRPr="00A12A05">
              <w:rPr>
                <w:rFonts w:cs="Calibri"/>
                <w:b/>
                <w:bCs/>
                <w:color w:val="000000"/>
              </w:rPr>
              <w:t>1</w:t>
            </w:r>
          </w:p>
        </w:tc>
        <w:tc>
          <w:tcPr>
            <w:tcW w:w="708"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jc w:val="right"/>
              <w:rPr>
                <w:rFonts w:cs="Calibri"/>
                <w:b/>
                <w:bCs/>
                <w:color w:val="000000"/>
              </w:rPr>
            </w:pPr>
            <w:r w:rsidRPr="00A12A05">
              <w:rPr>
                <w:rFonts w:cs="Calibri"/>
                <w:b/>
                <w:bCs/>
                <w:color w:val="000000"/>
              </w:rPr>
              <w:t>2</w:t>
            </w:r>
          </w:p>
        </w:tc>
        <w:tc>
          <w:tcPr>
            <w:tcW w:w="567"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jc w:val="right"/>
              <w:rPr>
                <w:rFonts w:cs="Calibri"/>
                <w:b/>
                <w:bCs/>
                <w:color w:val="000000"/>
              </w:rPr>
            </w:pPr>
            <w:r w:rsidRPr="00A12A05">
              <w:rPr>
                <w:rFonts w:cs="Calibri"/>
                <w:b/>
                <w:bCs/>
                <w:color w:val="000000"/>
              </w:rPr>
              <w:t>21</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jc w:val="right"/>
              <w:rPr>
                <w:rFonts w:cs="Calibri"/>
                <w:b/>
                <w:bCs/>
                <w:color w:val="000000"/>
              </w:rPr>
            </w:pPr>
            <w:r w:rsidRPr="00A12A05">
              <w:rPr>
                <w:rFonts w:cs="Calibri"/>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jc w:val="right"/>
              <w:rPr>
                <w:rFonts w:cs="Calibri"/>
                <w:b/>
                <w:bCs/>
                <w:color w:val="000000"/>
              </w:rPr>
            </w:pPr>
            <w:r w:rsidRPr="00A12A05">
              <w:rPr>
                <w:rFonts w:cs="Calibri"/>
                <w:b/>
                <w:bCs/>
                <w:color w:val="000000"/>
              </w:rPr>
              <w:t>12</w:t>
            </w:r>
          </w:p>
        </w:tc>
        <w:tc>
          <w:tcPr>
            <w:tcW w:w="709" w:type="dxa"/>
            <w:tcBorders>
              <w:top w:val="single" w:sz="6" w:space="0" w:color="auto"/>
              <w:left w:val="single" w:sz="6" w:space="0" w:color="auto"/>
              <w:bottom w:val="single" w:sz="6" w:space="0" w:color="auto"/>
              <w:right w:val="single" w:sz="6" w:space="0" w:color="auto"/>
            </w:tcBorders>
            <w:shd w:val="clear" w:color="auto" w:fill="DEEAF6"/>
          </w:tcPr>
          <w:p w:rsidR="000F0206" w:rsidRPr="00A12A05" w:rsidRDefault="000F0206" w:rsidP="00652788">
            <w:pPr>
              <w:autoSpaceDE w:val="0"/>
              <w:autoSpaceDN w:val="0"/>
              <w:adjustRightInd w:val="0"/>
              <w:spacing w:before="480" w:after="0" w:line="240" w:lineRule="auto"/>
              <w:jc w:val="right"/>
              <w:rPr>
                <w:rFonts w:cs="Calibri"/>
                <w:b/>
                <w:bCs/>
                <w:color w:val="000000"/>
              </w:rPr>
            </w:pPr>
            <w:r w:rsidRPr="00A12A05">
              <w:rPr>
                <w:rFonts w:cs="Calibri"/>
                <w:b/>
                <w:bCs/>
                <w:color w:val="000000"/>
              </w:rPr>
              <w:t>44</w:t>
            </w:r>
          </w:p>
        </w:tc>
      </w:tr>
    </w:tbl>
    <w:p w:rsidR="000F0206" w:rsidRDefault="00367AE2" w:rsidP="00652788">
      <w:pPr>
        <w:spacing w:before="4200" w:after="480"/>
        <w:rPr>
          <w:rFonts w:ascii="Times New Roman" w:hAnsi="Times New Roman"/>
          <w:sz w:val="24"/>
          <w:szCs w:val="24"/>
        </w:rPr>
      </w:pPr>
      <w:r>
        <w:rPr>
          <w:rFonts w:ascii="Times New Roman" w:hAnsi="Times New Roman"/>
          <w:sz w:val="24"/>
          <w:szCs w:val="24"/>
        </w:rPr>
        <w:lastRenderedPageBreak/>
        <w:t>Rodzaje orzeczeń Rady z podziałem na kraje pochodzenia:</w:t>
      </w:r>
    </w:p>
    <w:p w:rsidR="000F0206" w:rsidRDefault="005A5903" w:rsidP="00652788">
      <w:pPr>
        <w:spacing w:after="100" w:afterAutospacing="1"/>
        <w:rPr>
          <w:rFonts w:ascii="Times New Roman" w:hAnsi="Times New Roman"/>
          <w:sz w:val="24"/>
          <w:szCs w:val="24"/>
        </w:rPr>
      </w:pPr>
      <w:r>
        <w:rPr>
          <w:noProof/>
          <w:lang w:eastAsia="pl-PL"/>
        </w:rPr>
        <w:drawing>
          <wp:inline distT="0" distB="0" distL="0" distR="0">
            <wp:extent cx="6105525" cy="80105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8010525"/>
                    </a:xfrm>
                    <a:prstGeom prst="rect">
                      <a:avLst/>
                    </a:prstGeom>
                    <a:noFill/>
                    <a:ln>
                      <a:noFill/>
                    </a:ln>
                  </pic:spPr>
                </pic:pic>
              </a:graphicData>
            </a:graphic>
          </wp:inline>
        </w:drawing>
      </w:r>
    </w:p>
    <w:p w:rsidR="000F0206" w:rsidRDefault="00953CC0" w:rsidP="00652788">
      <w:pPr>
        <w:spacing w:before="480"/>
        <w:rPr>
          <w:rFonts w:ascii="Times New Roman" w:hAnsi="Times New Roman"/>
          <w:sz w:val="24"/>
          <w:szCs w:val="24"/>
        </w:rPr>
      </w:pPr>
      <w:r w:rsidRPr="00F137D2">
        <w:rPr>
          <w:rFonts w:ascii="Times New Roman" w:hAnsi="Times New Roman"/>
          <w:sz w:val="24"/>
          <w:szCs w:val="24"/>
        </w:rPr>
        <w:lastRenderedPageBreak/>
        <w:t>Rodzaje skargi z podziałem na kraj pochodzenia:</w:t>
      </w:r>
    </w:p>
    <w:tbl>
      <w:tblPr>
        <w:tblW w:w="3335" w:type="dxa"/>
        <w:tblCellMar>
          <w:left w:w="70" w:type="dxa"/>
          <w:right w:w="70" w:type="dxa"/>
        </w:tblCellMar>
        <w:tblLook w:val="04A0" w:firstRow="1" w:lastRow="0" w:firstColumn="1" w:lastColumn="0" w:noHBand="0" w:noVBand="1"/>
      </w:tblPr>
      <w:tblGrid>
        <w:gridCol w:w="1415"/>
        <w:gridCol w:w="960"/>
        <w:gridCol w:w="965"/>
      </w:tblGrid>
      <w:tr w:rsidR="000F0206" w:rsidRPr="000F0206" w:rsidTr="000F0206">
        <w:trPr>
          <w:trHeight w:val="300"/>
        </w:trPr>
        <w:tc>
          <w:tcPr>
            <w:tcW w:w="1415"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jc w:val="center"/>
              <w:rPr>
                <w:rFonts w:eastAsia="Times New Roman" w:cs="Calibri"/>
                <w:b/>
                <w:bCs/>
                <w:color w:val="000000"/>
                <w:lang w:eastAsia="pl-PL"/>
              </w:rPr>
            </w:pPr>
            <w:r w:rsidRPr="000F0206">
              <w:rPr>
                <w:rFonts w:eastAsia="Times New Roman" w:cs="Calibri"/>
                <w:b/>
                <w:bCs/>
                <w:color w:val="000000"/>
                <w:lang w:eastAsia="pl-PL"/>
              </w:rPr>
              <w:t>Kraj pochodzenia</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jc w:val="center"/>
              <w:rPr>
                <w:rFonts w:eastAsia="Times New Roman" w:cs="Calibri"/>
                <w:b/>
                <w:bCs/>
                <w:color w:val="000000"/>
                <w:lang w:eastAsia="pl-PL"/>
              </w:rPr>
            </w:pPr>
            <w:r w:rsidRPr="000F0206">
              <w:rPr>
                <w:rFonts w:eastAsia="Times New Roman" w:cs="Calibri"/>
                <w:b/>
                <w:bCs/>
                <w:color w:val="000000"/>
                <w:lang w:eastAsia="pl-PL"/>
              </w:rPr>
              <w:t>wpływ skargi</w:t>
            </w:r>
          </w:p>
        </w:tc>
        <w:tc>
          <w:tcPr>
            <w:tcW w:w="960" w:type="dxa"/>
            <w:tcBorders>
              <w:top w:val="single" w:sz="4" w:space="0" w:color="auto"/>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jc w:val="center"/>
              <w:rPr>
                <w:rFonts w:eastAsia="Times New Roman" w:cs="Calibri"/>
                <w:b/>
                <w:bCs/>
                <w:color w:val="000000"/>
                <w:lang w:eastAsia="pl-PL"/>
              </w:rPr>
            </w:pPr>
            <w:r w:rsidRPr="000F0206">
              <w:rPr>
                <w:rFonts w:eastAsia="Times New Roman" w:cs="Calibri"/>
                <w:b/>
                <w:bCs/>
                <w:color w:val="000000"/>
                <w:lang w:eastAsia="pl-PL"/>
              </w:rPr>
              <w:t>Suma końcowa</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Algieria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Angola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Armenia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Azerbejdżan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5</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Bangladesz</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Białoruś</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7</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7</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Bułgaria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Burkina Faso</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Chiny</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Egipt</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Etiopia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Gambia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Ghana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Gruzja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5</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Gwinea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Indie</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6</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6</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Irak</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5</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Iran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Jordania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Kazachstan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Kirgistan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8</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8</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Kuba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Mołdawia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Nigeria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Pakistan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Rosja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167</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167</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Szwecja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Tadżykistan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15</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15</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Tunezja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2</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Turcja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4</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Turkmenistan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Uganda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Ukraina</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62</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62</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Uzbekistan</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1</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Wietnam</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jc w:val="right"/>
              <w:rPr>
                <w:rFonts w:eastAsia="Times New Roman" w:cs="Calibri"/>
                <w:color w:val="000000"/>
                <w:lang w:eastAsia="pl-PL"/>
              </w:rPr>
            </w:pPr>
            <w:r w:rsidRPr="000F0206">
              <w:rPr>
                <w:rFonts w:eastAsia="Times New Roman" w:cs="Calibri"/>
                <w:color w:val="000000"/>
                <w:lang w:eastAsia="pl-PL"/>
              </w:rPr>
              <w:t>3</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(puste)</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 </w:t>
            </w:r>
          </w:p>
        </w:tc>
        <w:tc>
          <w:tcPr>
            <w:tcW w:w="960" w:type="dxa"/>
            <w:tcBorders>
              <w:top w:val="nil"/>
              <w:left w:val="nil"/>
              <w:bottom w:val="single" w:sz="4" w:space="0" w:color="auto"/>
              <w:right w:val="single" w:sz="4" w:space="0" w:color="auto"/>
            </w:tcBorders>
            <w:shd w:val="clear" w:color="auto" w:fill="auto"/>
            <w:noWrap/>
            <w:vAlign w:val="bottom"/>
            <w:hideMark/>
          </w:tcPr>
          <w:p w:rsidR="000F0206" w:rsidRPr="000F0206" w:rsidRDefault="000F0206" w:rsidP="000F0206">
            <w:pPr>
              <w:spacing w:after="0" w:line="240" w:lineRule="auto"/>
              <w:rPr>
                <w:rFonts w:eastAsia="Times New Roman" w:cs="Calibri"/>
                <w:color w:val="000000"/>
                <w:lang w:eastAsia="pl-PL"/>
              </w:rPr>
            </w:pPr>
            <w:r w:rsidRPr="000F0206">
              <w:rPr>
                <w:rFonts w:eastAsia="Times New Roman" w:cs="Calibri"/>
                <w:color w:val="000000"/>
                <w:lang w:eastAsia="pl-PL"/>
              </w:rPr>
              <w:t> </w:t>
            </w:r>
          </w:p>
        </w:tc>
      </w:tr>
      <w:tr w:rsidR="000F0206" w:rsidRPr="000F0206" w:rsidTr="000F0206">
        <w:trPr>
          <w:trHeight w:val="300"/>
        </w:trPr>
        <w:tc>
          <w:tcPr>
            <w:tcW w:w="1415" w:type="dxa"/>
            <w:tcBorders>
              <w:top w:val="nil"/>
              <w:left w:val="single" w:sz="4" w:space="0" w:color="auto"/>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rPr>
                <w:rFonts w:eastAsia="Times New Roman" w:cs="Calibri"/>
                <w:b/>
                <w:bCs/>
                <w:color w:val="000000"/>
                <w:lang w:eastAsia="pl-PL"/>
              </w:rPr>
            </w:pPr>
            <w:r w:rsidRPr="000F0206">
              <w:rPr>
                <w:rFonts w:eastAsia="Times New Roman" w:cs="Calibri"/>
                <w:b/>
                <w:bCs/>
                <w:color w:val="000000"/>
                <w:lang w:eastAsia="pl-PL"/>
              </w:rPr>
              <w:t>Suma końcowa</w:t>
            </w:r>
          </w:p>
        </w:tc>
        <w:tc>
          <w:tcPr>
            <w:tcW w:w="960" w:type="dxa"/>
            <w:tcBorders>
              <w:top w:val="nil"/>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jc w:val="right"/>
              <w:rPr>
                <w:rFonts w:eastAsia="Times New Roman" w:cs="Calibri"/>
                <w:b/>
                <w:bCs/>
                <w:color w:val="000000"/>
                <w:lang w:eastAsia="pl-PL"/>
              </w:rPr>
            </w:pPr>
            <w:r w:rsidRPr="000F0206">
              <w:rPr>
                <w:rFonts w:eastAsia="Times New Roman" w:cs="Calibri"/>
                <w:b/>
                <w:bCs/>
                <w:color w:val="000000"/>
                <w:lang w:eastAsia="pl-PL"/>
              </w:rPr>
              <w:t>336</w:t>
            </w:r>
          </w:p>
        </w:tc>
        <w:tc>
          <w:tcPr>
            <w:tcW w:w="960" w:type="dxa"/>
            <w:tcBorders>
              <w:top w:val="nil"/>
              <w:left w:val="nil"/>
              <w:bottom w:val="single" w:sz="4" w:space="0" w:color="auto"/>
              <w:right w:val="single" w:sz="4" w:space="0" w:color="auto"/>
            </w:tcBorders>
            <w:shd w:val="clear" w:color="DCE6F1" w:fill="DCE6F1"/>
            <w:noWrap/>
            <w:vAlign w:val="bottom"/>
            <w:hideMark/>
          </w:tcPr>
          <w:p w:rsidR="000F0206" w:rsidRPr="000F0206" w:rsidRDefault="000F0206" w:rsidP="000F0206">
            <w:pPr>
              <w:spacing w:after="0" w:line="240" w:lineRule="auto"/>
              <w:jc w:val="right"/>
              <w:rPr>
                <w:rFonts w:eastAsia="Times New Roman" w:cs="Calibri"/>
                <w:b/>
                <w:bCs/>
                <w:color w:val="000000"/>
                <w:lang w:eastAsia="pl-PL"/>
              </w:rPr>
            </w:pPr>
            <w:r w:rsidRPr="000F0206">
              <w:rPr>
                <w:rFonts w:eastAsia="Times New Roman" w:cs="Calibri"/>
                <w:b/>
                <w:bCs/>
                <w:color w:val="000000"/>
                <w:lang w:eastAsia="pl-PL"/>
              </w:rPr>
              <w:t>336</w:t>
            </w:r>
          </w:p>
        </w:tc>
      </w:tr>
    </w:tbl>
    <w:p w:rsidR="00E13C07" w:rsidRPr="00F137D2" w:rsidRDefault="0001723D" w:rsidP="00505EC7">
      <w:pPr>
        <w:numPr>
          <w:ilvl w:val="0"/>
          <w:numId w:val="19"/>
        </w:numPr>
        <w:spacing w:before="1080" w:after="100" w:afterAutospacing="1"/>
        <w:ind w:left="1418" w:hanging="709"/>
        <w:rPr>
          <w:rFonts w:ascii="Times New Roman" w:hAnsi="Times New Roman"/>
          <w:sz w:val="24"/>
          <w:szCs w:val="24"/>
        </w:rPr>
      </w:pPr>
      <w:r w:rsidRPr="00F137D2">
        <w:rPr>
          <w:rFonts w:ascii="Times New Roman" w:hAnsi="Times New Roman"/>
          <w:sz w:val="24"/>
          <w:szCs w:val="24"/>
        </w:rPr>
        <w:lastRenderedPageBreak/>
        <w:t>ORZECZNICTWO SĄDOWE W SPRAWACH RADY</w:t>
      </w:r>
      <w:r w:rsidR="001078FC" w:rsidRPr="00F137D2">
        <w:rPr>
          <w:rFonts w:ascii="Times New Roman" w:hAnsi="Times New Roman"/>
          <w:sz w:val="24"/>
          <w:szCs w:val="24"/>
        </w:rPr>
        <w:t xml:space="preserve"> </w:t>
      </w:r>
    </w:p>
    <w:p w:rsidR="003059EA" w:rsidRDefault="00446621" w:rsidP="00AF7877">
      <w:pPr>
        <w:spacing w:after="120" w:line="360" w:lineRule="auto"/>
        <w:jc w:val="both"/>
        <w:rPr>
          <w:rFonts w:ascii="Times New Roman" w:hAnsi="Times New Roman"/>
          <w:sz w:val="24"/>
          <w:szCs w:val="24"/>
        </w:rPr>
      </w:pPr>
      <w:r w:rsidRPr="00E30C89">
        <w:rPr>
          <w:rFonts w:ascii="Times New Roman" w:hAnsi="Times New Roman"/>
          <w:sz w:val="24"/>
          <w:szCs w:val="24"/>
        </w:rPr>
        <w:t>W 20</w:t>
      </w:r>
      <w:r w:rsidR="00F329E6" w:rsidRPr="00E30C89">
        <w:rPr>
          <w:rFonts w:ascii="Times New Roman" w:hAnsi="Times New Roman"/>
          <w:sz w:val="24"/>
          <w:szCs w:val="24"/>
        </w:rPr>
        <w:t>20</w:t>
      </w:r>
      <w:r w:rsidRPr="00E30C89">
        <w:rPr>
          <w:rFonts w:ascii="Times New Roman" w:hAnsi="Times New Roman"/>
          <w:sz w:val="24"/>
          <w:szCs w:val="24"/>
        </w:rPr>
        <w:t xml:space="preserve"> r. zostało złożonych </w:t>
      </w:r>
      <w:r w:rsidR="00F329E6" w:rsidRPr="00E30C89">
        <w:rPr>
          <w:rFonts w:ascii="Times New Roman" w:hAnsi="Times New Roman"/>
          <w:sz w:val="24"/>
          <w:szCs w:val="24"/>
        </w:rPr>
        <w:t>336</w:t>
      </w:r>
      <w:r w:rsidRPr="00E30C89">
        <w:rPr>
          <w:rFonts w:ascii="Times New Roman" w:hAnsi="Times New Roman"/>
          <w:sz w:val="24"/>
          <w:szCs w:val="24"/>
        </w:rPr>
        <w:t xml:space="preserve"> skarg na orzeczenia Rady do Wojewódzkiego Sądu Administracyjnego w Warszawie, </w:t>
      </w:r>
      <w:r w:rsidR="001706C4">
        <w:rPr>
          <w:rFonts w:ascii="Times New Roman" w:hAnsi="Times New Roman"/>
          <w:sz w:val="24"/>
          <w:szCs w:val="24"/>
        </w:rPr>
        <w:t>34</w:t>
      </w:r>
      <w:r w:rsidRPr="00E30C89">
        <w:rPr>
          <w:rFonts w:ascii="Times New Roman" w:hAnsi="Times New Roman"/>
          <w:sz w:val="24"/>
          <w:szCs w:val="24"/>
        </w:rPr>
        <w:t xml:space="preserve"> skarg</w:t>
      </w:r>
      <w:r w:rsidR="001706C4">
        <w:rPr>
          <w:rFonts w:ascii="Times New Roman" w:hAnsi="Times New Roman"/>
          <w:sz w:val="24"/>
          <w:szCs w:val="24"/>
        </w:rPr>
        <w:t>i</w:t>
      </w:r>
      <w:r w:rsidRPr="00E30C89">
        <w:rPr>
          <w:rFonts w:ascii="Times New Roman" w:hAnsi="Times New Roman"/>
          <w:sz w:val="24"/>
          <w:szCs w:val="24"/>
        </w:rPr>
        <w:t xml:space="preserve"> kasacyjn</w:t>
      </w:r>
      <w:r w:rsidR="001706C4">
        <w:rPr>
          <w:rFonts w:ascii="Times New Roman" w:hAnsi="Times New Roman"/>
          <w:sz w:val="24"/>
          <w:szCs w:val="24"/>
        </w:rPr>
        <w:t>e</w:t>
      </w:r>
      <w:r w:rsidRPr="00E30C89">
        <w:rPr>
          <w:rFonts w:ascii="Times New Roman" w:hAnsi="Times New Roman"/>
          <w:sz w:val="24"/>
          <w:szCs w:val="24"/>
        </w:rPr>
        <w:t xml:space="preserve"> do Naczelnego Sądu Administracyjnego na wyroki WSA</w:t>
      </w:r>
      <w:r w:rsidR="00E30C89">
        <w:rPr>
          <w:rFonts w:ascii="Times New Roman" w:hAnsi="Times New Roman"/>
          <w:sz w:val="24"/>
          <w:szCs w:val="24"/>
        </w:rPr>
        <w:t xml:space="preserve"> zapadłe w sprawach o udzielenie ochrony międzynarodowej. </w:t>
      </w:r>
      <w:r w:rsidRPr="00E30C89">
        <w:rPr>
          <w:rFonts w:ascii="Times New Roman" w:hAnsi="Times New Roman"/>
          <w:sz w:val="24"/>
          <w:szCs w:val="24"/>
        </w:rPr>
        <w:t>Rada sporządziła odpowiednio 3</w:t>
      </w:r>
      <w:r w:rsidR="00F329E6" w:rsidRPr="00E30C89">
        <w:rPr>
          <w:rFonts w:ascii="Times New Roman" w:hAnsi="Times New Roman"/>
          <w:sz w:val="24"/>
          <w:szCs w:val="24"/>
        </w:rPr>
        <w:t>28</w:t>
      </w:r>
      <w:r w:rsidRPr="00E30C89">
        <w:rPr>
          <w:rFonts w:ascii="Times New Roman" w:hAnsi="Times New Roman"/>
          <w:sz w:val="24"/>
          <w:szCs w:val="24"/>
        </w:rPr>
        <w:t xml:space="preserve"> odpowiedzi na skargę i – korzystając z fakultatywnego uprawnienia – </w:t>
      </w:r>
      <w:r w:rsidR="00F329E6" w:rsidRPr="00E30C89">
        <w:rPr>
          <w:rFonts w:ascii="Times New Roman" w:hAnsi="Times New Roman"/>
          <w:sz w:val="24"/>
          <w:szCs w:val="24"/>
        </w:rPr>
        <w:t>17</w:t>
      </w:r>
      <w:r w:rsidRPr="00E30C89">
        <w:rPr>
          <w:rFonts w:ascii="Times New Roman" w:hAnsi="Times New Roman"/>
          <w:sz w:val="24"/>
          <w:szCs w:val="24"/>
        </w:rPr>
        <w:t xml:space="preserve"> odpowiedzi na skargi kasacyjne. Rada wniosła w miniony</w:t>
      </w:r>
      <w:r w:rsidR="003059EA" w:rsidRPr="00E30C89">
        <w:rPr>
          <w:rFonts w:ascii="Times New Roman" w:hAnsi="Times New Roman"/>
          <w:sz w:val="24"/>
          <w:szCs w:val="24"/>
        </w:rPr>
        <w:t>m roku jedną skargę kasacyjną.</w:t>
      </w:r>
      <w:r w:rsidR="003059EA">
        <w:rPr>
          <w:rFonts w:ascii="Times New Roman" w:hAnsi="Times New Roman"/>
          <w:sz w:val="24"/>
          <w:szCs w:val="24"/>
        </w:rPr>
        <w:t xml:space="preserve"> </w:t>
      </w:r>
    </w:p>
    <w:p w:rsidR="00446621" w:rsidRPr="00F137D2" w:rsidRDefault="00446621" w:rsidP="00367AE2">
      <w:pPr>
        <w:spacing w:after="120" w:line="360" w:lineRule="auto"/>
        <w:jc w:val="both"/>
        <w:rPr>
          <w:rFonts w:ascii="Times New Roman" w:hAnsi="Times New Roman"/>
          <w:sz w:val="24"/>
          <w:szCs w:val="24"/>
        </w:rPr>
      </w:pPr>
      <w:r w:rsidRPr="00F137D2">
        <w:rPr>
          <w:rFonts w:ascii="Times New Roman" w:hAnsi="Times New Roman"/>
          <w:sz w:val="24"/>
          <w:szCs w:val="24"/>
        </w:rPr>
        <w:t>W 20</w:t>
      </w:r>
      <w:r w:rsidR="000F0206">
        <w:rPr>
          <w:rFonts w:ascii="Times New Roman" w:hAnsi="Times New Roman"/>
          <w:sz w:val="24"/>
          <w:szCs w:val="24"/>
        </w:rPr>
        <w:t>20</w:t>
      </w:r>
      <w:r w:rsidRPr="00F137D2">
        <w:rPr>
          <w:rFonts w:ascii="Times New Roman" w:hAnsi="Times New Roman"/>
          <w:sz w:val="24"/>
          <w:szCs w:val="24"/>
        </w:rPr>
        <w:t xml:space="preserve"> r. statystyka orzeczeń WSA przedstawiała się następująco: </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Skargi oddalone – 21</w:t>
      </w:r>
      <w:r w:rsidR="000F0206">
        <w:rPr>
          <w:rFonts w:ascii="Times New Roman" w:hAnsi="Times New Roman"/>
          <w:sz w:val="24"/>
          <w:szCs w:val="24"/>
        </w:rPr>
        <w:t>2</w:t>
      </w:r>
      <w:r w:rsidRPr="00F137D2">
        <w:rPr>
          <w:rFonts w:ascii="Times New Roman" w:hAnsi="Times New Roman"/>
          <w:sz w:val="24"/>
          <w:szCs w:val="24"/>
        </w:rPr>
        <w:t xml:space="preserve"> </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 xml:space="preserve">Skargi odrzucone – </w:t>
      </w:r>
      <w:r w:rsidR="000F0206">
        <w:rPr>
          <w:rFonts w:ascii="Times New Roman" w:hAnsi="Times New Roman"/>
          <w:sz w:val="24"/>
          <w:szCs w:val="24"/>
        </w:rPr>
        <w:t>62</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 xml:space="preserve">Postępowania umorzone – </w:t>
      </w:r>
      <w:r w:rsidR="000F0206">
        <w:rPr>
          <w:rFonts w:ascii="Times New Roman" w:hAnsi="Times New Roman"/>
          <w:sz w:val="24"/>
          <w:szCs w:val="24"/>
        </w:rPr>
        <w:t>7</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 xml:space="preserve">Uchylenie decyzji II instancji –  15 </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 xml:space="preserve">Uchylenie decyzji I i II instancji – </w:t>
      </w:r>
      <w:r w:rsidR="000F0206">
        <w:rPr>
          <w:rFonts w:ascii="Times New Roman" w:hAnsi="Times New Roman"/>
          <w:sz w:val="24"/>
          <w:szCs w:val="24"/>
        </w:rPr>
        <w:t>16</w:t>
      </w:r>
      <w:r w:rsidRPr="00F137D2">
        <w:rPr>
          <w:rFonts w:ascii="Times New Roman" w:hAnsi="Times New Roman"/>
          <w:sz w:val="24"/>
          <w:szCs w:val="24"/>
        </w:rPr>
        <w:t xml:space="preserve"> </w:t>
      </w:r>
    </w:p>
    <w:p w:rsidR="00446621" w:rsidRPr="00F137D2" w:rsidRDefault="00446621" w:rsidP="00446621">
      <w:pPr>
        <w:spacing w:after="120" w:line="360" w:lineRule="auto"/>
        <w:jc w:val="both"/>
        <w:rPr>
          <w:rFonts w:ascii="Times New Roman" w:hAnsi="Times New Roman"/>
          <w:sz w:val="24"/>
          <w:szCs w:val="24"/>
        </w:rPr>
      </w:pPr>
      <w:r w:rsidRPr="00F137D2">
        <w:rPr>
          <w:rFonts w:ascii="Times New Roman" w:hAnsi="Times New Roman"/>
          <w:sz w:val="24"/>
          <w:szCs w:val="24"/>
        </w:rPr>
        <w:t>Odrzucenie skargi kasacyjnej  -</w:t>
      </w:r>
      <w:r w:rsidR="000F0206">
        <w:rPr>
          <w:rFonts w:ascii="Times New Roman" w:hAnsi="Times New Roman"/>
          <w:sz w:val="24"/>
          <w:szCs w:val="24"/>
        </w:rPr>
        <w:t xml:space="preserve"> 3</w:t>
      </w:r>
      <w:r w:rsidRPr="00F137D2">
        <w:rPr>
          <w:rFonts w:ascii="Times New Roman" w:hAnsi="Times New Roman"/>
          <w:sz w:val="24"/>
          <w:szCs w:val="24"/>
        </w:rPr>
        <w:t xml:space="preserve"> </w:t>
      </w:r>
    </w:p>
    <w:p w:rsidR="00EF4CCA" w:rsidRPr="00F137D2" w:rsidRDefault="00EF4CCA" w:rsidP="00EF4CCA">
      <w:pPr>
        <w:spacing w:after="120" w:line="360" w:lineRule="auto"/>
        <w:jc w:val="both"/>
        <w:rPr>
          <w:rFonts w:ascii="Times New Roman" w:hAnsi="Times New Roman"/>
          <w:sz w:val="24"/>
          <w:szCs w:val="24"/>
        </w:rPr>
      </w:pPr>
      <w:r w:rsidRPr="00F137D2">
        <w:rPr>
          <w:rFonts w:ascii="Times New Roman" w:hAnsi="Times New Roman"/>
          <w:sz w:val="24"/>
          <w:szCs w:val="24"/>
        </w:rPr>
        <w:t>Odsetek skutecznie zaskarżonych orzeczeń Rady do WSA wyniósł w 20</w:t>
      </w:r>
      <w:r w:rsidR="000F0206">
        <w:rPr>
          <w:rFonts w:ascii="Times New Roman" w:hAnsi="Times New Roman"/>
          <w:sz w:val="24"/>
          <w:szCs w:val="24"/>
        </w:rPr>
        <w:t>20</w:t>
      </w:r>
      <w:r w:rsidRPr="00F137D2">
        <w:rPr>
          <w:rFonts w:ascii="Times New Roman" w:hAnsi="Times New Roman"/>
          <w:sz w:val="24"/>
          <w:szCs w:val="24"/>
        </w:rPr>
        <w:t xml:space="preserve"> r. ok. </w:t>
      </w:r>
      <w:r w:rsidR="000F0206">
        <w:rPr>
          <w:rFonts w:ascii="Times New Roman" w:hAnsi="Times New Roman"/>
          <w:sz w:val="24"/>
          <w:szCs w:val="24"/>
        </w:rPr>
        <w:t>9</w:t>
      </w:r>
      <w:r w:rsidRPr="00F137D2">
        <w:rPr>
          <w:rFonts w:ascii="Times New Roman" w:hAnsi="Times New Roman"/>
          <w:sz w:val="24"/>
          <w:szCs w:val="24"/>
        </w:rPr>
        <w:t>,</w:t>
      </w:r>
      <w:r w:rsidR="000F0206">
        <w:rPr>
          <w:rFonts w:ascii="Times New Roman" w:hAnsi="Times New Roman"/>
          <w:sz w:val="24"/>
          <w:szCs w:val="24"/>
        </w:rPr>
        <w:t>9</w:t>
      </w:r>
      <w:r w:rsidRPr="00F137D2">
        <w:rPr>
          <w:rFonts w:ascii="Times New Roman" w:hAnsi="Times New Roman"/>
          <w:sz w:val="24"/>
          <w:szCs w:val="24"/>
        </w:rPr>
        <w:t xml:space="preserve">%, </w:t>
      </w:r>
      <w:r w:rsidR="00544B8C">
        <w:rPr>
          <w:rFonts w:ascii="Times New Roman" w:hAnsi="Times New Roman"/>
          <w:sz w:val="24"/>
          <w:szCs w:val="24"/>
        </w:rPr>
        <w:br/>
      </w:r>
      <w:r w:rsidRPr="00F137D2">
        <w:rPr>
          <w:rFonts w:ascii="Times New Roman" w:hAnsi="Times New Roman"/>
          <w:sz w:val="24"/>
          <w:szCs w:val="24"/>
        </w:rPr>
        <w:t>co oznacza, że w przeważającej części spraw, bo w 9</w:t>
      </w:r>
      <w:r w:rsidR="000F0206">
        <w:rPr>
          <w:rFonts w:ascii="Times New Roman" w:hAnsi="Times New Roman"/>
          <w:sz w:val="24"/>
          <w:szCs w:val="24"/>
        </w:rPr>
        <w:t>0</w:t>
      </w:r>
      <w:r w:rsidRPr="00F137D2">
        <w:rPr>
          <w:rFonts w:ascii="Times New Roman" w:hAnsi="Times New Roman"/>
          <w:sz w:val="24"/>
          <w:szCs w:val="24"/>
        </w:rPr>
        <w:t>,</w:t>
      </w:r>
      <w:r w:rsidR="000F0206">
        <w:rPr>
          <w:rFonts w:ascii="Times New Roman" w:hAnsi="Times New Roman"/>
          <w:sz w:val="24"/>
          <w:szCs w:val="24"/>
        </w:rPr>
        <w:t>1</w:t>
      </w:r>
      <w:r w:rsidRPr="00F137D2">
        <w:rPr>
          <w:rFonts w:ascii="Times New Roman" w:hAnsi="Times New Roman"/>
          <w:sz w:val="24"/>
          <w:szCs w:val="24"/>
        </w:rPr>
        <w:t xml:space="preserve"> % sąd nie dopatrzył się nieprawidłowości w orzeczeniach Rady. </w:t>
      </w:r>
      <w:r w:rsidR="000F0206">
        <w:rPr>
          <w:rFonts w:ascii="Times New Roman" w:hAnsi="Times New Roman"/>
          <w:sz w:val="24"/>
          <w:szCs w:val="24"/>
        </w:rPr>
        <w:t xml:space="preserve">Na </w:t>
      </w:r>
      <w:r w:rsidR="00D03D06">
        <w:rPr>
          <w:rFonts w:ascii="Times New Roman" w:hAnsi="Times New Roman"/>
          <w:sz w:val="24"/>
          <w:szCs w:val="24"/>
        </w:rPr>
        <w:t>odnotowanie</w:t>
      </w:r>
      <w:r w:rsidR="000F0206">
        <w:rPr>
          <w:rFonts w:ascii="Times New Roman" w:hAnsi="Times New Roman"/>
          <w:sz w:val="24"/>
          <w:szCs w:val="24"/>
        </w:rPr>
        <w:t xml:space="preserve"> zasługuje znaczący wzrost uchyleń orzeczeń organów obydwu instancji. W roku 2019 był</w:t>
      </w:r>
      <w:r w:rsidR="00D03D06">
        <w:rPr>
          <w:rFonts w:ascii="Times New Roman" w:hAnsi="Times New Roman"/>
          <w:sz w:val="24"/>
          <w:szCs w:val="24"/>
        </w:rPr>
        <w:t>y to 4 decyzje, w 2020 - 16.</w:t>
      </w:r>
      <w:r w:rsidR="000F0206">
        <w:rPr>
          <w:rFonts w:ascii="Times New Roman" w:hAnsi="Times New Roman"/>
          <w:sz w:val="24"/>
          <w:szCs w:val="24"/>
        </w:rPr>
        <w:t xml:space="preserve"> </w:t>
      </w:r>
    </w:p>
    <w:p w:rsidR="00EF4CCA" w:rsidRPr="00F137D2" w:rsidRDefault="00EF4CCA" w:rsidP="00367AE2">
      <w:pPr>
        <w:spacing w:after="120" w:line="360" w:lineRule="auto"/>
        <w:jc w:val="both"/>
        <w:rPr>
          <w:rFonts w:ascii="Times New Roman" w:hAnsi="Times New Roman"/>
          <w:sz w:val="24"/>
          <w:szCs w:val="24"/>
        </w:rPr>
      </w:pPr>
      <w:r w:rsidRPr="00F137D2">
        <w:rPr>
          <w:rFonts w:ascii="Times New Roman" w:hAnsi="Times New Roman"/>
          <w:sz w:val="24"/>
          <w:szCs w:val="24"/>
        </w:rPr>
        <w:t>Niestety w roku 20</w:t>
      </w:r>
      <w:r w:rsidR="00D03D06">
        <w:rPr>
          <w:rFonts w:ascii="Times New Roman" w:hAnsi="Times New Roman"/>
          <w:sz w:val="24"/>
          <w:szCs w:val="24"/>
        </w:rPr>
        <w:t>20</w:t>
      </w:r>
      <w:r w:rsidRPr="00F137D2">
        <w:rPr>
          <w:rFonts w:ascii="Times New Roman" w:hAnsi="Times New Roman"/>
          <w:sz w:val="24"/>
          <w:szCs w:val="24"/>
        </w:rPr>
        <w:t xml:space="preserve"> nie udało się wyeliminować w pełni, powtarzających się zarzutów proceduralnych, jak: nierozpatrzenie materiału dowodowego w całości, brak odniesienia się </w:t>
      </w:r>
      <w:r w:rsidR="00544B8C">
        <w:rPr>
          <w:rFonts w:ascii="Times New Roman" w:hAnsi="Times New Roman"/>
          <w:sz w:val="24"/>
          <w:szCs w:val="24"/>
        </w:rPr>
        <w:br/>
      </w:r>
      <w:r w:rsidRPr="00F137D2">
        <w:rPr>
          <w:rFonts w:ascii="Times New Roman" w:hAnsi="Times New Roman"/>
          <w:sz w:val="24"/>
          <w:szCs w:val="24"/>
        </w:rPr>
        <w:t xml:space="preserve">do wszystkich wniosków dowodowych i argumentów zawartych w odwołaniach. </w:t>
      </w:r>
    </w:p>
    <w:p w:rsidR="00EF4CCA" w:rsidRPr="00F137D2" w:rsidRDefault="00EF4CCA" w:rsidP="00367AE2">
      <w:pPr>
        <w:spacing w:after="120" w:line="360" w:lineRule="auto"/>
        <w:jc w:val="both"/>
        <w:rPr>
          <w:rFonts w:ascii="Times New Roman" w:hAnsi="Times New Roman"/>
          <w:sz w:val="24"/>
          <w:szCs w:val="24"/>
        </w:rPr>
      </w:pPr>
      <w:r w:rsidRPr="00F137D2">
        <w:rPr>
          <w:rFonts w:ascii="Times New Roman" w:hAnsi="Times New Roman"/>
          <w:sz w:val="24"/>
          <w:szCs w:val="24"/>
        </w:rPr>
        <w:t xml:space="preserve">Sądy administracyjne formułując powyższe zarzuty zwracały uwagę, że w myśl art. 7 Kpa </w:t>
      </w:r>
      <w:r w:rsidR="00367AE2">
        <w:rPr>
          <w:rFonts w:ascii="Times New Roman" w:hAnsi="Times New Roman"/>
          <w:sz w:val="24"/>
          <w:szCs w:val="24"/>
        </w:rPr>
        <w:br/>
      </w:r>
      <w:r w:rsidRPr="00F137D2">
        <w:rPr>
          <w:rFonts w:ascii="Times New Roman" w:hAnsi="Times New Roman"/>
          <w:sz w:val="24"/>
          <w:szCs w:val="24"/>
        </w:rPr>
        <w:t xml:space="preserve">w toku postępowania organy administracji publicznej stoją na straży praworządności, </w:t>
      </w:r>
      <w:r w:rsidR="00544B8C">
        <w:rPr>
          <w:rFonts w:ascii="Times New Roman" w:hAnsi="Times New Roman"/>
          <w:sz w:val="24"/>
          <w:szCs w:val="24"/>
        </w:rPr>
        <w:br/>
      </w:r>
      <w:r w:rsidRPr="00F137D2">
        <w:rPr>
          <w:rFonts w:ascii="Times New Roman" w:hAnsi="Times New Roman"/>
          <w:sz w:val="24"/>
          <w:szCs w:val="24"/>
        </w:rPr>
        <w:t xml:space="preserve">z urzędu lub na wniosek stron podejmują wszelkie czynności niezbędne do dokładnego wyjaśnienia stanu faktycznego oraz do załatwienia sprawy, mając na względzie interes społeczny i słuszny interes obywateli. Sądy podnosiły, że organ odwoławczy, zgodnie z art. 77 § 1 Kpa obowiązany jest do rozpatrzenia całego materiału dowodowego zebranego w sprawie, a w sytuacji, gdy uzna to za konieczne powinien przeprowadzić uzupełniające postępowanie dowodowe, stosownie do treści art. 136 § 1 Kpa (organ odwoławczy może przeprowadzić na żądanie strony lub z urzędu dodatkowe postępowanie w celu uzupełnienia </w:t>
      </w:r>
      <w:r w:rsidRPr="00F137D2">
        <w:rPr>
          <w:rFonts w:ascii="Times New Roman" w:hAnsi="Times New Roman"/>
          <w:sz w:val="24"/>
          <w:szCs w:val="24"/>
        </w:rPr>
        <w:lastRenderedPageBreak/>
        <w:t xml:space="preserve">dowodów i materiałów w sprawie albo zlecić przeprowadzenie tego postępowania organowi, który wydał decyzję.). O tym czy kontrola instancyjna została przeprowadzona prawidłowo powinna wskazywać treść uzasadnienia rozstrzygnięcia. Uzasadnienie decyzji administracyjnej, zredagowane zgodnie z art. 107 § 3 Kpa ma zatem podstawowe znaczenie dla stosowania zasady przekonywania stron, wyrażonej w art. 11 Kpa. Mocą przywołanych przepisów organ orzekający w sprawie jest zobowiązany do wyjaśnienia stronom zasadności przesłanek, którymi kierował się przy załatwieniu sprawy. Uzasadnienie decyzji winno być elementem decydującym o przekonaniu strony, co do trafności rozstrzygnięcia. W ocenie sądów zasada przekonywania nie zostanie jednak zrealizowana, gdy organ pominie milczeniem niektóre twierdzenia, nie odniesie się do faktów istotnych dla danej sprawy lub nie przedstawi w sposób wyczerpujący wykładni stosowanych przepisów prawa. </w:t>
      </w:r>
    </w:p>
    <w:p w:rsidR="00EF4CCA" w:rsidRPr="00F137D2" w:rsidRDefault="00EF4CCA" w:rsidP="00367AE2">
      <w:pPr>
        <w:spacing w:after="120" w:line="360" w:lineRule="auto"/>
        <w:jc w:val="both"/>
        <w:rPr>
          <w:rFonts w:ascii="Times New Roman" w:hAnsi="Times New Roman"/>
          <w:sz w:val="24"/>
          <w:szCs w:val="24"/>
          <w:lang w:eastAsia="pl-PL"/>
        </w:rPr>
      </w:pPr>
      <w:r w:rsidRPr="00F137D2">
        <w:rPr>
          <w:rFonts w:ascii="Times New Roman" w:hAnsi="Times New Roman"/>
          <w:sz w:val="24"/>
          <w:szCs w:val="24"/>
        </w:rPr>
        <w:t>Ponadto, sądy, odwołując się do przepisu art. 15 Kpa, wskazywały na konieczność ponownego rozpatrzenia całego materiału dowodowego, bowiem brak odniesienia się do całości materiału dowodowego prowadzi do naruszenia zasady dwuinstancyjności.</w:t>
      </w:r>
      <w:r w:rsidRPr="00F137D2">
        <w:rPr>
          <w:rFonts w:ascii="Times New Roman" w:hAnsi="Times New Roman"/>
          <w:sz w:val="24"/>
          <w:szCs w:val="24"/>
          <w:lang w:eastAsia="pl-PL"/>
        </w:rPr>
        <w:t xml:space="preserve"> Natomiast i</w:t>
      </w:r>
      <w:r w:rsidRPr="00F137D2">
        <w:rPr>
          <w:rFonts w:ascii="Times New Roman" w:hAnsi="Times New Roman"/>
          <w:sz w:val="24"/>
          <w:szCs w:val="24"/>
        </w:rPr>
        <w:t xml:space="preserve">stota zasady dwuinstancyjności postępowania administracyjnego polega na dwukrotnym rozpatrzeniu </w:t>
      </w:r>
      <w:r w:rsidR="00AF7877">
        <w:rPr>
          <w:rFonts w:ascii="Times New Roman" w:hAnsi="Times New Roman"/>
          <w:sz w:val="24"/>
          <w:szCs w:val="24"/>
        </w:rPr>
        <w:br/>
      </w:r>
      <w:r w:rsidRPr="00F137D2">
        <w:rPr>
          <w:rFonts w:ascii="Times New Roman" w:hAnsi="Times New Roman"/>
          <w:sz w:val="24"/>
          <w:szCs w:val="24"/>
        </w:rPr>
        <w:t>i rozstrzygnięciu przez dwa różne organy tej samej sprawy. Innymi słowy oznacza to, że sprawę w jej całokształcie rozpoznaje nie tylko organ pierwszej instancji, ale w razie zaskarżenia orzeczenia organu pierwszej instancji również organ odwoławczy.</w:t>
      </w:r>
    </w:p>
    <w:p w:rsidR="00EF4CCA" w:rsidRDefault="00EF4CCA" w:rsidP="00367AE2">
      <w:pPr>
        <w:spacing w:after="120" w:line="360" w:lineRule="auto"/>
        <w:jc w:val="both"/>
        <w:rPr>
          <w:rFonts w:ascii="Times New Roman" w:hAnsi="Times New Roman"/>
          <w:color w:val="000000"/>
          <w:sz w:val="24"/>
          <w:szCs w:val="24"/>
        </w:rPr>
      </w:pPr>
      <w:r w:rsidRPr="00F137D2">
        <w:rPr>
          <w:rFonts w:ascii="Times New Roman" w:hAnsi="Times New Roman"/>
          <w:color w:val="000000"/>
          <w:sz w:val="24"/>
          <w:szCs w:val="24"/>
        </w:rPr>
        <w:t xml:space="preserve">Jednocześnie mając na względzie niski odsetek skutecznie zaskarżonych orzeczeń Rady do Wojewódzkiego Sądu Administracyjnego (ok. </w:t>
      </w:r>
      <w:r w:rsidR="00D03D06">
        <w:rPr>
          <w:rFonts w:ascii="Times New Roman" w:hAnsi="Times New Roman"/>
          <w:color w:val="000000"/>
          <w:sz w:val="24"/>
          <w:szCs w:val="24"/>
        </w:rPr>
        <w:t xml:space="preserve">9,9 </w:t>
      </w:r>
      <w:r w:rsidRPr="00F137D2">
        <w:rPr>
          <w:rFonts w:ascii="Times New Roman" w:hAnsi="Times New Roman"/>
          <w:color w:val="000000"/>
          <w:sz w:val="24"/>
          <w:szCs w:val="24"/>
        </w:rPr>
        <w:t xml:space="preserve">%) należy stwierdzić, że naruszenia, jakich dopuściła się Rada w swoim orzecznictwie </w:t>
      </w:r>
      <w:r w:rsidR="00D03D06">
        <w:rPr>
          <w:rFonts w:ascii="Times New Roman" w:hAnsi="Times New Roman"/>
          <w:color w:val="000000"/>
          <w:sz w:val="24"/>
          <w:szCs w:val="24"/>
        </w:rPr>
        <w:t>są stosunkowo rzadkie</w:t>
      </w:r>
      <w:r w:rsidRPr="00F137D2">
        <w:rPr>
          <w:rFonts w:ascii="Times New Roman" w:hAnsi="Times New Roman"/>
          <w:color w:val="000000"/>
          <w:sz w:val="24"/>
          <w:szCs w:val="24"/>
        </w:rPr>
        <w:t>. Nie oznacza to jednak, że Rada przechodzi nad zarzutami formułowanymi przez sądy administracyjne do porządku dziennego. Podkreślenia wymaga,</w:t>
      </w:r>
      <w:r w:rsidR="00D03D06">
        <w:rPr>
          <w:rFonts w:ascii="Times New Roman" w:hAnsi="Times New Roman"/>
          <w:color w:val="000000"/>
          <w:sz w:val="24"/>
          <w:szCs w:val="24"/>
        </w:rPr>
        <w:t xml:space="preserve"> </w:t>
      </w:r>
      <w:r w:rsidRPr="00F137D2">
        <w:rPr>
          <w:rFonts w:ascii="Times New Roman" w:hAnsi="Times New Roman"/>
          <w:color w:val="000000"/>
          <w:sz w:val="24"/>
          <w:szCs w:val="24"/>
        </w:rPr>
        <w:t>że Rada z powagą i wnikliwością analizuje wszystkie błędy wykazywane przez sądy administracyjne, aby je eliminować ze swojego orzecznictwa i dążyć do stałego wzrostu jego poziomu.</w:t>
      </w:r>
    </w:p>
    <w:sectPr w:rsidR="00EF4CCA" w:rsidSect="00F137D2">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E32" w:rsidRDefault="00CE2E32" w:rsidP="00230BCE">
      <w:pPr>
        <w:spacing w:after="0" w:line="240" w:lineRule="auto"/>
      </w:pPr>
      <w:r>
        <w:separator/>
      </w:r>
    </w:p>
  </w:endnote>
  <w:endnote w:type="continuationSeparator" w:id="0">
    <w:p w:rsidR="00CE2E32" w:rsidRDefault="00CE2E32" w:rsidP="0023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40" w:rsidRDefault="00624A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E32" w:rsidRDefault="00CE2E32" w:rsidP="00230BCE">
      <w:pPr>
        <w:spacing w:after="0" w:line="240" w:lineRule="auto"/>
      </w:pPr>
      <w:r>
        <w:separator/>
      </w:r>
    </w:p>
  </w:footnote>
  <w:footnote w:type="continuationSeparator" w:id="0">
    <w:p w:rsidR="00CE2E32" w:rsidRDefault="00CE2E32" w:rsidP="00230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B9A"/>
    <w:multiLevelType w:val="hybridMultilevel"/>
    <w:tmpl w:val="F396497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F67AD1"/>
    <w:multiLevelType w:val="hybridMultilevel"/>
    <w:tmpl w:val="D28859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9A806F7"/>
    <w:multiLevelType w:val="hybridMultilevel"/>
    <w:tmpl w:val="CBA057EE"/>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CBE5F6B"/>
    <w:multiLevelType w:val="hybridMultilevel"/>
    <w:tmpl w:val="9BF45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58F15A8"/>
    <w:multiLevelType w:val="hybridMultilevel"/>
    <w:tmpl w:val="09D0D1F0"/>
    <w:lvl w:ilvl="0" w:tplc="4F141934">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DC3454"/>
    <w:multiLevelType w:val="hybridMultilevel"/>
    <w:tmpl w:val="4C863FD6"/>
    <w:lvl w:ilvl="0" w:tplc="04150013">
      <w:start w:val="1"/>
      <w:numFmt w:val="upperRoman"/>
      <w:lvlText w:val="%1."/>
      <w:lvlJc w:val="righ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
    <w:nsid w:val="36D07E60"/>
    <w:multiLevelType w:val="hybridMultilevel"/>
    <w:tmpl w:val="DC6CB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C060011"/>
    <w:multiLevelType w:val="hybridMultilevel"/>
    <w:tmpl w:val="98D6EFF4"/>
    <w:lvl w:ilvl="0" w:tplc="04150013">
      <w:start w:val="1"/>
      <w:numFmt w:val="upperRoman"/>
      <w:lvlText w:val="%1."/>
      <w:lvlJc w:val="righ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8">
    <w:nsid w:val="42474E72"/>
    <w:multiLevelType w:val="hybridMultilevel"/>
    <w:tmpl w:val="050CD632"/>
    <w:lvl w:ilvl="0" w:tplc="92EE46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B427164"/>
    <w:multiLevelType w:val="hybridMultilevel"/>
    <w:tmpl w:val="C0E8311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nsid w:val="4CD30344"/>
    <w:multiLevelType w:val="hybridMultilevel"/>
    <w:tmpl w:val="50A8B30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0FD0923"/>
    <w:multiLevelType w:val="multilevel"/>
    <w:tmpl w:val="4D9E08C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24E120D"/>
    <w:multiLevelType w:val="hybridMultilevel"/>
    <w:tmpl w:val="E5AA5F86"/>
    <w:lvl w:ilvl="0" w:tplc="624C8CB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6709097F"/>
    <w:multiLevelType w:val="hybridMultilevel"/>
    <w:tmpl w:val="98601D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72881948"/>
    <w:multiLevelType w:val="hybridMultilevel"/>
    <w:tmpl w:val="2A2EB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2CC52FB"/>
    <w:multiLevelType w:val="hybridMultilevel"/>
    <w:tmpl w:val="CA407826"/>
    <w:lvl w:ilvl="0" w:tplc="B1B2A62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8FC2D4A"/>
    <w:multiLevelType w:val="hybridMultilevel"/>
    <w:tmpl w:val="5FA83FB2"/>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
    <w:nsid w:val="7AEE5576"/>
    <w:multiLevelType w:val="hybridMultilevel"/>
    <w:tmpl w:val="9A28915A"/>
    <w:lvl w:ilvl="0" w:tplc="04150013">
      <w:start w:val="1"/>
      <w:numFmt w:val="upperRoman"/>
      <w:lvlText w:val="%1."/>
      <w:lvlJc w:val="righ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12"/>
  </w:num>
  <w:num w:numId="5">
    <w:abstractNumId w:val="0"/>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6"/>
  </w:num>
  <w:num w:numId="11">
    <w:abstractNumId w:val="14"/>
  </w:num>
  <w:num w:numId="12">
    <w:abstractNumId w:val="1"/>
  </w:num>
  <w:num w:numId="13">
    <w:abstractNumId w:val="5"/>
  </w:num>
  <w:num w:numId="14">
    <w:abstractNumId w:val="2"/>
  </w:num>
  <w:num w:numId="15">
    <w:abstractNumId w:val="16"/>
  </w:num>
  <w:num w:numId="16">
    <w:abstractNumId w:val="10"/>
  </w:num>
  <w:num w:numId="17">
    <w:abstractNumId w:val="7"/>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83"/>
    <w:rsid w:val="00006E06"/>
    <w:rsid w:val="0001723D"/>
    <w:rsid w:val="00036751"/>
    <w:rsid w:val="000A363B"/>
    <w:rsid w:val="000E31DF"/>
    <w:rsid w:val="000E7E3F"/>
    <w:rsid w:val="000F0206"/>
    <w:rsid w:val="001078FC"/>
    <w:rsid w:val="001706C4"/>
    <w:rsid w:val="001C4C0E"/>
    <w:rsid w:val="001D6E69"/>
    <w:rsid w:val="002038F8"/>
    <w:rsid w:val="00230BCE"/>
    <w:rsid w:val="003059EA"/>
    <w:rsid w:val="00305E7A"/>
    <w:rsid w:val="00367AE2"/>
    <w:rsid w:val="003A584A"/>
    <w:rsid w:val="003B2346"/>
    <w:rsid w:val="003E1777"/>
    <w:rsid w:val="00446621"/>
    <w:rsid w:val="00454663"/>
    <w:rsid w:val="00473C43"/>
    <w:rsid w:val="00505EC7"/>
    <w:rsid w:val="00543BA8"/>
    <w:rsid w:val="00544B8C"/>
    <w:rsid w:val="005A5903"/>
    <w:rsid w:val="005B49F7"/>
    <w:rsid w:val="005E2EC0"/>
    <w:rsid w:val="005F2180"/>
    <w:rsid w:val="00624A40"/>
    <w:rsid w:val="00650925"/>
    <w:rsid w:val="00652788"/>
    <w:rsid w:val="00654AD0"/>
    <w:rsid w:val="00705C36"/>
    <w:rsid w:val="00844CE0"/>
    <w:rsid w:val="00860933"/>
    <w:rsid w:val="008C3E11"/>
    <w:rsid w:val="008D4683"/>
    <w:rsid w:val="00917D69"/>
    <w:rsid w:val="009420B5"/>
    <w:rsid w:val="00953CC0"/>
    <w:rsid w:val="00963342"/>
    <w:rsid w:val="00965881"/>
    <w:rsid w:val="0099235C"/>
    <w:rsid w:val="009C3596"/>
    <w:rsid w:val="009C6BD0"/>
    <w:rsid w:val="009F60CB"/>
    <w:rsid w:val="009F6A5B"/>
    <w:rsid w:val="00A12A05"/>
    <w:rsid w:val="00A51E7B"/>
    <w:rsid w:val="00A72FFB"/>
    <w:rsid w:val="00AC27CF"/>
    <w:rsid w:val="00AF7877"/>
    <w:rsid w:val="00B57799"/>
    <w:rsid w:val="00B61DA4"/>
    <w:rsid w:val="00B65404"/>
    <w:rsid w:val="00B6659D"/>
    <w:rsid w:val="00B94FA5"/>
    <w:rsid w:val="00BB5AED"/>
    <w:rsid w:val="00BD1ACB"/>
    <w:rsid w:val="00BE2FE0"/>
    <w:rsid w:val="00C02CD0"/>
    <w:rsid w:val="00C314A7"/>
    <w:rsid w:val="00C356D0"/>
    <w:rsid w:val="00C51A3E"/>
    <w:rsid w:val="00C613EB"/>
    <w:rsid w:val="00CD0C4F"/>
    <w:rsid w:val="00CE2E32"/>
    <w:rsid w:val="00D03D06"/>
    <w:rsid w:val="00DC09A5"/>
    <w:rsid w:val="00E13C07"/>
    <w:rsid w:val="00E30C89"/>
    <w:rsid w:val="00E57804"/>
    <w:rsid w:val="00E778FF"/>
    <w:rsid w:val="00E96C7E"/>
    <w:rsid w:val="00EB3D92"/>
    <w:rsid w:val="00EC253D"/>
    <w:rsid w:val="00EF4CCA"/>
    <w:rsid w:val="00F0589E"/>
    <w:rsid w:val="00F137D2"/>
    <w:rsid w:val="00F329E6"/>
    <w:rsid w:val="00F4612A"/>
    <w:rsid w:val="00F54D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683"/>
    <w:pPr>
      <w:spacing w:after="160" w:line="256" w:lineRule="auto"/>
    </w:pPr>
    <w:rPr>
      <w:sz w:val="22"/>
      <w:szCs w:val="22"/>
      <w:lang w:eastAsia="en-US"/>
    </w:rPr>
  </w:style>
  <w:style w:type="paragraph" w:styleId="Nagwek1">
    <w:name w:val="heading 1"/>
    <w:basedOn w:val="Normalny"/>
    <w:next w:val="Normalny"/>
    <w:link w:val="Nagwek1Znak"/>
    <w:uiPriority w:val="9"/>
    <w:qFormat/>
    <w:rsid w:val="008D4683"/>
    <w:pPr>
      <w:keepNext/>
      <w:keepLines/>
      <w:spacing w:before="240" w:after="0"/>
      <w:outlineLvl w:val="0"/>
    </w:pPr>
    <w:rPr>
      <w:rFonts w:ascii="Calibri Light" w:eastAsia="Times New Roman"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D4683"/>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8D4683"/>
    <w:pPr>
      <w:outlineLvl w:val="9"/>
    </w:pPr>
    <w:rPr>
      <w:lang w:eastAsia="pl-PL"/>
    </w:rPr>
  </w:style>
  <w:style w:type="paragraph" w:styleId="Akapitzlist">
    <w:name w:val="List Paragraph"/>
    <w:basedOn w:val="Normalny"/>
    <w:uiPriority w:val="34"/>
    <w:qFormat/>
    <w:rsid w:val="00860933"/>
    <w:pPr>
      <w:spacing w:line="252" w:lineRule="auto"/>
      <w:ind w:left="720"/>
      <w:contextualSpacing/>
    </w:pPr>
    <w:rPr>
      <w:rFonts w:cs="Calibri"/>
    </w:rPr>
  </w:style>
  <w:style w:type="paragraph" w:styleId="Tekstprzypisudolnego">
    <w:name w:val="footnote text"/>
    <w:basedOn w:val="Normalny"/>
    <w:link w:val="TekstprzypisudolnegoZnak"/>
    <w:uiPriority w:val="99"/>
    <w:semiHidden/>
    <w:unhideWhenUsed/>
    <w:rsid w:val="00230BCE"/>
    <w:pPr>
      <w:spacing w:line="259" w:lineRule="auto"/>
    </w:pPr>
    <w:rPr>
      <w:sz w:val="20"/>
      <w:szCs w:val="20"/>
    </w:rPr>
  </w:style>
  <w:style w:type="character" w:customStyle="1" w:styleId="TekstprzypisudolnegoZnak">
    <w:name w:val="Tekst przypisu dolnego Znak"/>
    <w:link w:val="Tekstprzypisudolnego"/>
    <w:uiPriority w:val="99"/>
    <w:semiHidden/>
    <w:rsid w:val="00230BCE"/>
    <w:rPr>
      <w:rFonts w:ascii="Calibri" w:eastAsia="Calibri" w:hAnsi="Calibri" w:cs="Times New Roman"/>
      <w:sz w:val="20"/>
      <w:szCs w:val="20"/>
    </w:rPr>
  </w:style>
  <w:style w:type="character" w:styleId="Odwoanieprzypisudolnego">
    <w:name w:val="footnote reference"/>
    <w:uiPriority w:val="99"/>
    <w:semiHidden/>
    <w:unhideWhenUsed/>
    <w:rsid w:val="00230BCE"/>
    <w:rPr>
      <w:vertAlign w:val="superscript"/>
    </w:rPr>
  </w:style>
  <w:style w:type="paragraph" w:customStyle="1" w:styleId="Default">
    <w:name w:val="Default"/>
    <w:basedOn w:val="Normalny"/>
    <w:rsid w:val="000E31DF"/>
    <w:pPr>
      <w:autoSpaceDE w:val="0"/>
      <w:autoSpaceDN w:val="0"/>
      <w:spacing w:after="0" w:line="240" w:lineRule="auto"/>
    </w:pPr>
    <w:rPr>
      <w:rFonts w:ascii="Arial" w:hAnsi="Arial" w:cs="Arial"/>
      <w:color w:val="000000"/>
      <w:sz w:val="24"/>
      <w:szCs w:val="24"/>
      <w:lang w:eastAsia="pl-PL"/>
    </w:rPr>
  </w:style>
  <w:style w:type="character" w:customStyle="1" w:styleId="Teksttreci">
    <w:name w:val="Tekst treści_"/>
    <w:link w:val="Teksttreci0"/>
    <w:rsid w:val="000A363B"/>
    <w:rPr>
      <w:rFonts w:ascii="Arial" w:eastAsia="Arial" w:hAnsi="Arial" w:cs="Arial"/>
      <w:shd w:val="clear" w:color="auto" w:fill="FFFFFF"/>
    </w:rPr>
  </w:style>
  <w:style w:type="paragraph" w:customStyle="1" w:styleId="Teksttreci0">
    <w:name w:val="Tekst treści"/>
    <w:basedOn w:val="Normalny"/>
    <w:link w:val="Teksttreci"/>
    <w:rsid w:val="000A363B"/>
    <w:pPr>
      <w:widowControl w:val="0"/>
      <w:shd w:val="clear" w:color="auto" w:fill="FFFFFF"/>
      <w:spacing w:after="0" w:line="360" w:lineRule="auto"/>
      <w:ind w:firstLine="400"/>
      <w:jc w:val="both"/>
    </w:pPr>
    <w:rPr>
      <w:rFonts w:ascii="Arial" w:eastAsia="Arial" w:hAnsi="Arial" w:cs="Arial"/>
    </w:rPr>
  </w:style>
  <w:style w:type="character" w:customStyle="1" w:styleId="teksttreci1">
    <w:name w:val="tekst treści_"/>
    <w:link w:val="teksttreci2"/>
    <w:locked/>
    <w:rsid w:val="00446621"/>
    <w:rPr>
      <w:rFonts w:ascii="Arial" w:hAnsi="Arial" w:cs="Arial"/>
      <w:shd w:val="clear" w:color="auto" w:fill="FFFFFF"/>
    </w:rPr>
  </w:style>
  <w:style w:type="paragraph" w:customStyle="1" w:styleId="teksttreci2">
    <w:name w:val="tekst treści"/>
    <w:basedOn w:val="Normalny"/>
    <w:link w:val="teksttreci1"/>
    <w:rsid w:val="00446621"/>
    <w:pPr>
      <w:shd w:val="clear" w:color="auto" w:fill="FFFFFF"/>
      <w:spacing w:after="0" w:line="360" w:lineRule="auto"/>
      <w:ind w:firstLine="400"/>
      <w:jc w:val="both"/>
    </w:pPr>
    <w:rPr>
      <w:rFonts w:ascii="Arial" w:hAnsi="Arial" w:cs="Arial"/>
    </w:rPr>
  </w:style>
  <w:style w:type="paragraph" w:styleId="Nagwek">
    <w:name w:val="header"/>
    <w:basedOn w:val="Normalny"/>
    <w:link w:val="NagwekZnak"/>
    <w:uiPriority w:val="99"/>
    <w:unhideWhenUsed/>
    <w:rsid w:val="00F137D2"/>
    <w:pPr>
      <w:tabs>
        <w:tab w:val="center" w:pos="4536"/>
        <w:tab w:val="right" w:pos="9072"/>
      </w:tabs>
      <w:spacing w:after="0" w:line="240" w:lineRule="auto"/>
    </w:pPr>
  </w:style>
  <w:style w:type="character" w:customStyle="1" w:styleId="NagwekZnak">
    <w:name w:val="Nagłówek Znak"/>
    <w:link w:val="Nagwek"/>
    <w:uiPriority w:val="99"/>
    <w:rsid w:val="00F137D2"/>
    <w:rPr>
      <w:rFonts w:ascii="Calibri" w:eastAsia="Calibri" w:hAnsi="Calibri" w:cs="Times New Roman"/>
    </w:rPr>
  </w:style>
  <w:style w:type="paragraph" w:styleId="Stopka">
    <w:name w:val="footer"/>
    <w:basedOn w:val="Normalny"/>
    <w:link w:val="StopkaZnak"/>
    <w:uiPriority w:val="99"/>
    <w:unhideWhenUsed/>
    <w:rsid w:val="00F137D2"/>
    <w:pPr>
      <w:tabs>
        <w:tab w:val="center" w:pos="4536"/>
        <w:tab w:val="right" w:pos="9072"/>
      </w:tabs>
      <w:spacing w:after="0" w:line="240" w:lineRule="auto"/>
    </w:pPr>
  </w:style>
  <w:style w:type="character" w:customStyle="1" w:styleId="StopkaZnak">
    <w:name w:val="Stopka Znak"/>
    <w:link w:val="Stopka"/>
    <w:uiPriority w:val="99"/>
    <w:rsid w:val="00F137D2"/>
    <w:rPr>
      <w:rFonts w:ascii="Calibri" w:eastAsia="Calibri" w:hAnsi="Calibri" w:cs="Times New Roman"/>
    </w:rPr>
  </w:style>
  <w:style w:type="paragraph" w:styleId="Tekstdymka">
    <w:name w:val="Balloon Text"/>
    <w:basedOn w:val="Normalny"/>
    <w:link w:val="TekstdymkaZnak"/>
    <w:uiPriority w:val="99"/>
    <w:semiHidden/>
    <w:unhideWhenUsed/>
    <w:rsid w:val="003059E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059E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4683"/>
    <w:pPr>
      <w:spacing w:after="160" w:line="256" w:lineRule="auto"/>
    </w:pPr>
    <w:rPr>
      <w:sz w:val="22"/>
      <w:szCs w:val="22"/>
      <w:lang w:eastAsia="en-US"/>
    </w:rPr>
  </w:style>
  <w:style w:type="paragraph" w:styleId="Nagwek1">
    <w:name w:val="heading 1"/>
    <w:basedOn w:val="Normalny"/>
    <w:next w:val="Normalny"/>
    <w:link w:val="Nagwek1Znak"/>
    <w:uiPriority w:val="9"/>
    <w:qFormat/>
    <w:rsid w:val="008D4683"/>
    <w:pPr>
      <w:keepNext/>
      <w:keepLines/>
      <w:spacing w:before="240" w:after="0"/>
      <w:outlineLvl w:val="0"/>
    </w:pPr>
    <w:rPr>
      <w:rFonts w:ascii="Calibri Light" w:eastAsia="Times New Roman"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8D4683"/>
    <w:rPr>
      <w:rFonts w:ascii="Calibri Light" w:eastAsia="Times New Roman" w:hAnsi="Calibri Light" w:cs="Times New Roman"/>
      <w:color w:val="2E74B5"/>
      <w:sz w:val="32"/>
      <w:szCs w:val="32"/>
    </w:rPr>
  </w:style>
  <w:style w:type="paragraph" w:styleId="Nagwekspisutreci">
    <w:name w:val="TOC Heading"/>
    <w:basedOn w:val="Nagwek1"/>
    <w:next w:val="Normalny"/>
    <w:uiPriority w:val="39"/>
    <w:unhideWhenUsed/>
    <w:qFormat/>
    <w:rsid w:val="008D4683"/>
    <w:pPr>
      <w:outlineLvl w:val="9"/>
    </w:pPr>
    <w:rPr>
      <w:lang w:eastAsia="pl-PL"/>
    </w:rPr>
  </w:style>
  <w:style w:type="paragraph" w:styleId="Akapitzlist">
    <w:name w:val="List Paragraph"/>
    <w:basedOn w:val="Normalny"/>
    <w:uiPriority w:val="34"/>
    <w:qFormat/>
    <w:rsid w:val="00860933"/>
    <w:pPr>
      <w:spacing w:line="252" w:lineRule="auto"/>
      <w:ind w:left="720"/>
      <w:contextualSpacing/>
    </w:pPr>
    <w:rPr>
      <w:rFonts w:cs="Calibri"/>
    </w:rPr>
  </w:style>
  <w:style w:type="paragraph" w:styleId="Tekstprzypisudolnego">
    <w:name w:val="footnote text"/>
    <w:basedOn w:val="Normalny"/>
    <w:link w:val="TekstprzypisudolnegoZnak"/>
    <w:uiPriority w:val="99"/>
    <w:semiHidden/>
    <w:unhideWhenUsed/>
    <w:rsid w:val="00230BCE"/>
    <w:pPr>
      <w:spacing w:line="259" w:lineRule="auto"/>
    </w:pPr>
    <w:rPr>
      <w:sz w:val="20"/>
      <w:szCs w:val="20"/>
    </w:rPr>
  </w:style>
  <w:style w:type="character" w:customStyle="1" w:styleId="TekstprzypisudolnegoZnak">
    <w:name w:val="Tekst przypisu dolnego Znak"/>
    <w:link w:val="Tekstprzypisudolnego"/>
    <w:uiPriority w:val="99"/>
    <w:semiHidden/>
    <w:rsid w:val="00230BCE"/>
    <w:rPr>
      <w:rFonts w:ascii="Calibri" w:eastAsia="Calibri" w:hAnsi="Calibri" w:cs="Times New Roman"/>
      <w:sz w:val="20"/>
      <w:szCs w:val="20"/>
    </w:rPr>
  </w:style>
  <w:style w:type="character" w:styleId="Odwoanieprzypisudolnego">
    <w:name w:val="footnote reference"/>
    <w:uiPriority w:val="99"/>
    <w:semiHidden/>
    <w:unhideWhenUsed/>
    <w:rsid w:val="00230BCE"/>
    <w:rPr>
      <w:vertAlign w:val="superscript"/>
    </w:rPr>
  </w:style>
  <w:style w:type="paragraph" w:customStyle="1" w:styleId="Default">
    <w:name w:val="Default"/>
    <w:basedOn w:val="Normalny"/>
    <w:rsid w:val="000E31DF"/>
    <w:pPr>
      <w:autoSpaceDE w:val="0"/>
      <w:autoSpaceDN w:val="0"/>
      <w:spacing w:after="0" w:line="240" w:lineRule="auto"/>
    </w:pPr>
    <w:rPr>
      <w:rFonts w:ascii="Arial" w:hAnsi="Arial" w:cs="Arial"/>
      <w:color w:val="000000"/>
      <w:sz w:val="24"/>
      <w:szCs w:val="24"/>
      <w:lang w:eastAsia="pl-PL"/>
    </w:rPr>
  </w:style>
  <w:style w:type="character" w:customStyle="1" w:styleId="Teksttreci">
    <w:name w:val="Tekst treści_"/>
    <w:link w:val="Teksttreci0"/>
    <w:rsid w:val="000A363B"/>
    <w:rPr>
      <w:rFonts w:ascii="Arial" w:eastAsia="Arial" w:hAnsi="Arial" w:cs="Arial"/>
      <w:shd w:val="clear" w:color="auto" w:fill="FFFFFF"/>
    </w:rPr>
  </w:style>
  <w:style w:type="paragraph" w:customStyle="1" w:styleId="Teksttreci0">
    <w:name w:val="Tekst treści"/>
    <w:basedOn w:val="Normalny"/>
    <w:link w:val="Teksttreci"/>
    <w:rsid w:val="000A363B"/>
    <w:pPr>
      <w:widowControl w:val="0"/>
      <w:shd w:val="clear" w:color="auto" w:fill="FFFFFF"/>
      <w:spacing w:after="0" w:line="360" w:lineRule="auto"/>
      <w:ind w:firstLine="400"/>
      <w:jc w:val="both"/>
    </w:pPr>
    <w:rPr>
      <w:rFonts w:ascii="Arial" w:eastAsia="Arial" w:hAnsi="Arial" w:cs="Arial"/>
    </w:rPr>
  </w:style>
  <w:style w:type="character" w:customStyle="1" w:styleId="teksttreci1">
    <w:name w:val="tekst treści_"/>
    <w:link w:val="teksttreci2"/>
    <w:locked/>
    <w:rsid w:val="00446621"/>
    <w:rPr>
      <w:rFonts w:ascii="Arial" w:hAnsi="Arial" w:cs="Arial"/>
      <w:shd w:val="clear" w:color="auto" w:fill="FFFFFF"/>
    </w:rPr>
  </w:style>
  <w:style w:type="paragraph" w:customStyle="1" w:styleId="teksttreci2">
    <w:name w:val="tekst treści"/>
    <w:basedOn w:val="Normalny"/>
    <w:link w:val="teksttreci1"/>
    <w:rsid w:val="00446621"/>
    <w:pPr>
      <w:shd w:val="clear" w:color="auto" w:fill="FFFFFF"/>
      <w:spacing w:after="0" w:line="360" w:lineRule="auto"/>
      <w:ind w:firstLine="400"/>
      <w:jc w:val="both"/>
    </w:pPr>
    <w:rPr>
      <w:rFonts w:ascii="Arial" w:hAnsi="Arial" w:cs="Arial"/>
    </w:rPr>
  </w:style>
  <w:style w:type="paragraph" w:styleId="Nagwek">
    <w:name w:val="header"/>
    <w:basedOn w:val="Normalny"/>
    <w:link w:val="NagwekZnak"/>
    <w:uiPriority w:val="99"/>
    <w:unhideWhenUsed/>
    <w:rsid w:val="00F137D2"/>
    <w:pPr>
      <w:tabs>
        <w:tab w:val="center" w:pos="4536"/>
        <w:tab w:val="right" w:pos="9072"/>
      </w:tabs>
      <w:spacing w:after="0" w:line="240" w:lineRule="auto"/>
    </w:pPr>
  </w:style>
  <w:style w:type="character" w:customStyle="1" w:styleId="NagwekZnak">
    <w:name w:val="Nagłówek Znak"/>
    <w:link w:val="Nagwek"/>
    <w:uiPriority w:val="99"/>
    <w:rsid w:val="00F137D2"/>
    <w:rPr>
      <w:rFonts w:ascii="Calibri" w:eastAsia="Calibri" w:hAnsi="Calibri" w:cs="Times New Roman"/>
    </w:rPr>
  </w:style>
  <w:style w:type="paragraph" w:styleId="Stopka">
    <w:name w:val="footer"/>
    <w:basedOn w:val="Normalny"/>
    <w:link w:val="StopkaZnak"/>
    <w:uiPriority w:val="99"/>
    <w:unhideWhenUsed/>
    <w:rsid w:val="00F137D2"/>
    <w:pPr>
      <w:tabs>
        <w:tab w:val="center" w:pos="4536"/>
        <w:tab w:val="right" w:pos="9072"/>
      </w:tabs>
      <w:spacing w:after="0" w:line="240" w:lineRule="auto"/>
    </w:pPr>
  </w:style>
  <w:style w:type="character" w:customStyle="1" w:styleId="StopkaZnak">
    <w:name w:val="Stopka Znak"/>
    <w:link w:val="Stopka"/>
    <w:uiPriority w:val="99"/>
    <w:rsid w:val="00F137D2"/>
    <w:rPr>
      <w:rFonts w:ascii="Calibri" w:eastAsia="Calibri" w:hAnsi="Calibri" w:cs="Times New Roman"/>
    </w:rPr>
  </w:style>
  <w:style w:type="paragraph" w:styleId="Tekstdymka">
    <w:name w:val="Balloon Text"/>
    <w:basedOn w:val="Normalny"/>
    <w:link w:val="TekstdymkaZnak"/>
    <w:uiPriority w:val="99"/>
    <w:semiHidden/>
    <w:unhideWhenUsed/>
    <w:rsid w:val="003059E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059E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577">
      <w:bodyDiv w:val="1"/>
      <w:marLeft w:val="0"/>
      <w:marRight w:val="0"/>
      <w:marTop w:val="0"/>
      <w:marBottom w:val="0"/>
      <w:divBdr>
        <w:top w:val="none" w:sz="0" w:space="0" w:color="auto"/>
        <w:left w:val="none" w:sz="0" w:space="0" w:color="auto"/>
        <w:bottom w:val="none" w:sz="0" w:space="0" w:color="auto"/>
        <w:right w:val="none" w:sz="0" w:space="0" w:color="auto"/>
      </w:divBdr>
    </w:div>
    <w:div w:id="80372837">
      <w:bodyDiv w:val="1"/>
      <w:marLeft w:val="0"/>
      <w:marRight w:val="0"/>
      <w:marTop w:val="0"/>
      <w:marBottom w:val="0"/>
      <w:divBdr>
        <w:top w:val="none" w:sz="0" w:space="0" w:color="auto"/>
        <w:left w:val="none" w:sz="0" w:space="0" w:color="auto"/>
        <w:bottom w:val="none" w:sz="0" w:space="0" w:color="auto"/>
        <w:right w:val="none" w:sz="0" w:space="0" w:color="auto"/>
      </w:divBdr>
    </w:div>
    <w:div w:id="298147990">
      <w:bodyDiv w:val="1"/>
      <w:marLeft w:val="0"/>
      <w:marRight w:val="0"/>
      <w:marTop w:val="0"/>
      <w:marBottom w:val="0"/>
      <w:divBdr>
        <w:top w:val="none" w:sz="0" w:space="0" w:color="auto"/>
        <w:left w:val="none" w:sz="0" w:space="0" w:color="auto"/>
        <w:bottom w:val="none" w:sz="0" w:space="0" w:color="auto"/>
        <w:right w:val="none" w:sz="0" w:space="0" w:color="auto"/>
      </w:divBdr>
    </w:div>
    <w:div w:id="324095051">
      <w:bodyDiv w:val="1"/>
      <w:marLeft w:val="0"/>
      <w:marRight w:val="0"/>
      <w:marTop w:val="0"/>
      <w:marBottom w:val="0"/>
      <w:divBdr>
        <w:top w:val="none" w:sz="0" w:space="0" w:color="auto"/>
        <w:left w:val="none" w:sz="0" w:space="0" w:color="auto"/>
        <w:bottom w:val="none" w:sz="0" w:space="0" w:color="auto"/>
        <w:right w:val="none" w:sz="0" w:space="0" w:color="auto"/>
      </w:divBdr>
    </w:div>
    <w:div w:id="374619109">
      <w:bodyDiv w:val="1"/>
      <w:marLeft w:val="0"/>
      <w:marRight w:val="0"/>
      <w:marTop w:val="0"/>
      <w:marBottom w:val="0"/>
      <w:divBdr>
        <w:top w:val="none" w:sz="0" w:space="0" w:color="auto"/>
        <w:left w:val="none" w:sz="0" w:space="0" w:color="auto"/>
        <w:bottom w:val="none" w:sz="0" w:space="0" w:color="auto"/>
        <w:right w:val="none" w:sz="0" w:space="0" w:color="auto"/>
      </w:divBdr>
    </w:div>
    <w:div w:id="505285911">
      <w:bodyDiv w:val="1"/>
      <w:marLeft w:val="0"/>
      <w:marRight w:val="0"/>
      <w:marTop w:val="0"/>
      <w:marBottom w:val="0"/>
      <w:divBdr>
        <w:top w:val="none" w:sz="0" w:space="0" w:color="auto"/>
        <w:left w:val="none" w:sz="0" w:space="0" w:color="auto"/>
        <w:bottom w:val="none" w:sz="0" w:space="0" w:color="auto"/>
        <w:right w:val="none" w:sz="0" w:space="0" w:color="auto"/>
      </w:divBdr>
    </w:div>
    <w:div w:id="1093404446">
      <w:bodyDiv w:val="1"/>
      <w:marLeft w:val="0"/>
      <w:marRight w:val="0"/>
      <w:marTop w:val="0"/>
      <w:marBottom w:val="0"/>
      <w:divBdr>
        <w:top w:val="none" w:sz="0" w:space="0" w:color="auto"/>
        <w:left w:val="none" w:sz="0" w:space="0" w:color="auto"/>
        <w:bottom w:val="none" w:sz="0" w:space="0" w:color="auto"/>
        <w:right w:val="none" w:sz="0" w:space="0" w:color="auto"/>
      </w:divBdr>
    </w:div>
    <w:div w:id="1107038275">
      <w:bodyDiv w:val="1"/>
      <w:marLeft w:val="0"/>
      <w:marRight w:val="0"/>
      <w:marTop w:val="0"/>
      <w:marBottom w:val="0"/>
      <w:divBdr>
        <w:top w:val="none" w:sz="0" w:space="0" w:color="auto"/>
        <w:left w:val="none" w:sz="0" w:space="0" w:color="auto"/>
        <w:bottom w:val="none" w:sz="0" w:space="0" w:color="auto"/>
        <w:right w:val="none" w:sz="0" w:space="0" w:color="auto"/>
      </w:divBdr>
    </w:div>
    <w:div w:id="1235899225">
      <w:bodyDiv w:val="1"/>
      <w:marLeft w:val="0"/>
      <w:marRight w:val="0"/>
      <w:marTop w:val="0"/>
      <w:marBottom w:val="0"/>
      <w:divBdr>
        <w:top w:val="none" w:sz="0" w:space="0" w:color="auto"/>
        <w:left w:val="none" w:sz="0" w:space="0" w:color="auto"/>
        <w:bottom w:val="none" w:sz="0" w:space="0" w:color="auto"/>
        <w:right w:val="none" w:sz="0" w:space="0" w:color="auto"/>
      </w:divBdr>
    </w:div>
    <w:div w:id="1303005701">
      <w:bodyDiv w:val="1"/>
      <w:marLeft w:val="0"/>
      <w:marRight w:val="0"/>
      <w:marTop w:val="0"/>
      <w:marBottom w:val="0"/>
      <w:divBdr>
        <w:top w:val="none" w:sz="0" w:space="0" w:color="auto"/>
        <w:left w:val="none" w:sz="0" w:space="0" w:color="auto"/>
        <w:bottom w:val="none" w:sz="0" w:space="0" w:color="auto"/>
        <w:right w:val="none" w:sz="0" w:space="0" w:color="auto"/>
      </w:divBdr>
    </w:div>
    <w:div w:id="1470594262">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830169656">
      <w:bodyDiv w:val="1"/>
      <w:marLeft w:val="0"/>
      <w:marRight w:val="0"/>
      <w:marTop w:val="0"/>
      <w:marBottom w:val="0"/>
      <w:divBdr>
        <w:top w:val="none" w:sz="0" w:space="0" w:color="auto"/>
        <w:left w:val="none" w:sz="0" w:space="0" w:color="auto"/>
        <w:bottom w:val="none" w:sz="0" w:space="0" w:color="auto"/>
        <w:right w:val="none" w:sz="0" w:space="0" w:color="auto"/>
      </w:divBdr>
    </w:div>
    <w:div w:id="1925140046">
      <w:bodyDiv w:val="1"/>
      <w:marLeft w:val="0"/>
      <w:marRight w:val="0"/>
      <w:marTop w:val="0"/>
      <w:marBottom w:val="0"/>
      <w:divBdr>
        <w:top w:val="none" w:sz="0" w:space="0" w:color="auto"/>
        <w:left w:val="none" w:sz="0" w:space="0" w:color="auto"/>
        <w:bottom w:val="none" w:sz="0" w:space="0" w:color="auto"/>
        <w:right w:val="none" w:sz="0" w:space="0" w:color="auto"/>
      </w:divBdr>
    </w:div>
    <w:div w:id="1932470379">
      <w:bodyDiv w:val="1"/>
      <w:marLeft w:val="0"/>
      <w:marRight w:val="0"/>
      <w:marTop w:val="0"/>
      <w:marBottom w:val="0"/>
      <w:divBdr>
        <w:top w:val="none" w:sz="0" w:space="0" w:color="auto"/>
        <w:left w:val="none" w:sz="0" w:space="0" w:color="auto"/>
        <w:bottom w:val="none" w:sz="0" w:space="0" w:color="auto"/>
        <w:right w:val="none" w:sz="0" w:space="0" w:color="auto"/>
      </w:divBdr>
    </w:div>
    <w:div w:id="19648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2099</Words>
  <Characters>12595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Gumowska Beata</dc:creator>
  <cp:lastModifiedBy>Kutyła-Sułkowska Daria</cp:lastModifiedBy>
  <cp:revision>2</cp:revision>
  <cp:lastPrinted>2021-04-16T13:11:00Z</cp:lastPrinted>
  <dcterms:created xsi:type="dcterms:W3CDTF">2021-04-29T06:20:00Z</dcterms:created>
  <dcterms:modified xsi:type="dcterms:W3CDTF">2021-04-29T06:20:00Z</dcterms:modified>
</cp:coreProperties>
</file>