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FE" w:rsidRPr="00E008EE" w:rsidRDefault="00D43CFE" w:rsidP="00B06B03">
      <w:pPr>
        <w:rPr>
          <w:rFonts w:ascii="Times New Roman" w:hAnsi="Times New Roman" w:cs="Times New Roman"/>
          <w:sz w:val="20"/>
          <w:szCs w:val="20"/>
        </w:rPr>
      </w:pPr>
    </w:p>
    <w:p w:rsidR="00B06B03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</w:t>
      </w:r>
    </w:p>
    <w:p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obsługa korespondencji przy użyciu </w:t>
      </w:r>
    </w:p>
    <w:p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elektronicznej skrzynki podawczej e-doręczenia </w:t>
      </w:r>
    </w:p>
    <w:p w:rsidR="008005F0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53419E" w:rsidTr="00E646C0">
        <w:tc>
          <w:tcPr>
            <w:tcW w:w="9639" w:type="dxa"/>
          </w:tcPr>
          <w:p w:rsidR="004A6C5A" w:rsidRDefault="004A6C5A" w:rsidP="004A6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Komendant Powiatowy Państwowej Straży Pożarnej w Złotoryi,  </w:t>
            </w:r>
          </w:p>
          <w:p w:rsidR="00D43CFE" w:rsidRPr="00E646C0" w:rsidRDefault="004A6C5A" w:rsidP="004A6C5A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0563C1"/>
                <w:kern w:val="2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ul. Legnicka 49, 59-500 Złotoryja, e-mail: </w:t>
            </w:r>
            <w:r w:rsidRPr="00022EAC">
              <w:rPr>
                <w:rStyle w:val="Hipercze"/>
                <w:rFonts w:ascii="Times New Roman" w:hAnsi="Times New Roman"/>
                <w:color w:val="0070C0"/>
              </w:rPr>
              <w:t>kpzlotoryja@kwpsp.wroc.pl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224E47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ódzka PSP we Wrocławiu,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53419E" w:rsidTr="00E646C0">
        <w:trPr>
          <w:trHeight w:val="545"/>
        </w:trPr>
        <w:tc>
          <w:tcPr>
            <w:tcW w:w="9639" w:type="dxa"/>
          </w:tcPr>
          <w:p w:rsidR="00E646C0" w:rsidRDefault="00B06B03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Dane przesłane przy użyciu korespondencji z wykorzystaniem usługi rejestrowanego doręczenia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elektronicznego i publicznej usługi hybrydowej przetwarzane będą na podstawie art. 6 ust. 1 lit c RODO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związku z ustawą z dnia 18 listopada 2020 r. o doręczeniach elektronicznych w celu wykonania obowiązku prawnego ciążącego na administratorze w związku z przesłaną do administratora </w:t>
            </w:r>
            <w:r w:rsidR="004A6C5A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korespondencją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  <w:p w:rsidR="00B06B03" w:rsidRPr="00B06B03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 na administratorze wynikających z zadań określonych w przepisach szczególnych, art. 6 ust. 1 lit e RODO, kiedy dane są niezbędne do wykonywania zadań realizowanych przez administratora w interesie 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oraz art. 9 ust. 2 lit. b RODO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na podstawie zgody. Zgoda jest wymagana, gdy uprawnienie do przetwarzania danych osobowych nie wynika wprost z przepisów prawa, a przekażą Państwo administratorowi z własnej inicjatywy więcej danych niż jest to konieczne dla załatwienia Państwa sprawy (tzw. działanie wyraźnie potwierdzające).</w:t>
            </w:r>
            <w:r w:rsidR="007E3E87">
              <w:t xml:space="preserve"> 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B06B0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,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są nimi m.in.: w zakresie e-doręczeń Poczta Polska S.A. jako dostawca publiczny oraz komercyjni dostawcy niepubliczni, wpisani do rejestru prowadzonego przez Ministra </w:t>
            </w:r>
            <w:bookmarkStart w:id="0" w:name="_GoBack"/>
            <w:bookmarkEnd w:id="0"/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Cyfryzacji, w pozostałym zakresie inne podmioty świadczące usługi pocztowe, telekomunikacyjne, bankowe, jednostki organizacyjne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realizujące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jego ustawowe zadania oraz inne podmioty publiczne, gdy wystąpią z takim żądaniem, oczywiście w oparciu o stosowną podstawę prawną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.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Państwa dane osobowe możemy także przekazywać podmiotom, które przetwarzają je na zlecenie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dministratora tzw. podmiotom przetwarzającym, są nimi np.: podmioty świadczące dla administratora usługi wsparcia w zakresie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 w:rsidR="00A30C64"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np. w zakresie fizycznego wybrakowania i zniszczenia dokumentów, firma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7E3E87" w:rsidRDefault="00224E47" w:rsidP="004A6C5A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 xml:space="preserve">Podanie danych jest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wymogiem ustaw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>owym,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na podstawie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którego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działa administrator. Jeżeli odmówią Państwo podania swoich danych lub podadzą nieprawidłowe dane, administrator nie będzie mógł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realizować celu do jakiego zobowiązują go przepisy prawa,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Podanie danych jest dobrowolne gdy odbywa się na podstawie Państwa zgody, która może być cofnięta w dowolnym momencie.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53419E" w:rsidP="009D01DB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 w:rsidR="00224E47"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lastRenderedPageBreak/>
              <w:t>UODO</w:t>
            </w:r>
            <w:r w:rsidR="009D01DB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.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Wymienione prawa mogą być ograniczone, kiedy Administrator jest zobowiązany prawnie do przetwarzania danych w celu realizacji obowiązku ustawowego lub występują inne nadrzędne prawne podstawy przetwarzania.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 xml:space="preserve">Dla danych osobowych przetwarzanych w oparciu o art. 6 ust. 1 lit. a i/lub art. 9 ust. 2 lit. a RODO, dodatkowo przysługuje Pani/Panu prawo </w:t>
            </w:r>
            <w:r w:rsidR="007E3E87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>do usunięcia tych danych osobowych.</w:t>
            </w:r>
            <w:r w:rsidR="00B06B03" w:rsidRPr="00B06B03">
              <w:rPr>
                <w:rFonts w:ascii="Times New Roman" w:hAnsi="Times New Roman" w:cs="Times New Roman"/>
                <w:kern w:val="0"/>
              </w:rPr>
              <w:t xml:space="preserve"> Cofnięcie zgody nie wpływa na przetwarzanie danych dokonywane przez administratora przed jej cofnięciem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lastRenderedPageBreak/>
              <w:t>Prawo do sprzeciwu: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53419E" w:rsidRPr="0053419E" w:rsidTr="00E646C0">
        <w:tc>
          <w:tcPr>
            <w:tcW w:w="9639" w:type="dxa"/>
            <w:shd w:val="clear" w:color="auto" w:fill="D9D9D9"/>
          </w:tcPr>
          <w:p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53419E" w:rsidTr="00E646C0">
        <w:tc>
          <w:tcPr>
            <w:tcW w:w="9639" w:type="dxa"/>
          </w:tcPr>
          <w:p w:rsidR="0053419E" w:rsidRPr="0053419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przetwarzane będą do czasu istnienia podstawy do ich przetwarzania, w tym również przez okres przewidziany w przepisach dotyczących przechowywania i archiwizacji dokumentacji, i tak: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w zakresie danych, gdzie wyrazili Państwo zgodę na ich przetwarzanie, do czasu cofnięcie zgody, nie dłużej jednak niż 3 lata od ostatniego kontaktu drogą elektroniczną z administratorem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;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w pozostałych przypadkach,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:rsidR="0053419E" w:rsidRPr="00224E47" w:rsidRDefault="0053419E" w:rsidP="00E008EE">
      <w:pPr>
        <w:spacing w:after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:rsidR="0053419E" w:rsidRDefault="0053419E" w:rsidP="00E008EE">
      <w:pPr>
        <w:spacing w:after="360"/>
        <w:jc w:val="both"/>
        <w:rPr>
          <w:rFonts w:ascii="Times New Roman" w:hAnsi="Times New Roman" w:cs="Times New Roman"/>
          <w:b/>
          <w:bCs/>
        </w:rPr>
      </w:pPr>
    </w:p>
    <w:p w:rsidR="008005F0" w:rsidRPr="00E008EE" w:rsidRDefault="008005F0" w:rsidP="00224E47">
      <w:pPr>
        <w:jc w:val="both"/>
        <w:rPr>
          <w:rFonts w:ascii="Times New Roman" w:hAnsi="Times New Roman" w:cs="Times New Roman"/>
        </w:rPr>
      </w:pPr>
    </w:p>
    <w:sectPr w:rsidR="008005F0" w:rsidRPr="00E008E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3B" w:rsidRDefault="00BB6C3B">
      <w:r>
        <w:separator/>
      </w:r>
    </w:p>
  </w:endnote>
  <w:endnote w:type="continuationSeparator" w:id="0">
    <w:p w:rsidR="00BB6C3B" w:rsidRDefault="00BB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3B" w:rsidRDefault="00BB6C3B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:rsidR="00BB6C3B" w:rsidRDefault="00BB6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4"/>
    <w:rsid w:val="00022EAC"/>
    <w:rsid w:val="000E5998"/>
    <w:rsid w:val="000F300F"/>
    <w:rsid w:val="00175F78"/>
    <w:rsid w:val="00224E47"/>
    <w:rsid w:val="002262A8"/>
    <w:rsid w:val="002E154A"/>
    <w:rsid w:val="0047559A"/>
    <w:rsid w:val="004A6C5A"/>
    <w:rsid w:val="0053419E"/>
    <w:rsid w:val="005503EE"/>
    <w:rsid w:val="00565304"/>
    <w:rsid w:val="006C3142"/>
    <w:rsid w:val="006D0ECD"/>
    <w:rsid w:val="00731D58"/>
    <w:rsid w:val="007E3E87"/>
    <w:rsid w:val="008005F0"/>
    <w:rsid w:val="00850938"/>
    <w:rsid w:val="009D01DB"/>
    <w:rsid w:val="009D094E"/>
    <w:rsid w:val="00A05434"/>
    <w:rsid w:val="00A30C64"/>
    <w:rsid w:val="00B06B03"/>
    <w:rsid w:val="00BB6C3B"/>
    <w:rsid w:val="00BF5DB6"/>
    <w:rsid w:val="00CC03B3"/>
    <w:rsid w:val="00D352AD"/>
    <w:rsid w:val="00D43CFE"/>
    <w:rsid w:val="00D6498A"/>
    <w:rsid w:val="00D65124"/>
    <w:rsid w:val="00DB14B5"/>
    <w:rsid w:val="00E008EE"/>
    <w:rsid w:val="00E209C2"/>
    <w:rsid w:val="00E250A0"/>
    <w:rsid w:val="00E646C0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D46FC6-51DD-4A89-91CA-F31F146D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calibri</vt:lpstr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M.Grubczyński</cp:lastModifiedBy>
  <cp:revision>8</cp:revision>
  <dcterms:created xsi:type="dcterms:W3CDTF">2025-01-29T08:07:00Z</dcterms:created>
  <dcterms:modified xsi:type="dcterms:W3CDTF">2025-05-20T11:40:00Z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