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2DAB" w14:textId="5AD9E143" w:rsidR="00460FB2" w:rsidRPr="00A7184C" w:rsidRDefault="00A7184C" w:rsidP="0084402C">
      <w:pPr>
        <w:spacing w:line="240" w:lineRule="auto"/>
        <w:jc w:val="both"/>
        <w:rPr>
          <w:b/>
          <w:bCs/>
        </w:rPr>
      </w:pPr>
      <w:r w:rsidRPr="00A7184C">
        <w:rPr>
          <w:b/>
          <w:bCs/>
        </w:rPr>
        <w:t>Ocena funkcjonowania ustawy</w:t>
      </w:r>
      <w:r w:rsidRPr="00A7184C">
        <w:rPr>
          <w:b/>
          <w:bCs/>
        </w:rPr>
        <w:t xml:space="preserve"> o zmianie niektórych ustaw w celu ułatwienia dochodzenia wierzytelności</w:t>
      </w:r>
      <w:r w:rsidRPr="00A7184C">
        <w:rPr>
          <w:b/>
          <w:bCs/>
        </w:rPr>
        <w:t xml:space="preserve"> (tzw. pakiet wierzycielski)</w:t>
      </w:r>
    </w:p>
    <w:p w14:paraId="4959E5E4" w14:textId="66BEDFF5" w:rsidR="004375F8" w:rsidRDefault="004375F8" w:rsidP="0084402C">
      <w:pPr>
        <w:spacing w:after="120" w:line="240" w:lineRule="auto"/>
        <w:jc w:val="both"/>
      </w:pPr>
      <w:r w:rsidRPr="004375F8">
        <w:t>Ministerstwo Rozwoju i Technologii dokonało analizy funkcjonowania</w:t>
      </w:r>
      <w:r>
        <w:t xml:space="preserve"> ustawy z dnia 7 </w:t>
      </w:r>
      <w:r w:rsidR="00105C21">
        <w:t>kwietnia</w:t>
      </w:r>
      <w:r>
        <w:t xml:space="preserve"> 2017 r.</w:t>
      </w:r>
      <w:r w:rsidRPr="004375F8">
        <w:rPr>
          <w:b/>
          <w:bCs/>
        </w:rPr>
        <w:t xml:space="preserve"> </w:t>
      </w:r>
      <w:r w:rsidRPr="004375F8">
        <w:t>o zmianie niektórych ustaw w celu ułatwienia dochodzenia wierzytelności</w:t>
      </w:r>
      <w:r w:rsidRPr="004375F8">
        <w:t>.</w:t>
      </w:r>
    </w:p>
    <w:p w14:paraId="1B8D180E" w14:textId="2E09CF13" w:rsidR="00A7184C" w:rsidRPr="00A7184C" w:rsidRDefault="00A7184C" w:rsidP="0084402C">
      <w:pPr>
        <w:spacing w:after="0" w:line="240" w:lineRule="auto"/>
        <w:jc w:val="both"/>
      </w:pPr>
      <w:r w:rsidRPr="00A7184C">
        <w:t>Ustawa wprowadziła szereg rozwiązań zmierzających do zwiększenia wiarygodności oceny zdolności płatniczej kontrahenta lub kondycji finansowej dłużnika, jak również skuteczności uzyskania zapłaty należności, uwzględniając następujące etapy:</w:t>
      </w:r>
    </w:p>
    <w:p w14:paraId="0EE0932D" w14:textId="77777777" w:rsidR="00A7184C" w:rsidRPr="00A7184C" w:rsidRDefault="00A7184C" w:rsidP="0084402C">
      <w:pPr>
        <w:numPr>
          <w:ilvl w:val="0"/>
          <w:numId w:val="3"/>
        </w:numPr>
        <w:spacing w:after="0" w:line="240" w:lineRule="auto"/>
        <w:jc w:val="both"/>
      </w:pPr>
      <w:r w:rsidRPr="00A7184C">
        <w:t>zaciągnięcie zobowiązania;</w:t>
      </w:r>
    </w:p>
    <w:p w14:paraId="587AE0C4" w14:textId="77777777" w:rsidR="00A7184C" w:rsidRPr="00A7184C" w:rsidRDefault="00A7184C" w:rsidP="0084402C">
      <w:pPr>
        <w:numPr>
          <w:ilvl w:val="0"/>
          <w:numId w:val="3"/>
        </w:numPr>
        <w:spacing w:after="0" w:line="240" w:lineRule="auto"/>
        <w:jc w:val="both"/>
      </w:pPr>
      <w:r w:rsidRPr="00A7184C">
        <w:t>dochodzenie zapłaty;</w:t>
      </w:r>
    </w:p>
    <w:p w14:paraId="7D0D9A9D" w14:textId="77777777" w:rsidR="00A7184C" w:rsidRDefault="00A7184C" w:rsidP="0084402C">
      <w:pPr>
        <w:numPr>
          <w:ilvl w:val="0"/>
          <w:numId w:val="3"/>
        </w:numPr>
        <w:spacing w:after="120" w:line="240" w:lineRule="auto"/>
        <w:ind w:left="714" w:hanging="357"/>
        <w:jc w:val="both"/>
      </w:pPr>
      <w:r w:rsidRPr="00A7184C">
        <w:t>zabezpieczenie roszczenia w związku z postępowaniem sądowym i egzekucja długu.</w:t>
      </w:r>
    </w:p>
    <w:p w14:paraId="2386607D" w14:textId="798982EA" w:rsidR="00B44F5A" w:rsidRPr="00A7184C" w:rsidRDefault="00B44F5A" w:rsidP="0084402C">
      <w:pPr>
        <w:spacing w:after="120" w:line="240" w:lineRule="auto"/>
        <w:jc w:val="both"/>
      </w:pPr>
      <w:r w:rsidRPr="00B44F5A">
        <w:t>Podstawowym celem regulacji było wzmocnienie praw i gwarancji dla wierzycieli, w szczególności będących przedsiębiorcami z sektora MŚP</w:t>
      </w:r>
      <w:r>
        <w:t>.</w:t>
      </w:r>
    </w:p>
    <w:p w14:paraId="14D89893" w14:textId="77777777" w:rsidR="00A7184C" w:rsidRPr="00A7184C" w:rsidRDefault="00A7184C" w:rsidP="0084402C">
      <w:pPr>
        <w:spacing w:line="240" w:lineRule="auto"/>
        <w:rPr>
          <w:b/>
          <w:bCs/>
          <w:iCs/>
        </w:rPr>
      </w:pPr>
      <w:r w:rsidRPr="00A7184C">
        <w:rPr>
          <w:b/>
          <w:bCs/>
          <w:iCs/>
        </w:rPr>
        <w:t xml:space="preserve">Wyniki oceny funkcjonowania ustawy </w:t>
      </w:r>
    </w:p>
    <w:p w14:paraId="4D999AC9" w14:textId="610F9E5E" w:rsidR="00F77A17" w:rsidRPr="00F77A17" w:rsidRDefault="00F77A17" w:rsidP="0084402C">
      <w:pPr>
        <w:spacing w:line="240" w:lineRule="auto"/>
        <w:jc w:val="both"/>
      </w:pPr>
      <w:r w:rsidRPr="00F77A17">
        <w:t>W pierwszych dwóch latach funkcjonowania ustawy nastąpił szczególnie dynamiczny wzrost informacji gospodarczych w bazie biur informacji gospodarczej</w:t>
      </w:r>
      <w:r w:rsidR="00B44F5A">
        <w:t xml:space="preserve"> (w czerwcu 2018 r. ok.120 mln informacji, w grudniu 2019 r. – ok. 175 mln informacji)</w:t>
      </w:r>
      <w:r w:rsidRPr="00F77A17">
        <w:t xml:space="preserve">. </w:t>
      </w:r>
      <w:r w:rsidR="0084402C">
        <w:t>W</w:t>
      </w:r>
      <w:r w:rsidRPr="00F77A17">
        <w:t xml:space="preserve"> kolejnych latach dynamika wzrostu informacji w bazie była mniejsza. </w:t>
      </w:r>
      <w:r w:rsidR="0084402C">
        <w:t>W</w:t>
      </w:r>
      <w:r w:rsidRPr="00F77A17">
        <w:t xml:space="preserve">drożone </w:t>
      </w:r>
      <w:r w:rsidR="0084402C">
        <w:t xml:space="preserve">rozwiązania </w:t>
      </w:r>
      <w:r w:rsidR="00B44F5A">
        <w:t xml:space="preserve">usprawniły </w:t>
      </w:r>
      <w:r w:rsidRPr="00F77A17">
        <w:t>działalnoś</w:t>
      </w:r>
      <w:r w:rsidR="00B44F5A">
        <w:t>ć</w:t>
      </w:r>
      <w:r w:rsidRPr="00F77A17">
        <w:t xml:space="preserve"> biur informacji gospodarczej</w:t>
      </w:r>
      <w:r w:rsidR="0084402C">
        <w:t>, a b</w:t>
      </w:r>
      <w:r w:rsidRPr="00F77A17">
        <w:t>azy danych zawierają teraz bardziej kompleksowe informacje o dłużnikach.</w:t>
      </w:r>
    </w:p>
    <w:p w14:paraId="3929DA8A" w14:textId="3B3BDC66" w:rsidR="00A7184C" w:rsidRDefault="00F77A17" w:rsidP="0084402C">
      <w:pPr>
        <w:spacing w:line="240" w:lineRule="auto"/>
        <w:jc w:val="both"/>
      </w:pPr>
      <w:r w:rsidRPr="00F77A17">
        <w:t xml:space="preserve">Z kolei, </w:t>
      </w:r>
      <w:r w:rsidR="0084402C">
        <w:t>do czerwca 2023 r.</w:t>
      </w:r>
      <w:r w:rsidRPr="00F77A17">
        <w:t xml:space="preserve"> </w:t>
      </w:r>
      <w:r w:rsidR="0084402C">
        <w:t xml:space="preserve">do </w:t>
      </w:r>
      <w:r w:rsidRPr="00F77A17">
        <w:t>Rejestru Należności Publicznoprawnych (RNP), którego celem jest gromadzenie i udostępnianie informacji na temat nierzetelnych podmiotów, wprowadzono ponad 20 milionów wpisów. Utworzenie RNP mogło w pewnym stopniu przyczynić się do poprawy ściągalności zaległych zobowiązań wobec budżetu</w:t>
      </w:r>
      <w:r>
        <w:t>.</w:t>
      </w:r>
    </w:p>
    <w:p w14:paraId="3770A6F4" w14:textId="4FA91AD4" w:rsidR="00F77A17" w:rsidRPr="00F77A17" w:rsidRDefault="00C96EC8" w:rsidP="0084402C">
      <w:pPr>
        <w:spacing w:line="240" w:lineRule="auto"/>
        <w:jc w:val="both"/>
        <w:rPr>
          <w:b/>
          <w:bCs/>
        </w:rPr>
      </w:pPr>
      <w:r>
        <w:t>Natomiast w</w:t>
      </w:r>
      <w:r w:rsidR="00F77A17" w:rsidRPr="00F77A17">
        <w:t>prowadzone zmiany w art. 647</w:t>
      </w:r>
      <w:r w:rsidR="00F77A17" w:rsidRPr="00F77A17">
        <w:rPr>
          <w:vertAlign w:val="superscript"/>
        </w:rPr>
        <w:t xml:space="preserve">1 </w:t>
      </w:r>
      <w:r w:rsidR="00F77A17" w:rsidRPr="00F77A17">
        <w:t>Kodeksu cywilnego</w:t>
      </w:r>
      <w:r w:rsidR="00B44F5A">
        <w:t>, dot.</w:t>
      </w:r>
      <w:r w:rsidR="00F77A17" w:rsidRPr="00F77A17">
        <w:t xml:space="preserve"> </w:t>
      </w:r>
      <w:r w:rsidR="00B44F5A">
        <w:t>z</w:t>
      </w:r>
      <w:r w:rsidR="00B44F5A" w:rsidRPr="00F77A17">
        <w:t>mian</w:t>
      </w:r>
      <w:r w:rsidR="00B44F5A">
        <w:t>y</w:t>
      </w:r>
      <w:r w:rsidR="00B44F5A" w:rsidRPr="00F77A17">
        <w:t xml:space="preserve"> reguł odpowiedzialności inwestora za zobowiązania wobec podwykonawcy w procesie budowlanym </w:t>
      </w:r>
      <w:r w:rsidR="00F77A17" w:rsidRPr="00F77A17">
        <w:t>rozwiały liczne wątpliwości interpretacyjne.</w:t>
      </w:r>
      <w:r w:rsidR="00F77A17" w:rsidRPr="00F77A17">
        <w:rPr>
          <w:b/>
          <w:bCs/>
        </w:rPr>
        <w:t xml:space="preserve"> </w:t>
      </w:r>
    </w:p>
    <w:p w14:paraId="7BBF16F8" w14:textId="4D00B20B" w:rsidR="00F77A17" w:rsidRPr="00F77A17" w:rsidRDefault="0084402C" w:rsidP="0084402C">
      <w:pPr>
        <w:spacing w:line="240" w:lineRule="auto"/>
        <w:jc w:val="both"/>
      </w:pPr>
      <w:r>
        <w:t>O</w:t>
      </w:r>
      <w:r w:rsidR="00F77A17" w:rsidRPr="00F77A17">
        <w:t>kreślenie przesłanek uzasadniających zawarcie przez podmiot gospodarujący środkami publicznymi, ugody w sprawach dotyczących należności cywilnoprawnych umożliwiło racjonalizację działań jednostek sektora finansów publicznych. Uregulowanie wprost możliwości przewidującej zawarcie ugody przez jednostki sektora finansów publicznych</w:t>
      </w:r>
      <w:r>
        <w:t xml:space="preserve"> rozwiało </w:t>
      </w:r>
      <w:r w:rsidR="00F77A17" w:rsidRPr="00F77A17">
        <w:t>wiele wątpliwości</w:t>
      </w:r>
      <w:r w:rsidR="00850864">
        <w:t>, a s</w:t>
      </w:r>
      <w:r w:rsidR="00F77A17" w:rsidRPr="00F77A17">
        <w:t xml:space="preserve">tatystyki sporządzone przez Prokuratorię Generalną RP (PGRP) dowodzą, że jednostki sektora finansów publicznych zawierają coraz więcej ugód oraz chętniej uczestniczą w postępowaniach </w:t>
      </w:r>
      <w:proofErr w:type="spellStart"/>
      <w:r w:rsidR="00F77A17" w:rsidRPr="00F77A17">
        <w:t>pozaprocesowych</w:t>
      </w:r>
      <w:proofErr w:type="spellEnd"/>
      <w:r w:rsidR="00F77A17" w:rsidRPr="00F77A17">
        <w:t>.</w:t>
      </w:r>
    </w:p>
    <w:p w14:paraId="37001365" w14:textId="2974966A" w:rsidR="00005167" w:rsidRPr="00005167" w:rsidRDefault="00005167" w:rsidP="0084402C">
      <w:pPr>
        <w:spacing w:line="240" w:lineRule="auto"/>
        <w:jc w:val="both"/>
      </w:pPr>
      <w:r w:rsidRPr="00005167">
        <w:t xml:space="preserve">Z analizy danych dotyczących postępowań uproszczonych w sądach wynika, że bezpośrednim efektem podniesienia progu wartości przedmiotu sporu w postępowaniu uproszczonym było istotne zwiększenie w 2017 roku liczby spraw rozpoznawanych w tym postępowaniu i utrzymywanie się tego stanu w latach następnych, z wyjątkiem </w:t>
      </w:r>
      <w:r w:rsidR="00850864">
        <w:t xml:space="preserve">m.in. </w:t>
      </w:r>
      <w:r w:rsidRPr="00005167">
        <w:t xml:space="preserve">2020 roku, w którym z powodu pandemii Covid-19 nastąpił znaczący spadek ilości </w:t>
      </w:r>
      <w:r w:rsidR="00850864">
        <w:t xml:space="preserve">rozpoznawanych </w:t>
      </w:r>
      <w:r w:rsidRPr="00005167">
        <w:t>spraw.</w:t>
      </w:r>
    </w:p>
    <w:p w14:paraId="2AE2215A" w14:textId="180390D2" w:rsidR="00C96EC8" w:rsidRPr="00C96EC8" w:rsidRDefault="00005167" w:rsidP="0084402C">
      <w:pPr>
        <w:spacing w:line="240" w:lineRule="auto"/>
        <w:jc w:val="both"/>
      </w:pPr>
      <w:r w:rsidRPr="00005167">
        <w:t xml:space="preserve">Ocenianą ustawą zniwelowano </w:t>
      </w:r>
      <w:r w:rsidR="00C96EC8">
        <w:t xml:space="preserve">też </w:t>
      </w:r>
      <w:r w:rsidRPr="00005167">
        <w:t>niektóre szczegółowe problemy i wątpliwości interpretacyjne, które pojawiły się w praktyce stosowania ustawy o dochodzeniu roszczeń w postępowaniach grupowych.</w:t>
      </w:r>
      <w:r w:rsidR="00C96EC8" w:rsidRPr="00C96EC8">
        <w:rPr>
          <w:rFonts w:ascii="TimesNewRomanPSMT" w:eastAsia="Calibri" w:hAnsi="TimesNewRomanPSMT" w:cs="TimesNewRomanPSMT"/>
          <w:kern w:val="0"/>
          <w:lang w:eastAsia="pl-PL"/>
          <w14:ligatures w14:val="none"/>
        </w:rPr>
        <w:t xml:space="preserve"> </w:t>
      </w:r>
      <w:r w:rsidR="00C96EC8" w:rsidRPr="00C96EC8">
        <w:t>Natomiast</w:t>
      </w:r>
      <w:r w:rsidR="00850864">
        <w:t xml:space="preserve"> </w:t>
      </w:r>
      <w:r w:rsidR="00C96EC8" w:rsidRPr="00C96EC8">
        <w:t xml:space="preserve">postępowania grupowe, nawet mimo pewnych uproszczeń w całej procedurze, wprowadzonych ocenianą ustawą, w dalszym ciągu nie są popularne. </w:t>
      </w:r>
    </w:p>
    <w:p w14:paraId="6FF46321" w14:textId="2F49EC78" w:rsidR="00A6696D" w:rsidRPr="00A6696D" w:rsidRDefault="00A7184C" w:rsidP="0084402C">
      <w:pPr>
        <w:spacing w:line="240" w:lineRule="auto"/>
        <w:jc w:val="both"/>
      </w:pPr>
      <w:r w:rsidRPr="00A7184C">
        <w:t>Generalnie, realizację celów ustawy z dnia 7 kwietnia 2017 r. o zmianie niektórych ustaw w celu ułatwienia dochodzenia wierzytelności należy ocenić pozytywnie.</w:t>
      </w:r>
      <w:r w:rsidR="00A6696D" w:rsidRPr="00A6696D">
        <w:t xml:space="preserve"> </w:t>
      </w:r>
    </w:p>
    <w:p w14:paraId="69F0F644" w14:textId="5BD78D99" w:rsidR="00A7184C" w:rsidRDefault="004375F8" w:rsidP="00850864">
      <w:pPr>
        <w:spacing w:line="240" w:lineRule="auto"/>
        <w:jc w:val="both"/>
      </w:pPr>
      <w:r w:rsidRPr="004375F8">
        <w:t>Ocena była przedmiotem konsultacji i opiniowania z największymi organizacjami</w:t>
      </w:r>
      <w:r w:rsidR="00C96EC8">
        <w:t xml:space="preserve"> </w:t>
      </w:r>
      <w:r w:rsidRPr="004375F8">
        <w:t xml:space="preserve">reprezentującymi przedsiębiorców oraz z ministerstwami i innymi urzędami. </w:t>
      </w:r>
    </w:p>
    <w:sectPr w:rsidR="00A71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15181"/>
    <w:multiLevelType w:val="hybridMultilevel"/>
    <w:tmpl w:val="240425B4"/>
    <w:lvl w:ilvl="0" w:tplc="69A0A6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571EA"/>
    <w:multiLevelType w:val="hybridMultilevel"/>
    <w:tmpl w:val="D4A40E86"/>
    <w:lvl w:ilvl="0" w:tplc="69A0A6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EA7319"/>
    <w:multiLevelType w:val="hybridMultilevel"/>
    <w:tmpl w:val="9AFC3B2A"/>
    <w:lvl w:ilvl="0" w:tplc="9F5CF2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A3844"/>
    <w:multiLevelType w:val="hybridMultilevel"/>
    <w:tmpl w:val="43C2FE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2161636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194926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2457049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24585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4C"/>
    <w:rsid w:val="00005167"/>
    <w:rsid w:val="00105C21"/>
    <w:rsid w:val="004375F8"/>
    <w:rsid w:val="00460FB2"/>
    <w:rsid w:val="0084402C"/>
    <w:rsid w:val="00850864"/>
    <w:rsid w:val="00A6696D"/>
    <w:rsid w:val="00A7184C"/>
    <w:rsid w:val="00B44F5A"/>
    <w:rsid w:val="00C96EC8"/>
    <w:rsid w:val="00EC2488"/>
    <w:rsid w:val="00F7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4DFC0"/>
  <w15:chartTrackingRefBased/>
  <w15:docId w15:val="{9E940DDC-37A4-4B9F-B672-8E4D2831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18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1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18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18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1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18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18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18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18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1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18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1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18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18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18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18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18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18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18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1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18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18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1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18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18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18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1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18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18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Madej Sebastian</dc:creator>
  <cp:keywords/>
  <dc:description/>
  <cp:lastModifiedBy>Madej Sebastian</cp:lastModifiedBy>
  <cp:revision>5</cp:revision>
  <dcterms:created xsi:type="dcterms:W3CDTF">2025-07-04T08:44:00Z</dcterms:created>
  <dcterms:modified xsi:type="dcterms:W3CDTF">2025-07-04T09:54:00Z</dcterms:modified>
</cp:coreProperties>
</file>