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imes New Roman"/>
          <w:b/>
          <w:b/>
          <w:bCs/>
          <w:i w:val="false"/>
          <w:i w:val="false"/>
          <w:iCs w:val="false"/>
          <w:lang w:val="pl-PL"/>
        </w:rPr>
      </w:pPr>
      <w:r>
        <w:rPr>
          <w:rFonts w:cs="Times New Roman" w:ascii="Tahoma" w:hAnsi="Tahoma"/>
          <w:b/>
          <w:bCs/>
          <w:i w:val="false"/>
          <w:iCs w:val="false"/>
          <w:lang w:val="pl-PL"/>
        </w:rPr>
      </w:r>
    </w:p>
    <w:p>
      <w:pPr>
        <w:pStyle w:val="Normal"/>
        <w:jc w:val="center"/>
        <w:rPr>
          <w:rFonts w:ascii="Tahoma" w:hAnsi="Tahoma"/>
        </w:rPr>
      </w:pPr>
      <w:r>
        <w:rPr>
          <w:rFonts w:cs="Times New Roman" w:ascii="Tahoma" w:hAnsi="Tahoma"/>
          <w:b/>
          <w:bCs/>
          <w:i w:val="false"/>
          <w:iCs w:val="false"/>
          <w:sz w:val="28"/>
          <w:szCs w:val="28"/>
          <w:lang w:val="pl-PL"/>
        </w:rPr>
        <w:t>WYKAZ</w:t>
      </w:r>
    </w:p>
    <w:p>
      <w:pPr>
        <w:pStyle w:val="Normal"/>
        <w:ind w:left="-284" w:hanging="0"/>
        <w:jc w:val="center"/>
        <w:rPr>
          <w:rFonts w:ascii="Tahoma" w:hAnsi="Tahoma"/>
        </w:rPr>
      </w:pPr>
      <w:r>
        <w:rPr>
          <w:rFonts w:cs="Times New Roman" w:ascii="Tahoma" w:hAnsi="Tahoma"/>
          <w:b w:val="false"/>
          <w:bCs w:val="false"/>
          <w:i w:val="false"/>
          <w:iCs w:val="false"/>
          <w:sz w:val="18"/>
          <w:szCs w:val="18"/>
          <w:lang w:val="pl-PL"/>
        </w:rPr>
        <w:t>działając na podstawie art. 35 ust.1 ustawy z dnia 21 sierpnia 1997 roku o gospodarce nieruchomościami ( tekst jednolity Dz. U. z 2024 r. poz. 1145 z późn. zm.)</w:t>
      </w:r>
    </w:p>
    <w:p>
      <w:pPr>
        <w:pStyle w:val="Podtytu"/>
        <w:spacing w:before="0" w:after="0"/>
        <w:jc w:val="center"/>
        <w:rPr/>
      </w:pP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lang w:val="pl-PL" w:bidi="zxx"/>
        </w:rPr>
        <w:t xml:space="preserve">Starosta Nyski podaje do  publicznej wiadomości wykaz nieruchomości gruntowej, stanowiącej własność Skarbu Państwa przeznaczonej do sprzedaży w trybie bezprzetargowym </w:t>
      </w:r>
    </w:p>
    <w:p>
      <w:pPr>
        <w:pStyle w:val="Podtytu"/>
        <w:spacing w:before="0" w:after="0"/>
        <w:jc w:val="center"/>
        <w:rPr/>
      </w:pP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lang w:val="pl-PL" w:bidi="zxx"/>
        </w:rPr>
        <w:t xml:space="preserve">na rzecz jej użytkownika wieczystego </w:t>
      </w:r>
      <w:r>
        <w:rPr>
          <w:rStyle w:val="Domylnaczcionkaakapitu1"/>
          <w:rFonts w:eastAsia="Times New Roman" w:cs="Arial" w:ascii="Tahoma" w:hAnsi="Tahoma"/>
          <w:b w:val="false"/>
          <w:bCs w:val="false"/>
          <w:i w:val="false"/>
          <w:iCs w:val="false"/>
          <w:sz w:val="18"/>
          <w:szCs w:val="18"/>
          <w:u w:val="none"/>
          <w:lang w:val="pl-PL" w:eastAsia="zh-CN" w:bidi="ar-SA"/>
        </w:rPr>
        <w:t xml:space="preserve">na </w:t>
      </w: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color w:val="000000"/>
          <w:sz w:val="18"/>
          <w:szCs w:val="18"/>
          <w:u w:val="none"/>
          <w:lang w:val="pl-PL" w:eastAsia="zh-CN" w:bidi="ar-SA"/>
        </w:rPr>
        <w:t xml:space="preserve">podstawie przepisów epizodycznych </w:t>
      </w: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u w:val="none"/>
          <w:lang w:val="pl-PL" w:eastAsia="zh-CN" w:bidi="ar-SA"/>
        </w:rPr>
        <w:t xml:space="preserve">działu VIa </w:t>
      </w:r>
      <w:r>
        <w:rPr>
          <w:rStyle w:val="Domylnaczcionkaakapitu1"/>
          <w:rFonts w:eastAsia="Times New Roman" w:cs="Times New Roman" w:ascii="Tahoma" w:hAnsi="Tahoma"/>
          <w:b w:val="false"/>
          <w:bCs w:val="false"/>
          <w:i w:val="false"/>
          <w:iCs w:val="false"/>
          <w:sz w:val="18"/>
          <w:szCs w:val="18"/>
          <w:u w:val="none"/>
          <w:lang w:val="pl-PL" w:eastAsia="ja-JP" w:bidi="ar-SA"/>
        </w:rPr>
        <w:t>ustawy o gospodarce nieruchomościami.</w:t>
      </w:r>
    </w:p>
    <w:p>
      <w:pPr>
        <w:pStyle w:val="Normal"/>
        <w:jc w:val="center"/>
        <w:rPr>
          <w:rFonts w:ascii="Tahoma" w:hAnsi="Tahoma" w:cs="Times New Roman"/>
          <w:sz w:val="12"/>
          <w:szCs w:val="12"/>
          <w:lang w:val="pl-PL"/>
        </w:rPr>
      </w:pPr>
      <w:r>
        <w:rPr>
          <w:rFonts w:cs="Times New Roman" w:ascii="Tahoma" w:hAnsi="Tahoma"/>
          <w:sz w:val="12"/>
          <w:szCs w:val="12"/>
          <w:lang w:val="pl-PL"/>
        </w:rPr>
      </w:r>
    </w:p>
    <w:tbl>
      <w:tblPr>
        <w:tblW w:w="16095" w:type="dxa"/>
        <w:jc w:val="left"/>
        <w:tblInd w:w="-729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3059"/>
        <w:gridCol w:w="3000"/>
        <w:gridCol w:w="3525"/>
        <w:gridCol w:w="4246"/>
        <w:gridCol w:w="2265"/>
      </w:tblGrid>
      <w:tr>
        <w:trPr>
          <w:trHeight w:val="1875" w:hRule="atLeast"/>
        </w:trPr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113" w:after="0"/>
              <w:jc w:val="center"/>
              <w:rPr>
                <w:rFonts w:ascii="Tahoma" w:hAnsi="Tahoma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pl-PL"/>
              </w:rPr>
              <w:t>Oznaczenie nieruchomości według</w:t>
            </w:r>
          </w:p>
          <w:p>
            <w:pPr>
              <w:pStyle w:val="Zawartotabeli"/>
              <w:widowControl w:val="false"/>
              <w:spacing w:before="113" w:after="0"/>
              <w:jc w:val="center"/>
              <w:rPr>
                <w:rFonts w:ascii="Tahoma" w:hAnsi="Tahoma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pl-PL"/>
              </w:rPr>
              <w:t>katastru nieruchomości                 i księgi wieczystej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170" w:after="0"/>
              <w:jc w:val="center"/>
              <w:rPr>
                <w:rFonts w:ascii="Tahoma" w:hAnsi="Tahoma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pl-PL"/>
              </w:rPr>
              <w:t>Opis nieruchomości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WWNagwektabeli1111111"/>
              <w:widowControl w:val="false"/>
              <w:snapToGrid w:val="false"/>
              <w:spacing w:before="113" w:after="0"/>
              <w:rPr>
                <w:rFonts w:ascii="Tahoma" w:hAnsi="Tahoma" w:eastAsia="Times New Roman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rFonts w:eastAsia="Times New Roman" w:ascii="Tahoma" w:hAnsi="Tahoma"/>
                <w:i w:val="false"/>
                <w:sz w:val="20"/>
                <w:szCs w:val="20"/>
                <w:lang w:val="pl-PL"/>
              </w:rPr>
              <w:t>Przeznaczenie w planie zagospodarowania przestrzennego</w:t>
            </w:r>
          </w:p>
          <w:p>
            <w:pPr>
              <w:pStyle w:val="WWNagwektabeli1111111"/>
              <w:widowControl w:val="false"/>
              <w:snapToGrid w:val="false"/>
              <w:spacing w:before="113" w:after="0"/>
              <w:rPr>
                <w:rFonts w:ascii="Tahoma" w:hAnsi="Tahoma" w:eastAsia="Times New Roman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rFonts w:eastAsia="Times New Roman" w:ascii="Tahoma" w:hAnsi="Tahoma"/>
                <w:i w:val="false"/>
                <w:sz w:val="20"/>
                <w:szCs w:val="20"/>
                <w:lang w:val="pl-PL"/>
              </w:rPr>
              <w:t>lub studium  uwarunkowań i kierunków zagospodarowania przestrzennego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widowControl w:val="false"/>
              <w:shd w:val="clear" w:color="auto" w:fill="auto"/>
              <w:suppressAutoHyphens w:val="false"/>
              <w:jc w:val="center"/>
              <w:textAlignment w:val="auto"/>
              <w:rPr>
                <w:rFonts w:ascii="Tahoma" w:hAnsi="Tahoma" w:cs="Times New Roman"/>
                <w:b/>
                <w:b/>
                <w:bCs/>
                <w:sz w:val="20"/>
                <w:szCs w:val="20"/>
                <w:lang w:val="pl-PL" w:bidi="ar-SA"/>
              </w:rPr>
            </w:pPr>
            <w:r>
              <w:rPr>
                <w:rFonts w:cs="Times New Roman" w:ascii="Tahoma" w:hAnsi="Tahoma"/>
                <w:b/>
                <w:bCs/>
                <w:sz w:val="20"/>
                <w:szCs w:val="20"/>
                <w:lang w:val="pl-PL" w:bidi="ar-SA"/>
              </w:rPr>
              <w:t>Cena</w:t>
            </w:r>
          </w:p>
          <w:p>
            <w:pPr>
              <w:pStyle w:val="Normal"/>
              <w:widowControl w:val="false"/>
              <w:shd w:val="clear" w:color="auto" w:fill="auto"/>
              <w:suppressAutoHyphens w:val="false"/>
              <w:jc w:val="center"/>
              <w:textAlignment w:val="auto"/>
              <w:rPr>
                <w:rFonts w:ascii="Tahoma" w:hAnsi="Tahoma" w:cs="Times New Roman"/>
                <w:b/>
                <w:b/>
                <w:bCs/>
                <w:sz w:val="20"/>
                <w:szCs w:val="20"/>
                <w:lang w:val="pl-PL" w:bidi="ar-SA"/>
              </w:rPr>
            </w:pPr>
            <w:r>
              <w:rPr>
                <w:rFonts w:cs="Times New Roman" w:ascii="Tahoma" w:hAnsi="Tahoma"/>
                <w:b/>
                <w:bCs/>
                <w:sz w:val="20"/>
                <w:szCs w:val="20"/>
                <w:lang w:val="pl-PL" w:bidi="ar-SA"/>
              </w:rPr>
              <w:t>nieruchomości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widowControl w:val="false"/>
              <w:shd w:val="clear" w:color="auto" w:fill="auto"/>
              <w:suppressAutoHyphens w:val="false"/>
              <w:jc w:val="center"/>
              <w:textAlignment w:val="auto"/>
              <w:rPr>
                <w:rFonts w:ascii="Tahoma" w:hAnsi="Tahoma" w:cs="Times New Roman"/>
                <w:b/>
                <w:b/>
                <w:bCs/>
                <w:sz w:val="20"/>
                <w:szCs w:val="20"/>
                <w:lang w:val="pl-PL" w:bidi="ar-SA"/>
              </w:rPr>
            </w:pPr>
            <w:r>
              <w:rPr>
                <w:rFonts w:cs="Times New Roman" w:ascii="Tahoma" w:hAnsi="Tahoma"/>
                <w:b/>
                <w:bCs/>
                <w:sz w:val="20"/>
                <w:szCs w:val="20"/>
                <w:lang w:val="pl-PL" w:bidi="ar-SA"/>
              </w:rPr>
              <w:t>Tryb sprzedaży</w:t>
            </w:r>
          </w:p>
        </w:tc>
      </w:tr>
      <w:tr>
        <w:trPr>
          <w:trHeight w:val="5550" w:hRule="atLeast"/>
        </w:trPr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113" w:after="0"/>
              <w:ind w:left="113" w:right="113" w:hanging="0"/>
              <w:jc w:val="left"/>
              <w:textAlignment w:val="baseline"/>
              <w:rPr>
                <w:rFonts w:ascii="Tahoma" w:hAnsi="Tahoma"/>
                <w:color w:val="000000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Nieruchomość gruntowa oznaczona w operacie ewidencji gruntów i budynków jako </w:t>
            </w:r>
            <w:r>
              <w:rPr>
                <w:rFonts w:cs="Times New Roman"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dział</w:t>
            </w:r>
            <w:r>
              <w:rPr>
                <w:rFonts w:cs="Times New Roman"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ka</w:t>
            </w:r>
            <w:r>
              <w:rPr>
                <w:rFonts w:cs="Times New Roman"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nr </w:t>
            </w:r>
            <w:r>
              <w:rPr>
                <w:rFonts w:cs="Times New Roman"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58/9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o powierzchni 0,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1327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ha, położona 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w 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miejscowości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Nys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a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obręb ewidencyjny 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Śródmieście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0" w:after="0"/>
              <w:ind w:left="113" w:right="113" w:hanging="0"/>
              <w:jc w:val="left"/>
              <w:textAlignment w:val="baseline"/>
              <w:rPr>
                <w:rFonts w:ascii="Tahoma" w:hAnsi="Tahoma"/>
                <w:b w:val="false"/>
                <w:b w:val="false"/>
                <w:bCs w:val="false"/>
                <w:color w:val="000000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dla której Sąd Rejonowy w 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Nysie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 xml:space="preserve"> V Wydział Ksiąg Wieczystych prowadzi Księgę Wieczystą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0" w:after="0"/>
              <w:ind w:left="113" w:right="113" w:hanging="0"/>
              <w:jc w:val="left"/>
              <w:textAlignment w:val="baseline"/>
              <w:rPr>
                <w:rFonts w:ascii="Tahoma" w:hAnsi="Tahoma"/>
                <w:b w:val="false"/>
                <w:b w:val="false"/>
                <w:bCs w:val="false"/>
                <w:color w:val="000000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nr OP1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N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/000</w:t>
            </w:r>
            <w:r>
              <w:rPr>
                <w:rFonts w:ascii="Tahoma" w:hAnsi="Tahoma"/>
                <w:b w:val="false"/>
                <w:bCs w:val="false"/>
                <w:color w:val="000000"/>
                <w:sz w:val="18"/>
                <w:szCs w:val="18"/>
                <w:lang w:val="pl-PL"/>
              </w:rPr>
              <w:t>66814/3</w:t>
            </w:r>
          </w:p>
          <w:p>
            <w:pPr>
              <w:pStyle w:val="Normal"/>
              <w:widowControl w:val="false"/>
              <w:suppressLineNumbers/>
              <w:suppressAutoHyphens w:val="false"/>
              <w:bidi w:val="0"/>
              <w:spacing w:before="0" w:after="0"/>
              <w:ind w:left="113" w:right="113" w:hanging="0"/>
              <w:jc w:val="both"/>
              <w:textAlignment w:val="baseline"/>
              <w:rPr>
                <w:rFonts w:ascii="Tahoma" w:hAnsi="Tahoma"/>
                <w:color w:val="000000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</w:r>
          </w:p>
          <w:p>
            <w:pPr>
              <w:pStyle w:val="Zawartotabeli"/>
              <w:widowControl w:val="false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</w:r>
          </w:p>
          <w:p>
            <w:pPr>
              <w:pStyle w:val="Zawartotabeli"/>
              <w:widowControl w:val="false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</w:r>
          </w:p>
          <w:p>
            <w:pPr>
              <w:pStyle w:val="Zawartotabeli"/>
              <w:widowControl w:val="false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hd w:val="clear" w:color="auto" w:fill="FFFFFF"/>
              <w:suppressAutoHyphens w:val="true"/>
              <w:bidi w:val="0"/>
              <w:spacing w:before="113" w:after="0"/>
              <w:ind w:left="57" w:right="227" w:hanging="0"/>
              <w:jc w:val="left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Nieruchomość gruntowa położona jest w miejscowości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Nysa obręb ewidencyjny Śródmieście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.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Grunt w kształcie regularnym ze ściętym północnym narożnikiem. Teren nieruchomości od strony granicy</w:t>
            </w:r>
          </w:p>
          <w:p>
            <w:pPr>
              <w:pStyle w:val="Normal"/>
              <w:keepNext w:val="true"/>
              <w:widowControl w:val="false"/>
              <w:shd w:val="clear" w:color="auto" w:fill="FFFFFF"/>
              <w:suppressAutoHyphens w:val="true"/>
              <w:bidi w:val="0"/>
              <w:spacing w:before="0" w:after="0"/>
              <w:ind w:left="57" w:right="0" w:hanging="0"/>
              <w:jc w:val="left"/>
              <w:textAlignment w:val="baseline"/>
              <w:rPr>
                <w:rFonts w:ascii="Tahoma" w:hAnsi="Tahoma"/>
                <w:sz w:val="18"/>
                <w:szCs w:val="18"/>
                <w:lang w:val="pl-PL" w:eastAsia="ja-JP" w:bidi="fa-IR"/>
              </w:rPr>
            </w:pP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 xml:space="preserve">południowej posiada widoczną skarpę, pozostała część obszaru posiada lekki spadek na wschód. Grunt częściowo ogrodzony siatką stalową posadowioną na murku. </w:t>
            </w:r>
          </w:p>
          <w:p>
            <w:pPr>
              <w:pStyle w:val="Normal"/>
              <w:keepNext w:val="true"/>
              <w:widowControl w:val="false"/>
              <w:shd w:val="clear" w:color="auto" w:fill="FFFFFF"/>
              <w:suppressAutoHyphens w:val="true"/>
              <w:bidi w:val="0"/>
              <w:spacing w:before="0" w:after="0"/>
              <w:ind w:left="57" w:right="0" w:hanging="0"/>
              <w:jc w:val="left"/>
              <w:textAlignment w:val="baseline"/>
              <w:rPr>
                <w:rFonts w:ascii="Tahoma" w:hAnsi="Tahoma"/>
                <w:sz w:val="18"/>
                <w:szCs w:val="18"/>
                <w:lang w:val="pl-PL" w:eastAsia="ja-JP" w:bidi="fa-IR"/>
              </w:rPr>
            </w:pP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 xml:space="preserve">Teren zagospodarowany w formie zabudowy kubaturowej tj. budynkiem usługowym, pozostała część utwardzona kostką lub porośnięta roślinnością trawiastą. </w:t>
            </w:r>
          </w:p>
          <w:p>
            <w:pPr>
              <w:pStyle w:val="Normal"/>
              <w:widowControl w:val="false"/>
              <w:spacing w:before="0" w:after="0"/>
              <w:ind w:left="44" w:right="228" w:hanging="0"/>
              <w:jc w:val="left"/>
              <w:rPr>
                <w:rFonts w:ascii="Tahoma" w:hAnsi="Tahoma"/>
                <w:sz w:val="18"/>
                <w:szCs w:val="18"/>
                <w:lang w:val="pl-PL" w:eastAsia="ja-JP" w:bidi="fa-IR"/>
              </w:rPr>
            </w:pP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Działk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a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 xml:space="preserve"> uzbrojon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a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jest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 xml:space="preserve"> w sie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ć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 xml:space="preserve">: elektroenergetyczną, wodociągową,  kanalizacyjną, 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ciepłowniczą</w:t>
            </w:r>
            <w:r>
              <w:rPr>
                <w:rFonts w:ascii="Tahoma" w:hAnsi="Tahoma"/>
                <w:sz w:val="18"/>
                <w:szCs w:val="18"/>
                <w:lang w:val="pl-PL" w:eastAsia="ja-JP" w:bidi="fa-IR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ind w:left="44" w:right="228" w:hanging="0"/>
              <w:jc w:val="left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pacing w:val="-6"/>
                <w:sz w:val="18"/>
                <w:szCs w:val="18"/>
                <w:lang w:val="pl-PL" w:eastAsia="ja-JP" w:bidi="fa-IR"/>
              </w:rPr>
              <w:t xml:space="preserve">Nieruchomość sklasyfikowana       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 xml:space="preserve">w ewidencji gruntów i budynków jako 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 xml:space="preserve">inne tereny zabudowane 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>(B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>i</w:t>
            </w:r>
            <w:r>
              <w:rPr>
                <w:rFonts w:ascii="Tahoma" w:hAnsi="Tahoma"/>
                <w:spacing w:val="-6"/>
                <w:sz w:val="18"/>
                <w:szCs w:val="18"/>
                <w:lang w:val="pl-PL"/>
              </w:rPr>
              <w:t>).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widowControl w:val="false"/>
              <w:shd w:val="clear" w:color="auto" w:fill="auto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bidi w:val="0"/>
              <w:spacing w:before="113" w:after="0"/>
              <w:ind w:left="113" w:right="170" w:hanging="0"/>
              <w:jc w:val="both"/>
              <w:textAlignment w:val="auto"/>
              <w:rPr>
                <w:rFonts w:ascii="Tahoma" w:hAnsi="Tahoma"/>
                <w:sz w:val="18"/>
                <w:szCs w:val="18"/>
              </w:rPr>
            </w:pPr>
            <w:r>
              <w:rPr>
                <w:rFonts w:cs="Times New Roman" w:ascii="Tahoma" w:hAnsi="Tahoma"/>
                <w:b w:val="false"/>
                <w:bCs w:val="false"/>
                <w:sz w:val="18"/>
                <w:szCs w:val="18"/>
                <w:lang w:val="pl-PL"/>
              </w:rPr>
              <w:t xml:space="preserve">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sz w:val="18"/>
                <w:szCs w:val="18"/>
                <w:lang w:val="pl-PL"/>
              </w:rPr>
              <w:t xml:space="preserve">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sz w:val="18"/>
                <w:szCs w:val="18"/>
                <w:lang w:val="pl-PL" w:eastAsia="ja-JP" w:bidi="fa-IR"/>
              </w:rPr>
              <w:t xml:space="preserve">Zgodnie z Uchwałą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lang w:val="pl-PL" w:eastAsia="ja-JP" w:bidi="fa-IR"/>
              </w:rPr>
              <w:t xml:space="preserve">nr XV/256/19 Rady Miejskiej </w:t>
            </w:r>
            <w:r>
              <w:rPr>
                <w:rFonts w:ascii="Tahoma" w:hAnsi="Tahoma"/>
                <w:color w:val="000000"/>
                <w:sz w:val="18"/>
                <w:szCs w:val="18"/>
                <w:lang w:val="pl-PL" w:eastAsia="ja-JP" w:bidi="fa-IR"/>
              </w:rPr>
              <w:t xml:space="preserve">w Nysie z dnia 30 października 2019 r. w sprawie uchwalenia miejscowego planu zagospodarowania przestrzennego części miasta Nysy      w rejonie ulicy Słowiańskiej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lang w:val="pl-PL" w:eastAsia="ja-JP" w:bidi="fa-IR"/>
              </w:rPr>
              <w:t xml:space="preserve">nieruchomość  znajduje się na terenie oznaczonym symbolem </w:t>
            </w:r>
            <w:r>
              <w:rPr>
                <w:rFonts w:cs="Times New Roman" w:ascii="Tahoma" w:hAnsi="Tahoma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lang w:val="pl-PL" w:eastAsia="ja-JP" w:bidi="fa-IR"/>
              </w:rPr>
              <w:t>U9</w:t>
            </w:r>
            <w:r>
              <w:rPr>
                <w:rFonts w:ascii="Tahoma" w:hAnsi="Tahoma"/>
                <w:b w:val="false"/>
                <w:bCs w:val="false"/>
                <w:sz w:val="18"/>
                <w:szCs w:val="18"/>
                <w:lang w:val="pl-PL" w:eastAsia="ja-JP" w:bidi="fa-IR"/>
              </w:rPr>
              <w:t xml:space="preserve"> - tereny zabudowy usługowej.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113" w:after="0"/>
              <w:ind w:left="113" w:right="170" w:hanging="0"/>
              <w:jc w:val="center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194 400</w:t>
            </w: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,00 zł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113" w:after="0"/>
              <w:ind w:left="113" w:right="170" w:hanging="0"/>
              <w:jc w:val="both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 w:eastAsia="ja-JP"/>
              </w:rPr>
              <w:t xml:space="preserve">Cena  nieruchomości została ustalona zgodnie      z art. 198 h  ust. 1 pkt 1 ustawy o gospodarce nieruchomościami tj. </w:t>
            </w:r>
            <w:r>
              <w:rPr>
                <w:rFonts w:ascii="Tahoma" w:hAnsi="Tahoma"/>
                <w:sz w:val="18"/>
                <w:szCs w:val="18"/>
                <w:lang w:val="pl-PL" w:eastAsia="ja-JP"/>
              </w:rPr>
              <w:t>jako dwudziestokrotność kwoty stanowiącej iloczyn dotychczasowej stawki procentowej opłaty rocznej z tytułu użytkowania wieczystego oraz wartości nieruchomości gruntowej określonej na dzień zawarcia umowy sprzedaży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before="113" w:after="0"/>
              <w:ind w:left="113" w:right="170" w:hanging="0"/>
              <w:jc w:val="both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eastAsia="TimesNewRomanPS-BoldMT" w:cs="Times New Roman" w:ascii="Tahoma" w:hAnsi="Tahoma"/>
                <w:b w:val="false"/>
                <w:bCs w:val="false"/>
                <w:sz w:val="18"/>
                <w:szCs w:val="18"/>
                <w:lang w:val="pl-PL" w:eastAsia="ja-JP" w:bidi="ar-SA"/>
              </w:rPr>
              <w:t xml:space="preserve">Cena sprzedaży nieruchomości </w:t>
            </w:r>
            <w:r>
              <w:rPr>
                <w:rFonts w:cs="Times New Roman" w:ascii="Tahoma" w:hAnsi="Tahoma"/>
                <w:b w:val="false"/>
                <w:bCs w:val="false"/>
                <w:sz w:val="18"/>
                <w:szCs w:val="18"/>
                <w:lang w:val="pl-PL" w:eastAsia="ja-JP" w:bidi="ar-SA"/>
              </w:rPr>
              <w:t xml:space="preserve">podlega </w:t>
            </w:r>
            <w:r>
              <w:rPr>
                <w:rFonts w:cs="Times New Roman" w:ascii="Tahoma" w:hAnsi="Tahoma"/>
                <w:b w:val="false"/>
                <w:bCs w:val="false"/>
                <w:sz w:val="18"/>
                <w:szCs w:val="18"/>
                <w:lang w:val="pl-PL" w:bidi="ar-SA"/>
              </w:rPr>
              <w:t>zapłacie jednorazowej nie później niż 2 dni przed dniem podpisania aktu notarialnego. Z</w:t>
            </w:r>
            <w:r>
              <w:rPr>
                <w:rFonts w:eastAsia="TimesNewRomanPS-BoldMT" w:cs="Times New Roman" w:ascii="Tahoma" w:hAnsi="Tahoma"/>
                <w:b w:val="false"/>
                <w:bCs w:val="false"/>
                <w:sz w:val="18"/>
                <w:szCs w:val="18"/>
                <w:lang w:val="pl-PL" w:bidi="ar-SA"/>
              </w:rPr>
              <w:t>a datę wpłacenia ceny uważa się wpływ wymaganej kwoty        na rachunek Starostwa Powiatowego w Nysie.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before="0" w:after="57"/>
              <w:ind w:left="113" w:right="113" w:hanging="0"/>
              <w:jc w:val="both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before="0" w:after="57"/>
              <w:ind w:left="113" w:right="113" w:hanging="0"/>
              <w:jc w:val="both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eastAsia="TimesNewRomanPS-BoldMT" w:cs="Times New Roman" w:ascii="Tahoma" w:hAnsi="Tahoma"/>
                <w:b w:val="false"/>
                <w:bCs w:val="false"/>
                <w:sz w:val="18"/>
                <w:szCs w:val="18"/>
                <w:lang w:val="pl-PL" w:bidi="ar-SA"/>
              </w:rPr>
              <w:t>Koszty zawarcia aktu notarialnego oraz koszt wpisów w księdze wieczystej ponosi Nabywca.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before="0" w:after="57"/>
              <w:ind w:left="113" w:right="113" w:hanging="0"/>
              <w:jc w:val="both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bidi w:val="0"/>
              <w:spacing w:before="0" w:after="57"/>
              <w:ind w:left="113" w:right="113" w:hanging="0"/>
              <w:jc w:val="both"/>
              <w:textAlignment w:val="baseline"/>
              <w:rPr>
                <w:rFonts w:ascii="Tahoma" w:hAnsi="Tahoma"/>
                <w:sz w:val="18"/>
                <w:szCs w:val="18"/>
              </w:rPr>
            </w:pPr>
            <w:r>
              <w:rPr>
                <w:rFonts w:eastAsia="TimesNewRomanPS-BoldMT" w:cs="TimesNewRomanPS-BoldMT" w:ascii="Tahoma" w:hAnsi="Tahoma"/>
                <w:b w:val="false"/>
                <w:bCs w:val="false"/>
                <w:sz w:val="18"/>
                <w:szCs w:val="18"/>
                <w:lang w:val="pl-PL" w:bidi="ar-SA"/>
              </w:rPr>
              <w:t>Cena nieruchomości nie zawiera podatku VAT.          W przypadku otrzymania odmiennej interpretacji nabywca zobowiązany będzie do jego zapłacenia.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lineRule="auto" w:line="240" w:before="113" w:after="0"/>
              <w:ind w:left="113" w:right="170" w:hanging="0"/>
              <w:jc w:val="left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Nieruchomość przeznacza się do sprzedaży w trybie bezprzetargowym na rzecz jej użytkownika wieczystego w związku   z  przepisami epizodycznymi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113" w:right="170" w:hanging="0"/>
              <w:jc w:val="left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dotyczącymi roszczenia         o sprzedaż nieruchomości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113" w:right="170" w:hanging="0"/>
              <w:jc w:val="left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gruntowej na rzecz</w:t>
            </w:r>
          </w:p>
          <w:p>
            <w:pPr>
              <w:pStyle w:val="Zawartotabeli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113" w:right="170" w:hanging="0"/>
              <w:jc w:val="left"/>
              <w:textAlignment w:val="baseline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cs="Times New Roman" w:ascii="Tahoma" w:hAnsi="Tahoma"/>
                <w:sz w:val="18"/>
                <w:szCs w:val="18"/>
                <w:lang w:val="pl-PL"/>
              </w:rPr>
              <w:t>użytkowania wieczystego – dział VIA ustawy z dnia  21 sierpnia 1997 r.                    o gospodarce nieruchomościami.</w:t>
            </w:r>
          </w:p>
        </w:tc>
      </w:tr>
    </w:tbl>
    <w:p>
      <w:pPr>
        <w:pStyle w:val="Normal"/>
        <w:keepNext w:val="false"/>
        <w:widowControl/>
        <w:shd w:val="clear" w:color="auto" w:fill="auto"/>
        <w:suppressAutoHyphens w:val="false"/>
        <w:ind w:left="-284" w:hanging="0"/>
        <w:jc w:val="both"/>
        <w:textAlignment w:val="auto"/>
        <w:rPr>
          <w:rFonts w:ascii="Tahoma" w:hAnsi="Tahoma" w:cs="TimesNewRomanPSMT"/>
          <w:sz w:val="14"/>
          <w:szCs w:val="20"/>
          <w:lang w:val="pl-PL" w:bidi="ar-SA"/>
        </w:rPr>
      </w:pPr>
      <w:r>
        <w:rPr>
          <w:rFonts w:cs="TimesNewRomanPSMT" w:ascii="Tahoma" w:hAnsi="Tahoma"/>
          <w:sz w:val="14"/>
          <w:szCs w:val="20"/>
          <w:lang w:val="pl-PL" w:bidi="ar-SA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bidi w:val="0"/>
        <w:spacing w:before="0" w:after="0"/>
        <w:ind w:left="-794" w:right="0" w:hanging="0"/>
        <w:jc w:val="both"/>
        <w:textAlignment w:val="auto"/>
        <w:rPr>
          <w:sz w:val="18"/>
          <w:szCs w:val="18"/>
        </w:rPr>
      </w:pPr>
      <w:r>
        <w:rPr>
          <w:rFonts w:cs="Times New Roman" w:ascii="Tahoma" w:hAnsi="Tahoma"/>
          <w:sz w:val="18"/>
          <w:szCs w:val="18"/>
          <w:lang w:val="pl-PL" w:bidi="ar-SA"/>
        </w:rPr>
        <w:t xml:space="preserve">Niniejszy wykaz podaje się do publicznej wiadomości na okres 21 dni tj. od dnia 16.10.2025 r. do dnia 05.11.2025 r. poprzez ogłoszenie na tablicy ogłoszeń w siedzibie Starostwa Powiatowego w Nysie  przy ul. Piastowskiej 33 oraz w Wydziale Administrowania i Gospodarki Nieruchomościami przy ul. Parkowej 4 (II piętro). </w:t>
      </w:r>
      <w:r>
        <w:rPr>
          <w:rFonts w:cs="TimesNewRomanPSMT" w:ascii="Tahoma" w:hAnsi="Tahoma"/>
          <w:sz w:val="18"/>
          <w:szCs w:val="18"/>
          <w:lang w:val="pl-PL" w:bidi="ar-SA"/>
        </w:rPr>
        <w:t>Ponadto informację o wywieszeniu wykazu podaje się do publicznej wiadomości przez ogłoszenie w prasie lokalnej, na stronach internetowych Starostwa oraz na stronie podmiotowej wojewody w Biuletynie Informacji Publicznej .</w:t>
      </w:r>
    </w:p>
    <w:p>
      <w:pPr>
        <w:pStyle w:val="Normal"/>
        <w:keepNext w:val="false"/>
        <w:widowControl/>
        <w:shd w:val="clear" w:fill="auto"/>
        <w:suppressAutoHyphens w:val="false"/>
        <w:bidi w:val="0"/>
        <w:spacing w:before="0" w:after="57"/>
        <w:ind w:left="-567" w:right="0" w:hanging="0"/>
        <w:jc w:val="both"/>
        <w:textAlignment w:val="auto"/>
        <w:rPr>
          <w:rFonts w:ascii="Tahoma" w:hAnsi="Tahoma" w:eastAsia="TimesNewRomanPS-BoldMT" w:cs="TimesNewRomanPS-BoldMT"/>
          <w:b/>
          <w:b/>
          <w:bCs/>
          <w:sz w:val="18"/>
          <w:szCs w:val="18"/>
          <w:lang w:val="pl-PL"/>
        </w:rPr>
      </w:pPr>
      <w:r>
        <w:rPr>
          <w:rFonts w:eastAsia="TimesNewRomanPS-BoldMT" w:cs="TimesNewRomanPS-BoldMT" w:ascii="Tahoma" w:hAnsi="Tahoma"/>
          <w:b/>
          <w:bCs/>
          <w:sz w:val="18"/>
          <w:szCs w:val="18"/>
          <w:lang w:val="pl-PL"/>
        </w:rPr>
      </w:r>
    </w:p>
    <w:p>
      <w:pPr>
        <w:pStyle w:val="Normal"/>
        <w:spacing w:before="0" w:after="57"/>
        <w:ind w:left="-406" w:hanging="0"/>
        <w:jc w:val="both"/>
        <w:rPr>
          <w:rFonts w:ascii="Tahoma" w:hAnsi="Tahoma" w:eastAsia="TimesNewRomanPS-BoldMT" w:cs="TimesNewRomanPS-BoldMT"/>
          <w:b/>
          <w:b/>
          <w:bCs/>
          <w:sz w:val="22"/>
          <w:szCs w:val="22"/>
          <w:lang w:val="pl-PL"/>
        </w:rPr>
      </w:pPr>
      <w:r>
        <w:rPr>
          <w:rFonts w:eastAsia="TimesNewRomanPS-BoldMT" w:cs="TimesNewRomanPS-BoldMT" w:ascii="Tahoma" w:hAnsi="Tahoma"/>
          <w:b/>
          <w:bCs/>
          <w:sz w:val="22"/>
          <w:szCs w:val="22"/>
          <w:lang w:val="pl-PL"/>
        </w:rPr>
      </w:r>
    </w:p>
    <w:p>
      <w:pPr>
        <w:pStyle w:val="Normal"/>
        <w:spacing w:before="0" w:after="57"/>
        <w:ind w:left="-406" w:hanging="0"/>
        <w:jc w:val="both"/>
        <w:rPr>
          <w:rFonts w:ascii="Tahoma" w:hAnsi="Tahoma" w:eastAsia="TimesNewRomanPS-BoldMT" w:cs="TimesNewRomanPS-BoldMT"/>
          <w:b/>
          <w:b/>
          <w:bCs/>
          <w:sz w:val="22"/>
          <w:szCs w:val="22"/>
          <w:lang w:val="pl-PL"/>
        </w:rPr>
      </w:pPr>
      <w:r>
        <w:rPr>
          <w:rFonts w:eastAsia="TimesNewRomanPS-BoldMT" w:cs="TimesNewRomanPS-BoldMT" w:ascii="Tahoma" w:hAnsi="Tahoma"/>
          <w:b/>
          <w:bCs/>
          <w:sz w:val="22"/>
          <w:szCs w:val="22"/>
          <w:lang w:val="pl-PL"/>
        </w:rPr>
      </w:r>
    </w:p>
    <w:p>
      <w:pPr>
        <w:pStyle w:val="Normal"/>
        <w:spacing w:before="0" w:after="57"/>
        <w:ind w:left="-567" w:hanging="0"/>
        <w:jc w:val="both"/>
        <w:rPr>
          <w:b w:val="false"/>
          <w:b w:val="false"/>
          <w:bCs w:val="false"/>
        </w:rPr>
      </w:pPr>
      <w:r>
        <w:rPr>
          <w:rFonts w:eastAsia="TimesNewRomanPS-BoldMT" w:cs="TimesNewRomanPS-BoldMT" w:ascii="Tahoma" w:hAnsi="Tahoma"/>
          <w:b w:val="false"/>
          <w:bCs w:val="false"/>
          <w:sz w:val="22"/>
          <w:szCs w:val="22"/>
          <w:lang w:val="pl-PL"/>
        </w:rPr>
        <w:t>Nysa, dnia 16 października 2025 r.</w:t>
      </w:r>
    </w:p>
    <w:sectPr>
      <w:type w:val="nextPage"/>
      <w:pgSz w:orient="landscape" w:w="16838" w:h="11906"/>
      <w:pgMar w:left="1134" w:right="344" w:gutter="0" w:header="0" w:top="284" w:footer="0" w:bottom="342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ahom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15a8"/>
    <w:pPr>
      <w:keepNext w:val="true"/>
      <w:widowControl w:val="false"/>
      <w:shd w:val="clear" w:color="auto" w:fill="FFFFFF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Nagwek1" w:customStyle="1">
    <w:name w:val="Heading 1"/>
    <w:basedOn w:val="Gwka"/>
    <w:next w:val="Tretekstu"/>
    <w:qFormat/>
    <w:rsid w:val="005b15a8"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Nagwek2" w:customStyle="1">
    <w:name w:val="Heading 2"/>
    <w:basedOn w:val="Gwka"/>
    <w:next w:val="Tretekstu"/>
    <w:qFormat/>
    <w:rsid w:val="005b15a8"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Nagwek3" w:customStyle="1">
    <w:name w:val="Heading 3"/>
    <w:basedOn w:val="Gwka"/>
    <w:next w:val="Tretekstu"/>
    <w:qFormat/>
    <w:rsid w:val="005b15a8"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semiHidden/>
    <w:qFormat/>
    <w:rsid w:val="00af2908"/>
    <w:rPr>
      <w:rFonts w:ascii="Courier New" w:hAnsi="Courier New" w:eastAsia="Times New Roman" w:cs="Courier New"/>
      <w:sz w:val="20"/>
      <w:szCs w:val="20"/>
      <w:lang w:val="pl-PL" w:eastAsia="pl-PL" w:bidi="ar-SA"/>
    </w:rPr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b15a8"/>
    <w:pPr>
      <w:spacing w:before="0" w:after="120"/>
    </w:pPr>
    <w:rPr/>
  </w:style>
  <w:style w:type="paragraph" w:styleId="Lista">
    <w:name w:val="List"/>
    <w:basedOn w:val="Tretekstu"/>
    <w:rsid w:val="005b15a8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5b15a8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5b15a8"/>
    <w:pPr>
      <w:spacing w:before="240" w:after="120"/>
    </w:pPr>
    <w:rPr>
      <w:rFonts w:ascii="Liberation Sans" w:hAnsi="Liberation Sans" w:eastAsia="Liberation Serif"/>
      <w:sz w:val="28"/>
      <w:szCs w:val="28"/>
    </w:rPr>
  </w:style>
  <w:style w:type="paragraph" w:styleId="Caption">
    <w:name w:val="caption"/>
    <w:basedOn w:val="Normal"/>
    <w:qFormat/>
    <w:rsid w:val="005b15a8"/>
    <w:pPr>
      <w:suppressLineNumbers/>
      <w:spacing w:before="120" w:after="120"/>
    </w:pPr>
    <w:rPr>
      <w:i/>
      <w:iCs/>
    </w:rPr>
  </w:style>
  <w:style w:type="paragraph" w:styleId="WWNagwek11111111" w:customStyle="1">
    <w:name w:val="WW-Nagłówek11111111"/>
    <w:basedOn w:val="Normal"/>
    <w:next w:val="Tretekstu"/>
    <w:qFormat/>
    <w:rsid w:val="005b15a8"/>
    <w:pPr>
      <w:spacing w:before="240" w:after="120"/>
    </w:pPr>
    <w:rPr>
      <w:rFonts w:ascii="Arial" w:hAnsi="Arial" w:eastAsia="Lucida Sans Unicode"/>
      <w:sz w:val="28"/>
      <w:szCs w:val="28"/>
    </w:rPr>
  </w:style>
  <w:style w:type="paragraph" w:styleId="Podtytu">
    <w:name w:val="Subtitle"/>
    <w:basedOn w:val="WWNagwek11111111"/>
    <w:next w:val="Tretekstu"/>
    <w:qFormat/>
    <w:rsid w:val="005b15a8"/>
    <w:pPr>
      <w:jc w:val="center"/>
    </w:pPr>
    <w:rPr>
      <w:i/>
      <w:iCs/>
    </w:rPr>
  </w:style>
  <w:style w:type="paragraph" w:styleId="Tytu">
    <w:name w:val="Title"/>
    <w:basedOn w:val="Normal"/>
    <w:next w:val="Podtytu"/>
    <w:qFormat/>
    <w:rsid w:val="005b15a8"/>
    <w:pPr>
      <w:jc w:val="center"/>
    </w:pPr>
    <w:rPr>
      <w:b/>
    </w:rPr>
  </w:style>
  <w:style w:type="paragraph" w:styleId="Zawartotabeli" w:customStyle="1">
    <w:name w:val="Zawartość tabeli"/>
    <w:basedOn w:val="Standard"/>
    <w:qFormat/>
    <w:rsid w:val="00f04b20"/>
    <w:pPr>
      <w:suppressLineNumbers/>
    </w:pPr>
    <w:rPr/>
  </w:style>
  <w:style w:type="paragraph" w:styleId="WWZawartotabeli1111111" w:customStyle="1">
    <w:name w:val="WW-Zawartość tabeli1111111"/>
    <w:basedOn w:val="Tretekstu"/>
    <w:qFormat/>
    <w:rsid w:val="005b15a8"/>
    <w:pPr>
      <w:suppressLineNumbers/>
    </w:pPr>
    <w:rPr/>
  </w:style>
  <w:style w:type="paragraph" w:styleId="WWNagwektabeli1111111" w:customStyle="1">
    <w:name w:val="WW-Nagłówek tabeli1111111"/>
    <w:basedOn w:val="WWZawartotabeli1111111"/>
    <w:qFormat/>
    <w:rsid w:val="005b15a8"/>
    <w:pPr>
      <w:jc w:val="center"/>
    </w:pPr>
    <w:rPr>
      <w:b/>
      <w:bCs/>
      <w:i/>
      <w:iCs/>
    </w:rPr>
  </w:style>
  <w:style w:type="paragraph" w:styleId="Nagwektabeli" w:customStyle="1">
    <w:name w:val="Nagłówek tabeli"/>
    <w:basedOn w:val="Zawartotabeli"/>
    <w:qFormat/>
    <w:rsid w:val="005b15a8"/>
    <w:pPr>
      <w:jc w:val="center"/>
    </w:pPr>
    <w:rPr>
      <w:b/>
      <w:bCs/>
    </w:rPr>
  </w:style>
  <w:style w:type="paragraph" w:styleId="Cytaty" w:customStyle="1">
    <w:name w:val="Cytaty"/>
    <w:basedOn w:val="Normal"/>
    <w:qFormat/>
    <w:rsid w:val="005b15a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5b15a8"/>
    <w:pPr>
      <w:keepNext w:val="true"/>
      <w:widowControl w:val="false"/>
      <w:shd w:val="clear" w:color="auto" w:fill="FFFFFF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000000"/>
      <w:kern w:val="0"/>
      <w:sz w:val="24"/>
      <w:szCs w:val="24"/>
      <w:lang w:val="de-DE" w:eastAsia="ja-JP" w:bidi="fa-IR"/>
    </w:rPr>
  </w:style>
  <w:style w:type="paragraph" w:styleId="NormalWeb">
    <w:name w:val="Normal (Web)"/>
    <w:basedOn w:val="Normal"/>
    <w:qFormat/>
    <w:rsid w:val="00112aa8"/>
    <w:pPr>
      <w:keepNext w:val="false"/>
      <w:widowControl/>
      <w:shd w:val="clear" w:color="auto" w:fill="auto"/>
      <w:suppressAutoHyphens w:val="false"/>
      <w:spacing w:beforeAutospacing="1" w:after="119"/>
      <w:textAlignment w:val="auto"/>
    </w:pPr>
    <w:rPr>
      <w:rFonts w:eastAsia="Times New Roman" w:cs="Times New Roman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f67214"/>
    <w:pPr>
      <w:spacing w:before="0" w:after="0"/>
      <w:ind w:left="720" w:hanging="0"/>
      <w:contextualSpacing/>
    </w:pPr>
    <w:rPr/>
  </w:style>
  <w:style w:type="paragraph" w:styleId="Standard" w:customStyle="1">
    <w:name w:val="Standard"/>
    <w:qFormat/>
    <w:rsid w:val="000d67e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Nagwek31" w:customStyle="1">
    <w:name w:val="Nagłówek3"/>
    <w:basedOn w:val="Normal"/>
    <w:next w:val="Tretekstu"/>
    <w:qFormat/>
    <w:rsid w:val="00a65fdb"/>
    <w:pPr>
      <w:keepNext w:val="false"/>
      <w:shd w:val="clear" w:color="auto" w:fill="auto"/>
      <w:jc w:val="center"/>
      <w:textAlignment w:val="auto"/>
    </w:pPr>
    <w:rPr>
      <w:rFonts w:cs="Times New Roman"/>
      <w:b/>
      <w:bCs/>
      <w:kern w:val="2"/>
      <w:sz w:val="56"/>
      <w:szCs w:val="56"/>
      <w:lang w:eastAsia="zh-CN" w:bidi="ar-SA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af2908"/>
    <w:pPr>
      <w:keepNext w:val="false"/>
      <w:widowControl/>
      <w:shd w:val="clear" w:color="auto" w:fill="auto"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textAlignment w:val="auto"/>
    </w:pPr>
    <w:rPr>
      <w:rFonts w:ascii="Courier New" w:hAnsi="Courier New" w:eastAsia="Times New Roman" w:cs="Courier New"/>
      <w:sz w:val="20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25AD-11BF-48C4-92CF-2F8029A6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Application>LibreOffice/7.2.4.1$Windows_X86_64 LibreOffice_project/27d75539669ac387bb498e35313b970b7fe9c4f9</Application>
  <AppVersion>15.0000</AppVersion>
  <Pages>1</Pages>
  <Words>479</Words>
  <Characters>3153</Characters>
  <CharactersWithSpaces>3693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2021-06-15T08:50:00Z</dcterms:created>
  <dc:creator>Agnieszka Peczeniuk-Nowak</dc:creator>
  <dc:description/>
  <dc:language>pl-PL</dc:language>
  <cp:lastModifiedBy/>
  <cp:lastPrinted>2025-10-09T11:56:00Z</cp:lastPrinted>
  <dcterms:modified xsi:type="dcterms:W3CDTF">2025-10-09T13:28:44Z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