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bookmarkStart w:id="0" w:name="_GoBack"/>
      <w:bookmarkEnd w:id="0"/>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lastRenderedPageBreak/>
        <w:t>Wstęp</w:t>
      </w:r>
      <w:bookmarkEnd w:id="2"/>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ograniczania przestępczości i aspołecznych zachowań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r w:rsidR="00CD27A8">
        <w:rPr>
          <w:rFonts w:ascii="Times New Roman" w:hAnsi="Times New Roman" w:cs="Times New Roman"/>
        </w:rPr>
        <w:t>ewaluator</w:t>
      </w:r>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ń i 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3"/>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Jedną z podstawowych funkcji współczesnego państwa jest zagwarantowanie porządku publicznego i zapewnienie poczucia bezpieczeństwa obywatelom. Z tego względu zadania </w:t>
      </w:r>
      <w:r w:rsidRPr="007178A1">
        <w:rPr>
          <w:rFonts w:ascii="Times New Roman" w:hAnsi="Times New Roman" w:cs="Times New Roman"/>
          <w:shd w:val="clear" w:color="auto" w:fill="FFFFFF"/>
        </w:rPr>
        <w:lastRenderedPageBreak/>
        <w:t>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4"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xml:space="preserve">% i był nieznacznie </w:t>
      </w:r>
      <w:r w:rsidRPr="00551573">
        <w:rPr>
          <w:rFonts w:ascii="Times New Roman" w:hAnsi="Times New Roman" w:cs="Times New Roman"/>
          <w:shd w:val="clear" w:color="auto" w:fill="FFFFFF"/>
        </w:rPr>
        <w:lastRenderedPageBreak/>
        <w:t>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lastRenderedPageBreak/>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ządowego programu ograniczania przestępczości i aspołecznych zachowań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2018 roku, przygotowany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łeczności. W ocenie ewaluatorów</w:t>
      </w:r>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5" w:name="bookmark14"/>
      <w:bookmarkEnd w:id="4"/>
      <w:r>
        <w:rPr>
          <w:rFonts w:ascii="Times New Roman" w:eastAsia="Times New Roman" w:hAnsi="Times New Roman" w:cs="Times New Roman"/>
          <w:bCs/>
          <w:i/>
          <w:lang w:eastAsia="pl-PL"/>
        </w:rPr>
        <w:t>Rządowy program ograniczania przestępczości i aspołecznych zachowań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wpisuje się </w:t>
      </w:r>
      <w:r>
        <w:rPr>
          <w:rFonts w:ascii="Times New Roman" w:eastAsia="Times New Roman" w:hAnsi="Times New Roman" w:cs="Times New Roman"/>
          <w:bCs/>
          <w:lang w:eastAsia="pl-PL"/>
        </w:rPr>
        <w:lastRenderedPageBreak/>
        <w:t>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72A64678" wp14:editId="6FEA6812">
            <wp:extent cx="4663440" cy="2560320"/>
            <wp:effectExtent l="0" t="0" r="6096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lastRenderedPageBreak/>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9" w:name="bookmark23"/>
      <w:r w:rsidRPr="00EA3D6D">
        <w:rPr>
          <w:rFonts w:ascii="Times New Roman" w:hAnsi="Times New Roman" w:cs="Times New Roman"/>
        </w:rPr>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lastRenderedPageBreak/>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9"/>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 xml:space="preserve">w sprawie określenia działań informacyjnych </w:t>
      </w:r>
      <w:r w:rsidRPr="007178A1">
        <w:rPr>
          <w:rFonts w:ascii="Times New Roman" w:eastAsia="Times New Roman" w:hAnsi="Times New Roman" w:cs="Times New Roman"/>
          <w:i/>
          <w:lang w:val="pl" w:eastAsia="pl-PL"/>
        </w:rPr>
        <w:lastRenderedPageBreak/>
        <w:t>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t>
      </w:r>
      <w:r w:rsidRPr="007178A1">
        <w:rPr>
          <w:rFonts w:ascii="Times New Roman" w:eastAsia="Times New Roman" w:hAnsi="Times New Roman" w:cs="Times New Roman"/>
          <w:lang w:val="pl" w:eastAsia="pl-PL"/>
        </w:rPr>
        <w:lastRenderedPageBreak/>
        <w:t>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Raport postępu realizacji Rządowego programu ograniczania przestępczości i aspołecznych zachowań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rogramu jako programu rozwoju 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lastRenderedPageBreak/>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23737" w16cid:durableId="26A753CB"/>
  <w16cid:commentId w16cid:paraId="3D2140C5" w16cid:durableId="26A75CE9"/>
  <w16cid:commentId w16cid:paraId="25B23A5B" w16cid:durableId="26A753CC"/>
  <w16cid:commentId w16cid:paraId="2B452B22" w16cid:durableId="26A75CFD"/>
  <w16cid:commentId w16cid:paraId="3E9B1822" w16cid:durableId="26A753CD"/>
  <w16cid:commentId w16cid:paraId="53B7F00B" w16cid:durableId="26A75D0A"/>
  <w16cid:commentId w16cid:paraId="50C95132" w16cid:durableId="26A753CE"/>
  <w16cid:commentId w16cid:paraId="792E7A72" w16cid:durableId="26A75D15"/>
  <w16cid:commentId w16cid:paraId="3173841F" w16cid:durableId="26A753CF"/>
  <w16cid:commentId w16cid:paraId="6238EB7C" w16cid:durableId="26A75D24"/>
  <w16cid:commentId w16cid:paraId="60B36989" w16cid:durableId="26A753D0"/>
  <w16cid:commentId w16cid:paraId="2BFF2A84" w16cid:durableId="26A75D2A"/>
  <w16cid:commentId w16cid:paraId="47DDB6A3" w16cid:durableId="26A753D1"/>
  <w16cid:commentId w16cid:paraId="496886E1" w16cid:durableId="26A753D2"/>
  <w16cid:commentId w16cid:paraId="4F336C17" w16cid:durableId="26A75ECF"/>
  <w16cid:commentId w16cid:paraId="380BC3D5" w16cid:durableId="26A753D3"/>
  <w16cid:commentId w16cid:paraId="5122AF75" w16cid:durableId="26A75ED2"/>
  <w16cid:commentId w16cid:paraId="7E9A973A" w16cid:durableId="26A753D4"/>
  <w16cid:commentId w16cid:paraId="5C83C161" w16cid:durableId="26A75F46"/>
  <w16cid:commentId w16cid:paraId="4251C57A" w16cid:durableId="26A753D5"/>
  <w16cid:commentId w16cid:paraId="1A5429E8" w16cid:durableId="26A75F52"/>
  <w16cid:commentId w16cid:paraId="589AA17C" w16cid:durableId="26A753D6"/>
  <w16cid:commentId w16cid:paraId="42888892" w16cid:durableId="26A75F73"/>
  <w16cid:commentId w16cid:paraId="2A7CFF1A" w16cid:durableId="26A753D7"/>
  <w16cid:commentId w16cid:paraId="0480FC41" w16cid:durableId="26A75FFC"/>
  <w16cid:commentId w16cid:paraId="29ECF260" w16cid:durableId="26A753D8"/>
  <w16cid:commentId w16cid:paraId="1F7D817B" w16cid:durableId="26A760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D969" w14:textId="77777777" w:rsidR="00D44A8E" w:rsidRDefault="00D44A8E" w:rsidP="002D79AB">
      <w:pPr>
        <w:spacing w:after="0" w:line="240" w:lineRule="auto"/>
      </w:pPr>
      <w:r>
        <w:separator/>
      </w:r>
    </w:p>
  </w:endnote>
  <w:endnote w:type="continuationSeparator" w:id="0">
    <w:p w14:paraId="0FE7194B" w14:textId="77777777" w:rsidR="00D44A8E" w:rsidRDefault="00D44A8E"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46DD99C3"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B42819">
          <w:rPr>
            <w:rFonts w:ascii="Times New Roman" w:hAnsi="Times New Roman" w:cs="Times New Roman"/>
            <w:noProof/>
            <w:sz w:val="24"/>
          </w:rPr>
          <w:t>2</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3CBC" w14:textId="77777777" w:rsidR="00D44A8E" w:rsidRDefault="00D44A8E" w:rsidP="002D79AB">
      <w:pPr>
        <w:spacing w:after="0" w:line="240" w:lineRule="auto"/>
      </w:pPr>
      <w:r>
        <w:separator/>
      </w:r>
    </w:p>
  </w:footnote>
  <w:footnote w:type="continuationSeparator" w:id="0">
    <w:p w14:paraId="198947F4" w14:textId="77777777" w:rsidR="00D44A8E" w:rsidRDefault="00D44A8E" w:rsidP="002D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8"/>
  </w:num>
  <w:num w:numId="3">
    <w:abstractNumId w:val="2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0"/>
  </w:num>
  <w:num w:numId="8">
    <w:abstractNumId w:val="33"/>
  </w:num>
  <w:num w:numId="9">
    <w:abstractNumId w:val="17"/>
  </w:num>
  <w:num w:numId="10">
    <w:abstractNumId w:val="21"/>
  </w:num>
  <w:num w:numId="11">
    <w:abstractNumId w:val="45"/>
  </w:num>
  <w:num w:numId="12">
    <w:abstractNumId w:val="16"/>
  </w:num>
  <w:num w:numId="13">
    <w:abstractNumId w:val="64"/>
  </w:num>
  <w:num w:numId="14">
    <w:abstractNumId w:val="57"/>
  </w:num>
  <w:num w:numId="15">
    <w:abstractNumId w:val="50"/>
  </w:num>
  <w:num w:numId="16">
    <w:abstractNumId w:val="5"/>
  </w:num>
  <w:num w:numId="17">
    <w:abstractNumId w:val="11"/>
  </w:num>
  <w:num w:numId="18">
    <w:abstractNumId w:val="63"/>
  </w:num>
  <w:num w:numId="19">
    <w:abstractNumId w:val="62"/>
  </w:num>
  <w:num w:numId="20">
    <w:abstractNumId w:val="44"/>
  </w:num>
  <w:num w:numId="21">
    <w:abstractNumId w:val="52"/>
  </w:num>
  <w:num w:numId="22">
    <w:abstractNumId w:val="14"/>
  </w:num>
  <w:num w:numId="23">
    <w:abstractNumId w:val="36"/>
  </w:num>
  <w:num w:numId="24">
    <w:abstractNumId w:val="67"/>
  </w:num>
  <w:num w:numId="25">
    <w:abstractNumId w:val="25"/>
  </w:num>
  <w:num w:numId="26">
    <w:abstractNumId w:val="59"/>
  </w:num>
  <w:num w:numId="27">
    <w:abstractNumId w:val="27"/>
  </w:num>
  <w:num w:numId="28">
    <w:abstractNumId w:val="49"/>
  </w:num>
  <w:num w:numId="29">
    <w:abstractNumId w:val="18"/>
  </w:num>
  <w:num w:numId="30">
    <w:abstractNumId w:val="4"/>
  </w:num>
  <w:num w:numId="31">
    <w:abstractNumId w:val="29"/>
  </w:num>
  <w:num w:numId="32">
    <w:abstractNumId w:val="38"/>
  </w:num>
  <w:num w:numId="33">
    <w:abstractNumId w:val="23"/>
  </w:num>
  <w:num w:numId="34">
    <w:abstractNumId w:val="6"/>
  </w:num>
  <w:num w:numId="35">
    <w:abstractNumId w:val="3"/>
  </w:num>
  <w:num w:numId="36">
    <w:abstractNumId w:val="66"/>
  </w:num>
  <w:num w:numId="37">
    <w:abstractNumId w:val="41"/>
  </w:num>
  <w:num w:numId="38">
    <w:abstractNumId w:val="69"/>
  </w:num>
  <w:num w:numId="39">
    <w:abstractNumId w:val="24"/>
  </w:num>
  <w:num w:numId="40">
    <w:abstractNumId w:val="65"/>
  </w:num>
  <w:num w:numId="41">
    <w:abstractNumId w:val="40"/>
  </w:num>
  <w:num w:numId="42">
    <w:abstractNumId w:val="22"/>
  </w:num>
  <w:num w:numId="43">
    <w:abstractNumId w:val="13"/>
  </w:num>
  <w:num w:numId="44">
    <w:abstractNumId w:val="31"/>
  </w:num>
  <w:num w:numId="45">
    <w:abstractNumId w:val="68"/>
  </w:num>
  <w:num w:numId="46">
    <w:abstractNumId w:val="37"/>
  </w:num>
  <w:num w:numId="47">
    <w:abstractNumId w:val="46"/>
  </w:num>
  <w:num w:numId="48">
    <w:abstractNumId w:val="19"/>
  </w:num>
  <w:num w:numId="49">
    <w:abstractNumId w:val="32"/>
  </w:num>
  <w:num w:numId="50">
    <w:abstractNumId w:val="30"/>
  </w:num>
  <w:num w:numId="51">
    <w:abstractNumId w:val="48"/>
  </w:num>
  <w:num w:numId="52">
    <w:abstractNumId w:val="53"/>
  </w:num>
  <w:num w:numId="53">
    <w:abstractNumId w:val="58"/>
  </w:num>
  <w:num w:numId="54">
    <w:abstractNumId w:val="43"/>
  </w:num>
  <w:num w:numId="55">
    <w:abstractNumId w:val="34"/>
  </w:num>
  <w:num w:numId="56">
    <w:abstractNumId w:val="10"/>
  </w:num>
  <w:num w:numId="57">
    <w:abstractNumId w:val="42"/>
  </w:num>
  <w:num w:numId="58">
    <w:abstractNumId w:val="35"/>
  </w:num>
  <w:num w:numId="59">
    <w:abstractNumId w:val="39"/>
  </w:num>
  <w:num w:numId="60">
    <w:abstractNumId w:val="55"/>
  </w:num>
  <w:num w:numId="61">
    <w:abstractNumId w:val="28"/>
  </w:num>
  <w:num w:numId="62">
    <w:abstractNumId w:val="54"/>
  </w:num>
  <w:num w:numId="63">
    <w:abstractNumId w:val="15"/>
  </w:num>
  <w:num w:numId="64">
    <w:abstractNumId w:val="51"/>
  </w:num>
  <w:num w:numId="65">
    <w:abstractNumId w:val="2"/>
  </w:num>
  <w:num w:numId="66">
    <w:abstractNumId w:val="56"/>
  </w:num>
  <w:num w:numId="67">
    <w:abstractNumId w:val="1"/>
  </w:num>
  <w:num w:numId="68">
    <w:abstractNumId w:val="9"/>
  </w:num>
  <w:num w:numId="69">
    <w:abstractNumId w:val="60"/>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50B1"/>
    <w:rsid w:val="00306FDA"/>
    <w:rsid w:val="00312C20"/>
    <w:rsid w:val="0031377A"/>
    <w:rsid w:val="003169C0"/>
    <w:rsid w:val="00316CD4"/>
    <w:rsid w:val="00320365"/>
    <w:rsid w:val="003305E9"/>
    <w:rsid w:val="00332C87"/>
    <w:rsid w:val="00334B27"/>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2819"/>
    <w:rsid w:val="00B4402A"/>
    <w:rsid w:val="00B451B3"/>
    <w:rsid w:val="00B575C3"/>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44A8E"/>
    <w:rsid w:val="00D51F95"/>
    <w:rsid w:val="00D5309C"/>
    <w:rsid w:val="00D60F01"/>
    <w:rsid w:val="00D61D89"/>
    <w:rsid w:val="00D6562C"/>
    <w:rsid w:val="00D72BFC"/>
    <w:rsid w:val="00D8082B"/>
    <w:rsid w:val="00D82BC8"/>
    <w:rsid w:val="00D834F6"/>
    <w:rsid w:val="00D937E1"/>
    <w:rsid w:val="00DA0FFE"/>
    <w:rsid w:val="00DA4E84"/>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15:docId w15:val="{AEDEA927-E75A-42C7-916D-8801741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C40DE0AC-DAF8-4FA7-9490-EDBC14177E53}" srcId="{53DE1962-9428-4299-A005-1548EBFB1B05}" destId="{502118E3-B73F-4038-BE42-AF69CEEC79AE}" srcOrd="0" destOrd="0" parTransId="{2061C781-9530-484A-A31D-84C896B8B09D}" sibTransId="{3580646F-0D5B-4BCE-B919-5DBD776B1F9F}"/>
    <dgm:cxn modelId="{B3B8F3BD-821C-4560-B1AE-BBF963B601A2}" srcId="{502118E3-B73F-4038-BE42-AF69CEEC79AE}" destId="{29E7DB63-288D-4CD7-A5B5-DCA85F924A45}" srcOrd="1" destOrd="0" parTransId="{5D308C63-D185-40A5-8EC2-EF8613FFB5E1}" sibTransId="{98D1F46D-84BE-4DBA-8B04-4BF9B62512AF}"/>
    <dgm:cxn modelId="{BAAA943C-C1C1-4106-A7D9-C6AEEFDB29A3}" type="presOf" srcId="{53DE1962-9428-4299-A005-1548EBFB1B05}" destId="{3939533B-89F8-4F43-8131-6FB589510C02}" srcOrd="0" destOrd="0" presId="urn:microsoft.com/office/officeart/2005/8/layout/orgChart1"/>
    <dgm:cxn modelId="{C02397EE-A985-4147-8B79-E01694E86C11}" type="presOf" srcId="{502118E3-B73F-4038-BE42-AF69CEEC79AE}" destId="{EC0B5F45-7A2A-45ED-8366-83687B4FD0D8}" srcOrd="0" destOrd="0" presId="urn:microsoft.com/office/officeart/2005/8/layout/orgChart1"/>
    <dgm:cxn modelId="{807798D3-4CF4-417C-8575-E5A379BB0CC0}" type="presOf" srcId="{FC95D0F9-DABC-4ACA-A121-8CD1BF3C8687}" destId="{272453BC-03B2-4F81-9DA5-DBE7D6FE49E6}" srcOrd="1" destOrd="0" presId="urn:microsoft.com/office/officeart/2005/8/layout/orgChart1"/>
    <dgm:cxn modelId="{59EC88A3-CCFE-4096-BCCB-384F1BD914AE}" type="presOf" srcId="{29E7DB63-288D-4CD7-A5B5-DCA85F924A45}" destId="{A2CA3C87-920F-4160-B09E-3B9614D2FC62}" srcOrd="1" destOrd="0" presId="urn:microsoft.com/office/officeart/2005/8/layout/orgChart1"/>
    <dgm:cxn modelId="{6D014A2B-6F9E-4382-92A9-6D7CE64BFF05}" type="presOf" srcId="{FC95D0F9-DABC-4ACA-A121-8CD1BF3C8687}" destId="{29F8D6FB-A376-4C58-84D3-D45467CB0552}" srcOrd="0" destOrd="0" presId="urn:microsoft.com/office/officeart/2005/8/layout/orgChart1"/>
    <dgm:cxn modelId="{3DCDB461-09E1-4C86-A53D-B9DF9544EF1F}" type="presOf" srcId="{502118E3-B73F-4038-BE42-AF69CEEC79AE}" destId="{2ACCC3EF-7876-4659-92B4-1A2BA4FD3E2D}" srcOrd="1" destOrd="0" presId="urn:microsoft.com/office/officeart/2005/8/layout/orgChart1"/>
    <dgm:cxn modelId="{D418179E-D87B-423A-A1C2-80B90D4EAA85}" type="presOf" srcId="{296F5C9A-E151-498B-9F00-0B83F8768219}" destId="{2BF45411-CDB7-48EC-98BC-D5F8D68C16E0}" srcOrd="0" destOrd="0" presId="urn:microsoft.com/office/officeart/2005/8/layout/orgChart1"/>
    <dgm:cxn modelId="{39070E86-A65C-4E09-AE22-6B189DE7A8F0}" type="presOf" srcId="{29E7DB63-288D-4CD7-A5B5-DCA85F924A45}" destId="{0499014A-6E3D-41A4-B029-8E78DE8A9CFB}" srcOrd="0" destOrd="0" presId="urn:microsoft.com/office/officeart/2005/8/layout/orgChart1"/>
    <dgm:cxn modelId="{018BF246-DBF9-4755-9CD4-0D560C74071B}" type="presOf" srcId="{5D308C63-D185-40A5-8EC2-EF8613FFB5E1}" destId="{A376B5F4-4A78-44B9-8A11-B84081FE3274}" srcOrd="0" destOrd="0" presId="urn:microsoft.com/office/officeart/2005/8/layout/orgChart1"/>
    <dgm:cxn modelId="{1905950B-8F87-4D28-82A9-61B906740399}" type="presParOf" srcId="{3939533B-89F8-4F43-8131-6FB589510C02}" destId="{2E55FE4A-3319-415B-AA35-A11074DB4AA0}" srcOrd="0" destOrd="0" presId="urn:microsoft.com/office/officeart/2005/8/layout/orgChart1"/>
    <dgm:cxn modelId="{EE796119-9D27-4FEF-9238-0019E999BE3F}" type="presParOf" srcId="{2E55FE4A-3319-415B-AA35-A11074DB4AA0}" destId="{5C5A59FD-6400-4CAE-BB21-14B2BE82C02D}" srcOrd="0" destOrd="0" presId="urn:microsoft.com/office/officeart/2005/8/layout/orgChart1"/>
    <dgm:cxn modelId="{65855DDA-3DBA-4250-907D-C0F2FAA79B62}" type="presParOf" srcId="{5C5A59FD-6400-4CAE-BB21-14B2BE82C02D}" destId="{EC0B5F45-7A2A-45ED-8366-83687B4FD0D8}" srcOrd="0" destOrd="0" presId="urn:microsoft.com/office/officeart/2005/8/layout/orgChart1"/>
    <dgm:cxn modelId="{6188CA59-4D11-4997-A515-6218CAED1A5E}" type="presParOf" srcId="{5C5A59FD-6400-4CAE-BB21-14B2BE82C02D}" destId="{2ACCC3EF-7876-4659-92B4-1A2BA4FD3E2D}" srcOrd="1" destOrd="0" presId="urn:microsoft.com/office/officeart/2005/8/layout/orgChart1"/>
    <dgm:cxn modelId="{0316BD9A-4A69-4B4A-B449-0A8EBEA6097C}" type="presParOf" srcId="{2E55FE4A-3319-415B-AA35-A11074DB4AA0}" destId="{9E5A1037-B8B4-4DC7-860B-7469854AB3F3}" srcOrd="1" destOrd="0" presId="urn:microsoft.com/office/officeart/2005/8/layout/orgChart1"/>
    <dgm:cxn modelId="{A7EE0398-465E-45BD-B228-1CA7761857F1}" type="presParOf" srcId="{9E5A1037-B8B4-4DC7-860B-7469854AB3F3}" destId="{2BF45411-CDB7-48EC-98BC-D5F8D68C16E0}" srcOrd="0" destOrd="0" presId="urn:microsoft.com/office/officeart/2005/8/layout/orgChart1"/>
    <dgm:cxn modelId="{D4AD0D9B-955B-47D3-A9E6-A0F674C98270}" type="presParOf" srcId="{9E5A1037-B8B4-4DC7-860B-7469854AB3F3}" destId="{DBAD9273-877D-49B9-A991-044EA1B48899}" srcOrd="1" destOrd="0" presId="urn:microsoft.com/office/officeart/2005/8/layout/orgChart1"/>
    <dgm:cxn modelId="{BBA54CE1-F06A-4F3F-A40B-5A520F57FC75}" type="presParOf" srcId="{DBAD9273-877D-49B9-A991-044EA1B48899}" destId="{6FB54AEE-8291-4B30-ABA1-C4C8AA10973C}" srcOrd="0" destOrd="0" presId="urn:microsoft.com/office/officeart/2005/8/layout/orgChart1"/>
    <dgm:cxn modelId="{CB166F02-1FE5-4DD3-ACC8-883BBB063735}" type="presParOf" srcId="{6FB54AEE-8291-4B30-ABA1-C4C8AA10973C}" destId="{29F8D6FB-A376-4C58-84D3-D45467CB0552}" srcOrd="0" destOrd="0" presId="urn:microsoft.com/office/officeart/2005/8/layout/orgChart1"/>
    <dgm:cxn modelId="{8BAA43EE-38E3-4868-96C1-292740234849}" type="presParOf" srcId="{6FB54AEE-8291-4B30-ABA1-C4C8AA10973C}" destId="{272453BC-03B2-4F81-9DA5-DBE7D6FE49E6}" srcOrd="1" destOrd="0" presId="urn:microsoft.com/office/officeart/2005/8/layout/orgChart1"/>
    <dgm:cxn modelId="{F875D5E0-06FE-40E2-B853-9614071E795D}" type="presParOf" srcId="{DBAD9273-877D-49B9-A991-044EA1B48899}" destId="{184FD268-7EAE-45FB-AEC5-3BE248711E9E}" srcOrd="1" destOrd="0" presId="urn:microsoft.com/office/officeart/2005/8/layout/orgChart1"/>
    <dgm:cxn modelId="{950122A8-912A-4628-AD19-5BF21DA9624A}" type="presParOf" srcId="{DBAD9273-877D-49B9-A991-044EA1B48899}" destId="{628DD9D1-8385-491D-B058-169C9A9723C5}" srcOrd="2" destOrd="0" presId="urn:microsoft.com/office/officeart/2005/8/layout/orgChart1"/>
    <dgm:cxn modelId="{C989E2CC-31DF-43B3-B09A-DC2C9CA6426D}" type="presParOf" srcId="{9E5A1037-B8B4-4DC7-860B-7469854AB3F3}" destId="{A376B5F4-4A78-44B9-8A11-B84081FE3274}" srcOrd="2" destOrd="0" presId="urn:microsoft.com/office/officeart/2005/8/layout/orgChart1"/>
    <dgm:cxn modelId="{829CA11A-9E97-4982-AC11-624218560E40}" type="presParOf" srcId="{9E5A1037-B8B4-4DC7-860B-7469854AB3F3}" destId="{2255611C-55EB-48A1-B5DC-4FA92F7AD524}" srcOrd="3" destOrd="0" presId="urn:microsoft.com/office/officeart/2005/8/layout/orgChart1"/>
    <dgm:cxn modelId="{6CA879EF-BF15-4378-B23D-EA13F99AA463}" type="presParOf" srcId="{2255611C-55EB-48A1-B5DC-4FA92F7AD524}" destId="{D6B6C8BB-7FC2-4C64-B694-DE8077CB1FF1}" srcOrd="0" destOrd="0" presId="urn:microsoft.com/office/officeart/2005/8/layout/orgChart1"/>
    <dgm:cxn modelId="{F38F5D9A-7A80-4DD1-B14C-F6373497DEAF}" type="presParOf" srcId="{D6B6C8BB-7FC2-4C64-B694-DE8077CB1FF1}" destId="{0499014A-6E3D-41A4-B029-8E78DE8A9CFB}" srcOrd="0" destOrd="0" presId="urn:microsoft.com/office/officeart/2005/8/layout/orgChart1"/>
    <dgm:cxn modelId="{443E6E90-A899-4AB1-B28A-3EB8B21B1180}" type="presParOf" srcId="{D6B6C8BB-7FC2-4C64-B694-DE8077CB1FF1}" destId="{A2CA3C87-920F-4160-B09E-3B9614D2FC62}" srcOrd="1" destOrd="0" presId="urn:microsoft.com/office/officeart/2005/8/layout/orgChart1"/>
    <dgm:cxn modelId="{43F535E4-6C48-40BF-9BA5-79F67BCE0112}" type="presParOf" srcId="{2255611C-55EB-48A1-B5DC-4FA92F7AD524}" destId="{3B211B26-8107-451C-A582-A044BFD8CD55}" srcOrd="1" destOrd="0" presId="urn:microsoft.com/office/officeart/2005/8/layout/orgChart1"/>
    <dgm:cxn modelId="{81E2326A-55BC-40C4-8E5E-CD98C588F501}" type="presParOf" srcId="{2255611C-55EB-48A1-B5DC-4FA92F7AD524}" destId="{2642764F-E11C-469E-9E38-C7FEF4AFA7D7}" srcOrd="2" destOrd="0" presId="urn:microsoft.com/office/officeart/2005/8/layout/orgChart1"/>
    <dgm:cxn modelId="{5F6F20B8-6A96-47BC-8319-9F75DF38339B}"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F5EA-1038-4EAE-B1D3-EC13499D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6157</Words>
  <Characters>36944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Jolanta Szafrańska</cp:lastModifiedBy>
  <cp:revision>2</cp:revision>
  <cp:lastPrinted>2022-04-21T09:29:00Z</cp:lastPrinted>
  <dcterms:created xsi:type="dcterms:W3CDTF">2022-08-30T05:12:00Z</dcterms:created>
  <dcterms:modified xsi:type="dcterms:W3CDTF">2022-08-30T05:12:00Z</dcterms:modified>
</cp:coreProperties>
</file>