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0E" w:rsidRPr="002E6CCD" w:rsidRDefault="00037B0E" w:rsidP="00037B0E">
      <w:pPr>
        <w:autoSpaceDE w:val="0"/>
        <w:autoSpaceDN w:val="0"/>
        <w:adjustRightInd w:val="0"/>
        <w:spacing w:after="120" w:line="360" w:lineRule="auto"/>
        <w:ind w:left="491" w:hanging="49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6CCD">
        <w:rPr>
          <w:rFonts w:ascii="Times New Roman" w:hAnsi="Times New Roman" w:cs="Times New Roman"/>
          <w:b/>
          <w:sz w:val="24"/>
          <w:szCs w:val="24"/>
        </w:rPr>
        <w:t>Normy GAEC określone na poziomie</w:t>
      </w:r>
      <w:r w:rsidR="00FD22CA">
        <w:rPr>
          <w:rFonts w:ascii="Times New Roman" w:hAnsi="Times New Roman" w:cs="Times New Roman"/>
          <w:b/>
          <w:sz w:val="24"/>
          <w:szCs w:val="24"/>
        </w:rPr>
        <w:t xml:space="preserve"> krajowym w ramach warunkowości</w:t>
      </w:r>
    </w:p>
    <w:tbl>
      <w:tblPr>
        <w:tblW w:w="99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5"/>
        <w:gridCol w:w="2703"/>
        <w:gridCol w:w="6096"/>
      </w:tblGrid>
      <w:tr w:rsidR="00FE6930" w:rsidRPr="006332F8" w:rsidTr="00586B05">
        <w:trPr>
          <w:tblHeader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Calibri" w:hAnsi="Times New Roman" w:cs="Times New Roman"/>
                <w:b/>
                <w:lang w:eastAsia="en-GB"/>
              </w:rPr>
              <w:t>Praktyki dobrej kultury rolnej zgodnej z ochroną środowiska (GAEC)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Calibri" w:hAnsi="Times New Roman" w:cs="Times New Roman"/>
                <w:b/>
                <w:lang w:eastAsia="en-GB"/>
              </w:rPr>
              <w:t>Opis sposobu wdrażania praktyki lub wymogu</w:t>
            </w:r>
          </w:p>
        </w:tc>
      </w:tr>
      <w:tr w:rsidR="00FE6930" w:rsidRPr="006332F8" w:rsidTr="00586B05">
        <w:trPr>
          <w:trHeight w:val="355"/>
        </w:trPr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GAEC 1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Utrzymywanie trwałych użytków zielonych w oparciu o stosunek powierzchni trwałych użytków zielonych do powierzchni użytków rolnych</w:t>
            </w:r>
            <w:r w:rsidR="005F18AB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na poziomie krajowym, regionalnym, </w:t>
            </w:r>
            <w:proofErr w:type="spellStart"/>
            <w:r w:rsidR="005F18AB">
              <w:rPr>
                <w:rFonts w:ascii="Times New Roman" w:eastAsia="Times New Roman" w:hAnsi="Times New Roman" w:cs="Times New Roman"/>
                <w:b/>
                <w:lang w:eastAsia="en-GB"/>
              </w:rPr>
              <w:t>sub-regionalnym</w:t>
            </w:r>
            <w:proofErr w:type="spellEnd"/>
            <w:r w:rsidR="005F18AB">
              <w:rPr>
                <w:rFonts w:ascii="Times New Roman" w:eastAsia="Times New Roman" w:hAnsi="Times New Roman" w:cs="Times New Roman"/>
                <w:b/>
                <w:lang w:eastAsia="en-GB"/>
              </w:rPr>
              <w:t>, grup gospodarstw lub gospodarstwa. Ten stosunek nie może spaść o więcej niż 5% w porównaniu z rokiem referencyjnym</w:t>
            </w:r>
            <w:r w:rsidR="005016CA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2015 lub 2018 określonym przez Państwo Członkowskie</w:t>
            </w:r>
            <w:r w:rsidR="005F18AB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</w:tcBorders>
          </w:tcPr>
          <w:p w:rsidR="00FE6930" w:rsidRPr="006332F8" w:rsidRDefault="0068726C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Podsumowanie praktyki w gospodarstwie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W przypadku zmniejszenia stosunku powierzchni trwałych użytków zielonych (TUZ) do powierzchni użytków rolnych </w:t>
            </w:r>
            <w:r w:rsidR="005016CA">
              <w:rPr>
                <w:rFonts w:ascii="Times New Roman" w:eastAsia="Times New Roman" w:hAnsi="Times New Roman" w:cs="Times New Roman"/>
                <w:lang w:eastAsia="en-GB"/>
              </w:rPr>
              <w:t xml:space="preserve">w stosunku do roku referencyjnego 2018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o więcej niż 5% w skali kraju, konieczne będzie wprowadzenie zakazu zaorywania TUZ oraz zobowiązanie rolników, którzy przekształcili trwałe użytki zielone, do przywrócenia określonej powierzchni gruntu w TUZ lub odtworzenia TUZ na innym gruncie.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Zakres terytorialny (regionalny lub krajowy)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krajowy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Rodzaj rolników, których to dotyczy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: </w:t>
            </w:r>
          </w:p>
          <w:p w:rsidR="00FE6930" w:rsidRDefault="007C5E45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olnicy podlegający warunkowości, o której mowa w art. 11 rozporządzenia w sprawie planów strategicznych, którzy posiadają w swoim gospodarstwie TUZ lub którzy przekształcili TUZ. </w:t>
            </w:r>
          </w:p>
          <w:p w:rsidR="007C5E45" w:rsidRPr="006332F8" w:rsidRDefault="007C5E45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[</w:t>
            </w:r>
            <w:r w:rsidR="00D313AC" w:rsidRPr="00D313AC">
              <w:rPr>
                <w:rFonts w:ascii="Times New Roman" w:eastAsia="Times New Roman" w:hAnsi="Times New Roman" w:cs="Times New Roman"/>
                <w:i/>
                <w:lang w:eastAsia="en-GB"/>
              </w:rPr>
              <w:t>szczegół</w:t>
            </w:r>
            <w:r w:rsidR="00D313AC" w:rsidRPr="00586B05">
              <w:rPr>
                <w:rFonts w:ascii="Times New Roman" w:eastAsia="Times New Roman" w:hAnsi="Times New Roman" w:cs="Times New Roman"/>
                <w:i/>
                <w:lang w:eastAsia="en-GB"/>
              </w:rPr>
              <w:t>o</w:t>
            </w:r>
            <w:r w:rsidR="00D313AC">
              <w:rPr>
                <w:rFonts w:ascii="Times New Roman" w:eastAsia="Times New Roman" w:hAnsi="Times New Roman" w:cs="Times New Roman"/>
                <w:i/>
                <w:lang w:eastAsia="en-GB"/>
              </w:rPr>
              <w:t>w</w:t>
            </w:r>
            <w:r w:rsidR="00D313AC" w:rsidRPr="00586B05">
              <w:rPr>
                <w:rFonts w:ascii="Times New Roman" w:eastAsia="Times New Roman" w:hAnsi="Times New Roman" w:cs="Times New Roman"/>
                <w:i/>
                <w:lang w:eastAsia="en-GB"/>
              </w:rPr>
              <w:t>y zakres oraz</w:t>
            </w:r>
            <w:r w:rsidR="00D313A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95B6E" w:rsidRPr="0041759E">
              <w:rPr>
                <w:rFonts w:ascii="Times New Roman" w:eastAsia="Times New Roman" w:hAnsi="Times New Roman" w:cs="Times New Roman"/>
                <w:i/>
                <w:lang w:eastAsia="en-GB"/>
              </w:rPr>
              <w:t>dalsze doprecyzowanie normy</w:t>
            </w:r>
            <w:r w:rsidR="00595B6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86B05">
              <w:rPr>
                <w:rFonts w:ascii="Times New Roman" w:eastAsia="Times New Roman" w:hAnsi="Times New Roman" w:cs="Times New Roman"/>
                <w:i/>
                <w:lang w:eastAsia="en-GB"/>
              </w:rPr>
              <w:t>będ</w:t>
            </w:r>
            <w:r w:rsidR="00595B6E">
              <w:rPr>
                <w:rFonts w:ascii="Times New Roman" w:eastAsia="Times New Roman" w:hAnsi="Times New Roman" w:cs="Times New Roman"/>
                <w:i/>
                <w:lang w:eastAsia="en-GB"/>
              </w:rPr>
              <w:t>zie</w:t>
            </w:r>
            <w:r w:rsidRPr="00586B05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możliwe na późniejszym etapie po zapoznaniu się z aktem delegowanym</w:t>
            </w:r>
            <w:r w:rsidR="00595B6E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KE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]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Wyjaśnienie wkładu w główny cel praktyki: </w:t>
            </w:r>
          </w:p>
          <w:p w:rsidR="00FE6930" w:rsidRPr="006332F8" w:rsidRDefault="00FE6930" w:rsidP="007E5F36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332F8">
              <w:rPr>
                <w:rFonts w:ascii="Times New Roman" w:hAnsi="Times New Roman" w:cs="Times New Roman"/>
              </w:rPr>
              <w:t>Trwałe użytki zielone w dużym stopniu przyczyniają się do</w:t>
            </w:r>
            <w:r w:rsidR="007E5F36">
              <w:t xml:space="preserve"> </w:t>
            </w:r>
            <w:r w:rsidR="007E5F36" w:rsidRPr="00586B05">
              <w:rPr>
                <w:rFonts w:ascii="Times New Roman" w:hAnsi="Times New Roman" w:cs="Times New Roman"/>
              </w:rPr>
              <w:t>ochrony zasobów węgla, a także ochrony gleby, zwiększenia pochłaniania dwutlenku węgla oraz zachowania różnorodności biologicznej</w:t>
            </w:r>
            <w:r w:rsidR="007E5F36">
              <w:rPr>
                <w:rFonts w:ascii="Times New Roman" w:hAnsi="Times New Roman" w:cs="Times New Roman"/>
              </w:rPr>
              <w:t>.</w:t>
            </w:r>
          </w:p>
        </w:tc>
      </w:tr>
      <w:tr w:rsidR="00FE6930" w:rsidRPr="006332F8" w:rsidTr="00586B05">
        <w:trPr>
          <w:trHeight w:val="344"/>
        </w:trPr>
        <w:tc>
          <w:tcPr>
            <w:tcW w:w="1125" w:type="dxa"/>
            <w:shd w:val="clear" w:color="000000" w:fill="FFFFFF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bookmarkStart w:id="1" w:name="_Hlk526679568"/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GAEC 2</w:t>
            </w:r>
          </w:p>
        </w:tc>
        <w:tc>
          <w:tcPr>
            <w:tcW w:w="2703" w:type="dxa"/>
            <w:shd w:val="clear" w:color="000000" w:fill="FFFFFF"/>
          </w:tcPr>
          <w:p w:rsidR="00FE6930" w:rsidRPr="006332F8" w:rsidRDefault="005F18AB" w:rsidP="00CD0098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Minimalna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="00FE6930"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ochrona terenów podmokłych i torfowisk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najpóźniej od </w:t>
            </w: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202</w:t>
            </w:r>
            <w:r w:rsidR="00CD0098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5</w:t>
            </w: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r.</w:t>
            </w:r>
          </w:p>
        </w:tc>
        <w:tc>
          <w:tcPr>
            <w:tcW w:w="6096" w:type="dxa"/>
            <w:shd w:val="clear" w:color="000000" w:fill="FFFFFF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Podsumowanie praktyki w gospodarstwie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: Na wyznaczonych obszarach podmokłych i torfowiskach rolnicy są zobowiązani przes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trzegać zakazu ich przekształcania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i zaorywania.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Zakres terytorialny i wyznaczony obszar: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F80FA0">
              <w:rPr>
                <w:rFonts w:ascii="Times New Roman" w:eastAsia="Times New Roman" w:hAnsi="Times New Roman" w:cs="Times New Roman"/>
                <w:lang w:eastAsia="en-GB"/>
              </w:rPr>
              <w:t>Gospodarstwa</w:t>
            </w:r>
            <w:r w:rsidR="00F80FA0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F80FA0">
              <w:rPr>
                <w:rFonts w:ascii="Times New Roman" w:eastAsia="Times New Roman" w:hAnsi="Times New Roman" w:cs="Times New Roman"/>
                <w:lang w:eastAsia="en-GB"/>
              </w:rPr>
              <w:t>zobowiązane do przestrzegania</w:t>
            </w:r>
            <w:r w:rsidR="00F80FA0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warunkowości, o której mowa w art. 11 rozporządzenia w sprawie planów strategicznych</w:t>
            </w:r>
            <w:r w:rsidR="00F80FA0">
              <w:rPr>
                <w:rFonts w:ascii="Times New Roman" w:eastAsia="Times New Roman" w:hAnsi="Times New Roman" w:cs="Times New Roman"/>
                <w:lang w:eastAsia="en-GB"/>
              </w:rPr>
              <w:t xml:space="preserve">, które  posiadają </w:t>
            </w:r>
            <w:r w:rsidR="007B0EAA">
              <w:rPr>
                <w:rFonts w:ascii="Times New Roman" w:eastAsia="Times New Roman" w:hAnsi="Times New Roman" w:cs="Times New Roman"/>
                <w:lang w:eastAsia="en-GB"/>
              </w:rPr>
              <w:t xml:space="preserve">grunty </w:t>
            </w:r>
            <w:r w:rsidR="00F80FA0">
              <w:rPr>
                <w:rFonts w:ascii="Times New Roman" w:eastAsia="Times New Roman" w:hAnsi="Times New Roman" w:cs="Times New Roman"/>
                <w:lang w:eastAsia="en-GB"/>
              </w:rPr>
              <w:t>w</w:t>
            </w:r>
            <w:r w:rsidR="003539B0">
              <w:rPr>
                <w:rFonts w:ascii="Times New Roman" w:eastAsia="Times New Roman" w:hAnsi="Times New Roman" w:cs="Times New Roman"/>
                <w:lang w:eastAsia="en-GB"/>
              </w:rPr>
              <w:t>yznaczone</w:t>
            </w:r>
            <w:r w:rsidR="007B0EAA">
              <w:rPr>
                <w:rFonts w:ascii="Times New Roman" w:eastAsia="Times New Roman" w:hAnsi="Times New Roman" w:cs="Times New Roman"/>
                <w:lang w:eastAsia="en-GB"/>
              </w:rPr>
              <w:t xml:space="preserve"> jako</w:t>
            </w:r>
            <w:r w:rsidR="003539B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7B0EAA">
              <w:rPr>
                <w:rFonts w:ascii="Times New Roman" w:eastAsia="Times New Roman" w:hAnsi="Times New Roman" w:cs="Times New Roman"/>
                <w:lang w:eastAsia="en-GB"/>
              </w:rPr>
              <w:t>obszary</w:t>
            </w:r>
            <w:r w:rsidR="00F80FA0">
              <w:rPr>
                <w:rFonts w:ascii="Times New Roman" w:eastAsia="Times New Roman" w:hAnsi="Times New Roman" w:cs="Times New Roman"/>
                <w:lang w:eastAsia="en-GB"/>
              </w:rPr>
              <w:t xml:space="preserve"> podmokłe i torfowiska</w:t>
            </w:r>
            <w:r w:rsidR="005F18AB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3539B0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Obszary te zostaną zidentyfikowane najpóźniej do roku </w:t>
            </w:r>
            <w:r w:rsidR="005F18AB" w:rsidRPr="0041759E">
              <w:rPr>
                <w:rFonts w:ascii="Times New Roman" w:eastAsia="Times New Roman" w:hAnsi="Times New Roman" w:cs="Times New Roman"/>
                <w:lang w:eastAsia="en-GB"/>
              </w:rPr>
              <w:t>202</w:t>
            </w:r>
            <w:r w:rsidR="008811A9" w:rsidRPr="0041759E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Rodzaj rolników, których to dotyczy: </w:t>
            </w:r>
            <w:r w:rsidR="007B0EAA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olnicy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podlegający warunkowości, o której mowa w art. 11 rozporządzenia w sprawie planów strategicznych, posiadający </w:t>
            </w:r>
            <w:r w:rsidR="007B0EAA">
              <w:rPr>
                <w:rFonts w:ascii="Times New Roman" w:eastAsia="Times New Roman" w:hAnsi="Times New Roman" w:cs="Times New Roman"/>
                <w:lang w:eastAsia="en-GB"/>
              </w:rPr>
              <w:t>wyznaczone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obszar</w:t>
            </w:r>
            <w:r w:rsidR="00EA0A42">
              <w:rPr>
                <w:rFonts w:ascii="Times New Roman" w:eastAsia="Times New Roman" w:hAnsi="Times New Roman" w:cs="Times New Roman"/>
                <w:lang w:eastAsia="en-GB"/>
              </w:rPr>
              <w:t>y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podmokł</w:t>
            </w:r>
            <w:r w:rsidR="00EA0A42">
              <w:rPr>
                <w:rFonts w:ascii="Times New Roman" w:eastAsia="Times New Roman" w:hAnsi="Times New Roman" w:cs="Times New Roman"/>
                <w:lang w:eastAsia="en-GB"/>
              </w:rPr>
              <w:t>e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i torfowiska.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Wyjaśnienie wkładu w główny cel praktyki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Utrzymanie obszarów podmokłych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i torfowisk w celu magazynowania węgla w glebie i zapobiegania emisji dwutlenku węgla do atmosfery.</w:t>
            </w:r>
          </w:p>
        </w:tc>
      </w:tr>
      <w:tr w:rsidR="00FE6930" w:rsidRPr="006332F8" w:rsidTr="00586B05">
        <w:tc>
          <w:tcPr>
            <w:tcW w:w="1125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GAEC 3</w:t>
            </w:r>
          </w:p>
        </w:tc>
        <w:tc>
          <w:tcPr>
            <w:tcW w:w="2703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Zakaz wypalania rżysk, chyba że służy ono zdrowiu roślin</w:t>
            </w:r>
          </w:p>
        </w:tc>
        <w:tc>
          <w:tcPr>
            <w:tcW w:w="6096" w:type="dxa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Podsumowanie praktyki w gospodarstwie: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Zakaz wypalania gruntów rolnych.</w:t>
            </w:r>
          </w:p>
          <w:p w:rsidR="00FE6930" w:rsidRPr="00206AFC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Zakres terytorialny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: Wszystkie użytki rolne podlegające warunkowości, o której mowa w art. 11 rozporządzenia </w:t>
            </w:r>
            <w:r w:rsidRPr="00206AFC">
              <w:rPr>
                <w:rFonts w:ascii="Times New Roman" w:eastAsia="Times New Roman" w:hAnsi="Times New Roman" w:cs="Times New Roman"/>
                <w:lang w:eastAsia="en-GB"/>
              </w:rPr>
              <w:t>w sprawie planów strategicznych.</w:t>
            </w:r>
          </w:p>
          <w:p w:rsidR="00FE6930" w:rsidRPr="006332F8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Rodzaj rolników, których to dotyczy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: Wszyscy rolnicy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podlegając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y warunkowości, o której mowa w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art. 11 rozporządzenia w sprawie planów strategicznych.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Wyjaśnienie wkładu w główny cel praktyki: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Utrzymanie poziomu materii organicznej gleby i zapobieganie bezpośrednim emisjom dwutlenku węgla </w:t>
            </w:r>
            <w:r w:rsidRPr="006332F8">
              <w:rPr>
                <w:rFonts w:ascii="Times New Roman" w:hAnsi="Times New Roman" w:cs="Times New Roman"/>
              </w:rPr>
              <w:t xml:space="preserve">i pyłu drobnego (PM 2.5)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do atmosfery. </w:t>
            </w:r>
          </w:p>
        </w:tc>
      </w:tr>
      <w:tr w:rsidR="00FE6930" w:rsidRPr="006332F8" w:rsidTr="00586B05">
        <w:tc>
          <w:tcPr>
            <w:tcW w:w="1125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GAEC 4</w:t>
            </w:r>
          </w:p>
        </w:tc>
        <w:tc>
          <w:tcPr>
            <w:tcW w:w="2703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Ustanowienie stref buforowych wzdłuż cieków wodnych</w:t>
            </w:r>
          </w:p>
        </w:tc>
        <w:tc>
          <w:tcPr>
            <w:tcW w:w="6096" w:type="dxa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Podsumowanie praktyki w gospodarstwie 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br/>
              <w:t xml:space="preserve">i minimalnej szerokości stref buforowych: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Zakaz stosowania nawozów azotowych na gruntach rolnych w pobliżu wód powierzchniowych w odległościach wynoszących co do zasady 5, 10 lub 20 m. Odległości te zostały określone w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przepisach prawa krajowego</w:t>
            </w:r>
            <w:r>
              <w:rPr>
                <w:rStyle w:val="Odwoanieprzypisudolnego"/>
                <w:rFonts w:ascii="Times New Roman" w:eastAsia="Times New Roman" w:hAnsi="Times New Roman" w:cs="Times New Roman"/>
                <w:lang w:eastAsia="en-GB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, które wdrażają przepisy dyrektywy 91/676/EWG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i są uzależnione od rodzaju nawozu i typu wód powierzchniowych.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Zakres terytorialny, łącznie z definicją wód powierzchniowych objętych normą: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Wszystkie użytki rolne sąsiadujące z wodami powierzchniowymi i podlegające warunkowości, o której mowa w art. 11 rozporządzenia </w:t>
            </w:r>
            <w:r w:rsidRPr="00206AFC">
              <w:rPr>
                <w:rFonts w:ascii="Times New Roman" w:eastAsia="Times New Roman" w:hAnsi="Times New Roman" w:cs="Times New Roman"/>
                <w:lang w:eastAsia="en-GB"/>
              </w:rPr>
              <w:t>w sprawie planów strategicznych.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i/>
                <w:lang w:eastAsia="en-GB"/>
              </w:rPr>
              <w:t>Definicja wód powierzchniowych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, których dotyczy norma </w:t>
            </w:r>
            <w:r w:rsidR="00E9323F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GAEC 4: rowy o szerokości powyżej 5 m liczonej na wysokości górnej krawędzi brzegu rowu, jeziora i zbiorniki wodne, cieki naturalne, kanały, o których mowa w ustawie Prawa wodne, ujęcia wody, jeżeli nie ustanowiono strefy ochronnej na podstawie przepisów Prawa wodnego, obszary morskiego pasa nadbrzeżnego.</w:t>
            </w:r>
          </w:p>
          <w:p w:rsidR="00FE6930" w:rsidRPr="006332F8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Rodzaj rolników, których to dotyczy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: </w:t>
            </w:r>
            <w:r w:rsidR="00E9323F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olnicy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podlegający warunkowości, o której mowa w art. 11 rozporządzenia </w:t>
            </w:r>
            <w:r w:rsidRPr="006332F8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w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sprawie planów strategicznych</w:t>
            </w:r>
            <w:r w:rsidRPr="006332F8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oraz posiadający użytki rolne położone w sąsiedztwie wód powierzchniowych.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Wyjaśnienie wkładu w główny cel praktyki: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Zmniejszenie zanieczyszczenia wód, w szczególności azotanami pochodzącymi ze źródeł rolniczych. Poprawa jakości wód.</w:t>
            </w:r>
          </w:p>
        </w:tc>
      </w:tr>
      <w:tr w:rsidR="00FE6930" w:rsidRPr="006332F8" w:rsidTr="00586B05">
        <w:tc>
          <w:tcPr>
            <w:tcW w:w="1125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GAEC 6</w:t>
            </w:r>
          </w:p>
        </w:tc>
        <w:tc>
          <w:tcPr>
            <w:tcW w:w="2703" w:type="dxa"/>
            <w:shd w:val="clear" w:color="000000" w:fill="auto"/>
          </w:tcPr>
          <w:p w:rsidR="00FE6930" w:rsidRPr="006332F8" w:rsidRDefault="00FE6930" w:rsidP="00902DE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Zarządzanie orką</w:t>
            </w:r>
            <w:r w:rsidR="001A5CC3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lub inne odpowiednie techniki uprawy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="001A5CC3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w celu zmniejszenia ryzyka 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degradacji gleby, </w:t>
            </w:r>
            <w:r w:rsidR="001A5CC3">
              <w:rPr>
                <w:rFonts w:ascii="Times New Roman" w:eastAsia="Times New Roman" w:hAnsi="Times New Roman" w:cs="Times New Roman"/>
                <w:b/>
                <w:lang w:eastAsia="en-GB"/>
              </w:rPr>
              <w:t>biorąc po</w:t>
            </w:r>
            <w:r w:rsidR="006B7576">
              <w:rPr>
                <w:rFonts w:ascii="Times New Roman" w:eastAsia="Times New Roman" w:hAnsi="Times New Roman" w:cs="Times New Roman"/>
                <w:b/>
                <w:lang w:eastAsia="en-GB"/>
              </w:rPr>
              <w:t>d</w:t>
            </w:r>
            <w:r w:rsidR="001A5CC3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uwagę </w:t>
            </w:r>
            <w:r w:rsidR="00902DE1"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nachyleni</w:t>
            </w:r>
            <w:r w:rsidR="00902DE1">
              <w:rPr>
                <w:rFonts w:ascii="Times New Roman" w:eastAsia="Times New Roman" w:hAnsi="Times New Roman" w:cs="Times New Roman"/>
                <w:b/>
                <w:lang w:eastAsia="en-GB"/>
              </w:rPr>
              <w:t>e</w:t>
            </w:r>
            <w:r w:rsidR="00902DE1"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terenu</w:t>
            </w:r>
          </w:p>
        </w:tc>
        <w:tc>
          <w:tcPr>
            <w:tcW w:w="6096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Podsumowanie praktyki w gospodarstwie: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•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ab/>
              <w:t xml:space="preserve">Grunty orne </w:t>
            </w:r>
            <w:r w:rsidRPr="00F46E5D">
              <w:rPr>
                <w:rFonts w:ascii="Times New Roman" w:eastAsia="Times New Roman" w:hAnsi="Times New Roman" w:cs="Times New Roman"/>
                <w:lang w:eastAsia="en-GB"/>
              </w:rPr>
              <w:t xml:space="preserve">położone na stokach o nachyleniu </w:t>
            </w:r>
            <w:r w:rsidR="00A435D1" w:rsidRPr="00F46E5D">
              <w:rPr>
                <w:rFonts w:ascii="Times New Roman" w:hAnsi="Times New Roman" w:cs="Times New Roman"/>
              </w:rPr>
              <w:t xml:space="preserve">≥ 20% </w:t>
            </w:r>
            <w:r w:rsidRPr="00F46E5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uznaje się za utrzymywane zgodnie z normami, jeżeli gruntów tych: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1) nie wykorzystuje się pod uprawę roślin wymagających utrzymywania redlin wzdłuż stoku;</w:t>
            </w:r>
          </w:p>
          <w:p w:rsidR="00FE6930" w:rsidRPr="00F46E5D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2) nie utrzymuje się jako ugór czarny w okresie od jesieni do wiosny (</w:t>
            </w:r>
            <w:r w:rsidR="006B7576">
              <w:rPr>
                <w:rFonts w:ascii="Times New Roman" w:eastAsia="Times New Roman" w:hAnsi="Times New Roman" w:cs="Times New Roman"/>
                <w:lang w:eastAsia="en-GB"/>
              </w:rPr>
              <w:t xml:space="preserve">od dnia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1 listopada do </w:t>
            </w:r>
            <w:r w:rsidR="006B7576">
              <w:rPr>
                <w:rFonts w:ascii="Times New Roman" w:eastAsia="Times New Roman" w:hAnsi="Times New Roman" w:cs="Times New Roman"/>
                <w:lang w:eastAsia="en-GB"/>
              </w:rPr>
              <w:t xml:space="preserve">dnia </w:t>
            </w:r>
            <w:r w:rsidR="00DF64D8" w:rsidRPr="00F46E5D">
              <w:rPr>
                <w:rFonts w:ascii="Times New Roman" w:eastAsia="Times New Roman" w:hAnsi="Times New Roman" w:cs="Times New Roman"/>
                <w:lang w:eastAsia="en-GB"/>
              </w:rPr>
              <w:t xml:space="preserve">15 </w:t>
            </w:r>
            <w:r w:rsidRPr="00F46E5D">
              <w:rPr>
                <w:rFonts w:ascii="Times New Roman" w:eastAsia="Times New Roman" w:hAnsi="Times New Roman" w:cs="Times New Roman"/>
                <w:lang w:eastAsia="en-GB"/>
              </w:rPr>
              <w:t>lutego).</w:t>
            </w:r>
          </w:p>
          <w:p w:rsidR="00FE6930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F46E5D">
              <w:rPr>
                <w:rFonts w:ascii="Times New Roman" w:eastAsia="Times New Roman" w:hAnsi="Times New Roman" w:cs="Times New Roman"/>
                <w:lang w:eastAsia="en-GB"/>
              </w:rPr>
              <w:t>•</w:t>
            </w:r>
            <w:r w:rsidRPr="00F46E5D">
              <w:rPr>
                <w:rFonts w:ascii="Times New Roman" w:eastAsia="Times New Roman" w:hAnsi="Times New Roman" w:cs="Times New Roman"/>
                <w:lang w:eastAsia="en-GB"/>
              </w:rPr>
              <w:tab/>
              <w:t xml:space="preserve">Na gruntach ornych, położonych na stokach o  nachyleniu  </w:t>
            </w:r>
            <w:r w:rsidR="00636EC3" w:rsidRPr="00586B05">
              <w:rPr>
                <w:rFonts w:ascii="Times New Roman" w:hAnsi="Times New Roman" w:cs="Times New Roman"/>
              </w:rPr>
              <w:lastRenderedPageBreak/>
              <w:t xml:space="preserve">≥ </w:t>
            </w:r>
            <w:r w:rsidRPr="00F46E5D">
              <w:rPr>
                <w:rFonts w:ascii="Times New Roman" w:eastAsia="Times New Roman" w:hAnsi="Times New Roman" w:cs="Times New Roman"/>
                <w:lang w:eastAsia="en-GB"/>
              </w:rPr>
              <w:t>20%, wykorzystywanych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pod uprawę roślin wieloletnich</w:t>
            </w:r>
            <w:r w:rsidR="006B7576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utrzymuje się okrywę roślinną lub ściółkę w międzyrzędziach.</w:t>
            </w:r>
          </w:p>
          <w:p w:rsidR="00FE6930" w:rsidRPr="00586B05" w:rsidRDefault="00FE6930" w:rsidP="00586B05">
            <w:pPr>
              <w:pStyle w:val="Akapitzlist"/>
              <w:numPr>
                <w:ilvl w:val="0"/>
                <w:numId w:val="11"/>
              </w:numPr>
              <w:spacing w:before="40" w:after="4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86B05">
              <w:rPr>
                <w:rFonts w:ascii="Times New Roman" w:hAnsi="Times New Roman" w:cs="Times New Roman"/>
              </w:rPr>
              <w:t>Na powierzchni, stanowiącej co najmniej 50% gruntów ornych, położonych na</w:t>
            </w:r>
            <w:r w:rsidR="00371F4A">
              <w:rPr>
                <w:rFonts w:ascii="Times New Roman" w:hAnsi="Times New Roman" w:cs="Times New Roman"/>
              </w:rPr>
              <w:t xml:space="preserve"> wyznaczonych</w:t>
            </w:r>
            <w:r w:rsidRPr="00586B05">
              <w:rPr>
                <w:rFonts w:ascii="Times New Roman" w:hAnsi="Times New Roman" w:cs="Times New Roman"/>
              </w:rPr>
              <w:t xml:space="preserve"> obszarach </w:t>
            </w:r>
            <w:r w:rsidR="00C81F3E">
              <w:rPr>
                <w:rFonts w:ascii="Times New Roman" w:hAnsi="Times New Roman" w:cs="Times New Roman"/>
              </w:rPr>
              <w:t xml:space="preserve">szczególnie </w:t>
            </w:r>
            <w:r w:rsidRPr="00586B05">
              <w:rPr>
                <w:rFonts w:ascii="Times New Roman" w:hAnsi="Times New Roman" w:cs="Times New Roman"/>
              </w:rPr>
              <w:t>zagrożonych erozją wodną</w:t>
            </w:r>
            <w:r w:rsidR="000F6B4F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 w:rsidRPr="00586B05">
              <w:rPr>
                <w:rFonts w:ascii="Times New Roman" w:hAnsi="Times New Roman" w:cs="Times New Roman"/>
              </w:rPr>
              <w:t>, wchodzących w skład gospodarstwa rolnego, pozostawia się</w:t>
            </w:r>
            <w:r w:rsidR="00371F4A">
              <w:rPr>
                <w:rFonts w:ascii="Times New Roman" w:hAnsi="Times New Roman" w:cs="Times New Roman"/>
              </w:rPr>
              <w:t xml:space="preserve"> </w:t>
            </w:r>
            <w:r w:rsidR="006B7576">
              <w:rPr>
                <w:rFonts w:ascii="Times New Roman" w:hAnsi="Times New Roman" w:cs="Times New Roman"/>
              </w:rPr>
              <w:t>okrywę</w:t>
            </w:r>
            <w:r w:rsidRPr="00586B05">
              <w:rPr>
                <w:rFonts w:ascii="Times New Roman" w:hAnsi="Times New Roman" w:cs="Times New Roman"/>
              </w:rPr>
              <w:t xml:space="preserve"> ochron</w:t>
            </w:r>
            <w:r w:rsidR="006B7576">
              <w:rPr>
                <w:rFonts w:ascii="Times New Roman" w:hAnsi="Times New Roman" w:cs="Times New Roman"/>
              </w:rPr>
              <w:t>n</w:t>
            </w:r>
            <w:r w:rsidRPr="00586B05">
              <w:rPr>
                <w:rFonts w:ascii="Times New Roman" w:hAnsi="Times New Roman" w:cs="Times New Roman"/>
              </w:rPr>
              <w:t>ą gleby co najmn</w:t>
            </w:r>
            <w:r>
              <w:rPr>
                <w:rFonts w:ascii="Times New Roman" w:hAnsi="Times New Roman" w:cs="Times New Roman"/>
              </w:rPr>
              <w:t xml:space="preserve">iej od dnia 1 listopada do </w:t>
            </w:r>
            <w:r w:rsidR="006B7576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15</w:t>
            </w:r>
            <w:r w:rsidRPr="00586B05">
              <w:rPr>
                <w:rFonts w:ascii="Times New Roman" w:hAnsi="Times New Roman" w:cs="Times New Roman"/>
              </w:rPr>
              <w:t xml:space="preserve"> lutego.</w:t>
            </w:r>
          </w:p>
          <w:p w:rsidR="000F6B4F" w:rsidRDefault="000F6B4F" w:rsidP="007B1AC1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Zakres terytorialny: </w:t>
            </w:r>
          </w:p>
          <w:p w:rsidR="00BB571E" w:rsidRDefault="00334BF4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runty orne</w:t>
            </w:r>
            <w:r w:rsidR="006B7576">
              <w:rPr>
                <w:rFonts w:ascii="Times New Roman" w:eastAsia="Times New Roman" w:hAnsi="Times New Roman" w:cs="Times New Roman"/>
                <w:lang w:eastAsia="en-GB"/>
              </w:rPr>
              <w:t xml:space="preserve">: </w:t>
            </w:r>
          </w:p>
          <w:p w:rsidR="00371F4A" w:rsidRPr="000C2782" w:rsidRDefault="00FE6930" w:rsidP="00586B05">
            <w:pPr>
              <w:pStyle w:val="Akapitzlist"/>
              <w:numPr>
                <w:ilvl w:val="0"/>
                <w:numId w:val="18"/>
              </w:numPr>
              <w:spacing w:before="40" w:after="40" w:line="240" w:lineRule="auto"/>
              <w:ind w:hanging="185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86B05">
              <w:rPr>
                <w:rFonts w:ascii="Times New Roman" w:eastAsia="Times New Roman" w:hAnsi="Times New Roman" w:cs="Times New Roman"/>
                <w:lang w:eastAsia="en-GB"/>
              </w:rPr>
              <w:t>o  nachyleniu</w:t>
            </w:r>
            <w:r w:rsidR="00A93CEB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0A0DB6" w:rsidRPr="00586B05">
              <w:rPr>
                <w:rFonts w:ascii="Times New Roman" w:hAnsi="Times New Roman" w:cs="Times New Roman"/>
              </w:rPr>
              <w:t xml:space="preserve">≥ </w:t>
            </w:r>
            <w:r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 20%</w:t>
            </w:r>
            <w:r w:rsidR="00BB571E" w:rsidRPr="00586B05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</w:p>
          <w:p w:rsidR="00BB571E" w:rsidRPr="00586B05" w:rsidRDefault="00FE6930" w:rsidP="00586B05">
            <w:pPr>
              <w:pStyle w:val="Akapitzlist"/>
              <w:numPr>
                <w:ilvl w:val="0"/>
                <w:numId w:val="18"/>
              </w:numPr>
              <w:spacing w:before="40" w:after="40" w:line="240" w:lineRule="auto"/>
              <w:ind w:hanging="185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położone na </w:t>
            </w:r>
            <w:r w:rsidR="00C81F3E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wyznaczonych </w:t>
            </w:r>
            <w:r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obszarach </w:t>
            </w:r>
            <w:r w:rsidR="00C81F3E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szczególnie </w:t>
            </w:r>
            <w:r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zagrożonych erozją wodną </w:t>
            </w:r>
          </w:p>
          <w:p w:rsidR="00FE6930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0C2782">
              <w:rPr>
                <w:rFonts w:ascii="Times New Roman" w:eastAsia="Times New Roman" w:hAnsi="Times New Roman" w:cs="Times New Roman"/>
                <w:lang w:eastAsia="en-GB"/>
              </w:rPr>
              <w:t>i</w:t>
            </w:r>
            <w:r w:rsidR="00BB571E" w:rsidRPr="000C278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0C2782">
              <w:rPr>
                <w:rFonts w:ascii="Times New Roman" w:eastAsia="Times New Roman" w:hAnsi="Times New Roman" w:cs="Times New Roman"/>
                <w:lang w:eastAsia="en-GB"/>
              </w:rPr>
              <w:t>podlegające warunkowości, o której mowa w art. 11 rozporządzenia w sprawie planów strategicznych.</w:t>
            </w:r>
          </w:p>
          <w:p w:rsidR="00FE6930" w:rsidRPr="000C2782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0C2782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Rodzaj rolników, których to dotyczy: </w:t>
            </w:r>
          </w:p>
          <w:p w:rsidR="00FE6930" w:rsidRPr="006332F8" w:rsidRDefault="000A0DB6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0C2782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="00FE6930" w:rsidRPr="000C2782">
              <w:rPr>
                <w:rFonts w:ascii="Times New Roman" w:eastAsia="Times New Roman" w:hAnsi="Times New Roman" w:cs="Times New Roman"/>
                <w:lang w:eastAsia="en-GB"/>
              </w:rPr>
              <w:t xml:space="preserve">olnicy podlegający warunkowości, o której mowa w art. 11 rozporządzenia w sprawie planów strategicznych, posiadający w swoim gospodarstwie grunty orne o nachyleniu </w:t>
            </w:r>
            <w:r w:rsidRPr="00586B05">
              <w:rPr>
                <w:rFonts w:ascii="Times New Roman" w:hAnsi="Times New Roman" w:cs="Times New Roman"/>
              </w:rPr>
              <w:t>≥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539B0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%</w:t>
            </w:r>
            <w:r w:rsidR="00371F4A">
              <w:rPr>
                <w:rFonts w:ascii="Times New Roman" w:eastAsia="Times New Roman" w:hAnsi="Times New Roman" w:cs="Times New Roman"/>
                <w:lang w:eastAsia="en-GB"/>
              </w:rPr>
              <w:t xml:space="preserve"> lub</w:t>
            </w:r>
            <w:r w:rsidR="000C2782">
              <w:rPr>
                <w:rFonts w:ascii="Times New Roman" w:eastAsia="Times New Roman" w:hAnsi="Times New Roman" w:cs="Times New Roman"/>
                <w:lang w:eastAsia="en-GB"/>
              </w:rPr>
              <w:t xml:space="preserve"> posiadający w gospodarstwie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437712">
              <w:rPr>
                <w:rFonts w:ascii="Times New Roman" w:eastAsia="Times New Roman" w:hAnsi="Times New Roman" w:cs="Times New Roman"/>
                <w:lang w:eastAsia="en-GB"/>
              </w:rPr>
              <w:t>grunty orne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położone </w:t>
            </w:r>
            <w:r w:rsidR="003539B0">
              <w:rPr>
                <w:rFonts w:ascii="Times New Roman" w:eastAsia="Times New Roman" w:hAnsi="Times New Roman" w:cs="Times New Roman"/>
                <w:lang w:eastAsia="en-GB"/>
              </w:rPr>
              <w:t>na</w:t>
            </w:r>
            <w:r w:rsidR="00C81F3E">
              <w:rPr>
                <w:rFonts w:ascii="Times New Roman" w:eastAsia="Times New Roman" w:hAnsi="Times New Roman" w:cs="Times New Roman"/>
                <w:lang w:eastAsia="en-GB"/>
              </w:rPr>
              <w:t xml:space="preserve"> wyznaczonych</w:t>
            </w:r>
            <w:r w:rsidR="003539B0">
              <w:rPr>
                <w:rFonts w:ascii="Times New Roman" w:eastAsia="Times New Roman" w:hAnsi="Times New Roman" w:cs="Times New Roman"/>
                <w:lang w:eastAsia="en-GB"/>
              </w:rPr>
              <w:t xml:space="preserve"> obszarach </w:t>
            </w:r>
            <w:r w:rsidR="00C81F3E">
              <w:rPr>
                <w:rFonts w:ascii="Times New Roman" w:eastAsia="Times New Roman" w:hAnsi="Times New Roman" w:cs="Times New Roman"/>
                <w:lang w:eastAsia="en-GB"/>
              </w:rPr>
              <w:t xml:space="preserve">szczególnie </w:t>
            </w:r>
            <w:r w:rsidR="003539B0">
              <w:rPr>
                <w:rFonts w:ascii="Times New Roman" w:eastAsia="Times New Roman" w:hAnsi="Times New Roman" w:cs="Times New Roman"/>
                <w:lang w:eastAsia="en-GB"/>
              </w:rPr>
              <w:t>zagrożonych erozją</w:t>
            </w:r>
            <w:r w:rsidR="0041630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Wyjaśnienie wkładu w główny cel praktyki: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6332F8">
              <w:rPr>
                <w:rFonts w:ascii="Times New Roman" w:eastAsia="Calibri" w:hAnsi="Times New Roman" w:cs="Times New Roman"/>
                <w:lang w:eastAsia="en-GB"/>
              </w:rPr>
              <w:t xml:space="preserve">Proponowane </w:t>
            </w:r>
            <w:r w:rsidR="00FE4E5D">
              <w:rPr>
                <w:rFonts w:ascii="Times New Roman" w:eastAsia="Calibri" w:hAnsi="Times New Roman" w:cs="Times New Roman"/>
                <w:lang w:eastAsia="en-GB"/>
              </w:rPr>
              <w:t xml:space="preserve">praktyki </w:t>
            </w:r>
            <w:r w:rsidRPr="006332F8">
              <w:rPr>
                <w:rFonts w:ascii="Times New Roman" w:eastAsia="Calibri" w:hAnsi="Times New Roman" w:cs="Times New Roman"/>
                <w:lang w:eastAsia="en-GB"/>
              </w:rPr>
              <w:t xml:space="preserve">na zboczach o </w:t>
            </w:r>
            <w:r w:rsidRPr="000C2782">
              <w:rPr>
                <w:rFonts w:ascii="Times New Roman" w:eastAsia="Calibri" w:hAnsi="Times New Roman" w:cs="Times New Roman"/>
                <w:lang w:eastAsia="en-GB"/>
              </w:rPr>
              <w:t xml:space="preserve">nachyleniu </w:t>
            </w:r>
            <w:r w:rsidR="00437712" w:rsidRPr="00586B05">
              <w:rPr>
                <w:rFonts w:ascii="Times New Roman" w:hAnsi="Times New Roman" w:cs="Times New Roman"/>
              </w:rPr>
              <w:t>≥</w:t>
            </w:r>
            <w:r w:rsidRPr="000C2782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r w:rsidR="00BB571E" w:rsidRPr="000C2782">
              <w:rPr>
                <w:rFonts w:ascii="Times New Roman" w:eastAsia="Calibri" w:hAnsi="Times New Roman" w:cs="Times New Roman"/>
                <w:lang w:eastAsia="en-GB"/>
              </w:rPr>
              <w:t>20</w:t>
            </w:r>
            <w:r w:rsidR="00437712">
              <w:rPr>
                <w:rFonts w:ascii="Times New Roman" w:eastAsia="Calibri" w:hAnsi="Times New Roman" w:cs="Times New Roman"/>
                <w:lang w:eastAsia="en-GB"/>
              </w:rPr>
              <w:t xml:space="preserve">% </w:t>
            </w:r>
            <w:r w:rsidR="003539B0">
              <w:rPr>
                <w:rFonts w:ascii="Times New Roman" w:eastAsia="Calibri" w:hAnsi="Times New Roman" w:cs="Times New Roman"/>
                <w:lang w:eastAsia="en-GB"/>
              </w:rPr>
              <w:t>oraz na wy</w:t>
            </w:r>
            <w:r w:rsidR="00437712">
              <w:rPr>
                <w:rFonts w:ascii="Times New Roman" w:eastAsia="Calibri" w:hAnsi="Times New Roman" w:cs="Times New Roman"/>
                <w:lang w:eastAsia="en-GB"/>
              </w:rPr>
              <w:t>znaczonych obszarach</w:t>
            </w:r>
            <w:r w:rsidR="003539B0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r w:rsidR="00FE4E5D">
              <w:rPr>
                <w:rFonts w:ascii="Times New Roman" w:eastAsia="Calibri" w:hAnsi="Times New Roman" w:cs="Times New Roman"/>
                <w:lang w:eastAsia="en-GB"/>
              </w:rPr>
              <w:t xml:space="preserve">szczególnie </w:t>
            </w:r>
            <w:r w:rsidR="003539B0">
              <w:rPr>
                <w:rFonts w:ascii="Times New Roman" w:eastAsia="Calibri" w:hAnsi="Times New Roman" w:cs="Times New Roman"/>
                <w:lang w:eastAsia="en-GB"/>
              </w:rPr>
              <w:t>zagrożonych erozją</w:t>
            </w:r>
            <w:r w:rsidRPr="006332F8">
              <w:rPr>
                <w:rFonts w:ascii="Times New Roman" w:eastAsia="Calibri" w:hAnsi="Times New Roman" w:cs="Times New Roman"/>
                <w:lang w:eastAsia="en-GB"/>
              </w:rPr>
              <w:t xml:space="preserve"> ograniczą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6332F8">
              <w:rPr>
                <w:rFonts w:ascii="Times New Roman" w:eastAsia="Calibri" w:hAnsi="Times New Roman" w:cs="Times New Roman"/>
                <w:lang w:eastAsia="en-GB"/>
              </w:rPr>
              <w:t xml:space="preserve">zjawiska erozji gleb oraz procesów towarzyszących – transportu składników nawozowych i zanieczyszczenia wód związkami biogennymi, utraty materii organicznej gleb zagrożonych erozją, zamulanie dróg, poboczy oraz cieków wodnych. </w:t>
            </w:r>
          </w:p>
        </w:tc>
      </w:tr>
      <w:tr w:rsidR="00FE6930" w:rsidRPr="006332F8" w:rsidTr="00586B05">
        <w:tc>
          <w:tcPr>
            <w:tcW w:w="1125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GAEC 7</w:t>
            </w:r>
          </w:p>
        </w:tc>
        <w:tc>
          <w:tcPr>
            <w:tcW w:w="2703" w:type="dxa"/>
            <w:shd w:val="clear" w:color="000000" w:fill="auto"/>
          </w:tcPr>
          <w:p w:rsidR="00327646" w:rsidRPr="00586B05" w:rsidRDefault="00327646" w:rsidP="00586B05">
            <w:pPr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Minimalna pokrywa glebowa w najbardziej newralgicznych okresach i </w:t>
            </w: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obszarach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  <w:tc>
          <w:tcPr>
            <w:tcW w:w="6096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 xml:space="preserve">Podsumowanie praktyki w gospodarstwie: </w:t>
            </w:r>
          </w:p>
          <w:p w:rsidR="00327646" w:rsidRDefault="00002F49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002F49">
              <w:rPr>
                <w:rFonts w:ascii="Times New Roman" w:eastAsia="Times New Roman" w:hAnsi="Times New Roman" w:cs="Times New Roman"/>
                <w:lang w:eastAsia="en-GB"/>
              </w:rPr>
              <w:t>Na</w:t>
            </w:r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obszarach wyznaczonych </w:t>
            </w:r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>jako zagrożone erozją wodną w mniejszym stopniu</w:t>
            </w:r>
            <w:r w:rsidR="000F6B4F">
              <w:rPr>
                <w:rStyle w:val="Odwoanieprzypisudolnego"/>
                <w:rFonts w:ascii="Times New Roman" w:eastAsia="Times New Roman" w:hAnsi="Times New Roman" w:cs="Times New Roman"/>
                <w:lang w:eastAsia="en-GB"/>
              </w:rPr>
              <w:footnoteReference w:id="3"/>
            </w:r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, na powierzchni stanowiącej co najmniej 30% </w:t>
            </w:r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gruntów ornych, wchodzących w skład gospodarstwa rolnego, utrzymuje się okrywę ochron</w:t>
            </w:r>
            <w:r w:rsidR="00271278">
              <w:rPr>
                <w:rFonts w:ascii="Times New Roman" w:eastAsia="Times New Roman" w:hAnsi="Times New Roman" w:cs="Times New Roman"/>
                <w:lang w:eastAsia="en-GB"/>
              </w:rPr>
              <w:t>n</w:t>
            </w:r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ą gleby w okresie od </w:t>
            </w:r>
            <w:r w:rsidR="00271278">
              <w:rPr>
                <w:rFonts w:ascii="Times New Roman" w:eastAsia="Times New Roman" w:hAnsi="Times New Roman" w:cs="Times New Roman"/>
                <w:lang w:eastAsia="en-GB"/>
              </w:rPr>
              <w:t xml:space="preserve">dnia </w:t>
            </w:r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1 listopada do </w:t>
            </w:r>
            <w:r w:rsidR="00271278">
              <w:rPr>
                <w:rFonts w:ascii="Times New Roman" w:eastAsia="Times New Roman" w:hAnsi="Times New Roman" w:cs="Times New Roman"/>
                <w:lang w:eastAsia="en-GB"/>
              </w:rPr>
              <w:t xml:space="preserve">dnia </w:t>
            </w:r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>15 lutego lub prowadzi</w:t>
            </w:r>
            <w:r w:rsidR="00961606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 się</w:t>
            </w:r>
            <w:r w:rsidR="00961606">
              <w:rPr>
                <w:rFonts w:ascii="Times New Roman" w:eastAsia="Times New Roman" w:hAnsi="Times New Roman" w:cs="Times New Roman"/>
                <w:lang w:eastAsia="en-GB"/>
              </w:rPr>
              <w:t xml:space="preserve"> systemy uprawy</w:t>
            </w:r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>bezorkowej</w:t>
            </w:r>
            <w:proofErr w:type="spellEnd"/>
            <w:r w:rsidR="00327646" w:rsidRPr="00586B05">
              <w:rPr>
                <w:rFonts w:ascii="Times New Roman" w:eastAsia="Times New Roman" w:hAnsi="Times New Roman" w:cs="Times New Roman"/>
                <w:lang w:eastAsia="en-GB"/>
              </w:rPr>
              <w:t xml:space="preserve"> lub pasowej</w:t>
            </w:r>
            <w:r w:rsidR="0041759E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Zakres terytorialny i dany okres: </w:t>
            </w:r>
          </w:p>
          <w:p w:rsidR="00FE6930" w:rsidRPr="006332F8" w:rsidRDefault="00961606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runty orne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002F49">
              <w:rPr>
                <w:rFonts w:ascii="Times New Roman" w:eastAsia="Times New Roman" w:hAnsi="Times New Roman" w:cs="Times New Roman"/>
                <w:lang w:eastAsia="en-GB"/>
              </w:rPr>
              <w:t>położone na</w:t>
            </w:r>
            <w:r w:rsidR="00C81F3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obszarach </w:t>
            </w:r>
            <w:r w:rsidR="00002F49">
              <w:rPr>
                <w:rFonts w:ascii="Times New Roman" w:eastAsia="Times New Roman" w:hAnsi="Times New Roman" w:cs="Times New Roman"/>
                <w:lang w:eastAsia="en-GB"/>
              </w:rPr>
              <w:t>wyznaczonych jako zagrożone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erozją w mniejszym stopniu, 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podlegające  warunkowości, o której mowa w art. 11 rozporządzenia w sprawie planów strategicznych.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Rodzaj rolników, których to dotyczy: </w:t>
            </w:r>
          </w:p>
          <w:p w:rsidR="00FE6930" w:rsidRPr="006332F8" w:rsidRDefault="00E75A0B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olnicy, posiadający w swoim gospodarstwie grunty orne</w:t>
            </w:r>
            <w:r w:rsidR="00FD08E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położone </w:t>
            </w:r>
            <w:r w:rsidR="008D308E">
              <w:rPr>
                <w:rFonts w:ascii="Times New Roman" w:eastAsia="Times New Roman" w:hAnsi="Times New Roman" w:cs="Times New Roman"/>
                <w:lang w:eastAsia="en-GB"/>
              </w:rPr>
              <w:t>na</w:t>
            </w:r>
            <w:r w:rsidR="00C81F3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obszarach </w:t>
            </w:r>
            <w:r w:rsidR="008D308E">
              <w:rPr>
                <w:rFonts w:ascii="Times New Roman" w:eastAsia="Times New Roman" w:hAnsi="Times New Roman" w:cs="Times New Roman"/>
                <w:lang w:eastAsia="en-GB"/>
              </w:rPr>
              <w:t>wyznaczonych jako zagrożone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erozją w mniejszym stopniu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i podlegający warunkowości, o której mowa w art. 11 rozporządzenia w sprawie planów strategicznych.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Wyjaśnienie wkładu w główny cel praktyki: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9D0ACF">
              <w:rPr>
                <w:rFonts w:ascii="Times New Roman" w:eastAsia="Calibri" w:hAnsi="Times New Roman" w:cs="Times New Roman"/>
                <w:lang w:eastAsia="en-GB"/>
              </w:rPr>
              <w:t>Utrzymanie okrywy ochronnej gleby w okresie jesienno-</w:t>
            </w:r>
            <w:r w:rsidRPr="006332F8">
              <w:rPr>
                <w:rFonts w:ascii="Times New Roman" w:eastAsia="Calibri" w:hAnsi="Times New Roman" w:cs="Times New Roman"/>
                <w:lang w:eastAsia="en-GB"/>
              </w:rPr>
              <w:t>zimowym przyczynia się do ochrony gleby przed erozją</w:t>
            </w:r>
            <w:r w:rsidR="00AA7DB6">
              <w:rPr>
                <w:rFonts w:ascii="Times New Roman" w:eastAsia="Calibri" w:hAnsi="Times New Roman" w:cs="Times New Roman"/>
                <w:lang w:eastAsia="en-GB"/>
              </w:rPr>
              <w:t xml:space="preserve"> i</w:t>
            </w:r>
            <w:r w:rsidRPr="006332F8">
              <w:rPr>
                <w:rFonts w:ascii="Times New Roman" w:eastAsia="Calibri" w:hAnsi="Times New Roman" w:cs="Times New Roman"/>
                <w:lang w:eastAsia="en-GB"/>
              </w:rPr>
              <w:t xml:space="preserve"> utratą materii organicznej gleby. Ponadto wpływa ona także na ograniczenie spływu nawozów i związków biogennych do wód przez co ogranicza ich zanieczyszczenie.   </w:t>
            </w:r>
          </w:p>
        </w:tc>
      </w:tr>
      <w:tr w:rsidR="00FE6930" w:rsidRPr="006332F8" w:rsidTr="00586B05">
        <w:tc>
          <w:tcPr>
            <w:tcW w:w="1125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GAEC 8</w:t>
            </w:r>
          </w:p>
        </w:tc>
        <w:tc>
          <w:tcPr>
            <w:tcW w:w="2703" w:type="dxa"/>
            <w:shd w:val="clear" w:color="000000" w:fill="auto"/>
          </w:tcPr>
          <w:p w:rsidR="00CD0098" w:rsidRPr="007E3EA1" w:rsidRDefault="00916460" w:rsidP="00902DE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>Zmianowanie upraw lub inne praktyki mające na celu zachowanie potencjału gleby, takie jak dywersyfikacja upraw</w:t>
            </w:r>
            <w:r w:rsidR="003365F7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. Państwa członkowskie mogą </w:t>
            </w:r>
            <w:r w:rsidR="00902DE1">
              <w:rPr>
                <w:rFonts w:ascii="Times New Roman" w:eastAsia="Times New Roman" w:hAnsi="Times New Roman" w:cs="Times New Roman"/>
                <w:b/>
                <w:lang w:eastAsia="en-GB"/>
              </w:rPr>
              <w:t>wyłącz</w:t>
            </w:r>
            <w:r w:rsidR="003365F7">
              <w:rPr>
                <w:rFonts w:ascii="Times New Roman" w:eastAsia="Times New Roman" w:hAnsi="Times New Roman" w:cs="Times New Roman"/>
                <w:b/>
                <w:lang w:eastAsia="en-GB"/>
              </w:rPr>
              <w:t>yć</w:t>
            </w:r>
            <w:r w:rsidR="00902DE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z normy </w:t>
            </w:r>
            <w:r w:rsidR="00902DE1" w:rsidRPr="007E3EA1">
              <w:rPr>
                <w:rFonts w:ascii="Times New Roman" w:eastAsia="Times New Roman" w:hAnsi="Times New Roman" w:cs="Times New Roman"/>
                <w:b/>
                <w:lang w:eastAsia="en-GB"/>
              </w:rPr>
              <w:t>gospodarstw</w:t>
            </w:r>
            <w:r w:rsidR="003365F7" w:rsidRPr="007E3EA1">
              <w:rPr>
                <w:rFonts w:ascii="Times New Roman" w:eastAsia="Times New Roman" w:hAnsi="Times New Roman" w:cs="Times New Roman"/>
                <w:b/>
                <w:lang w:eastAsia="en-GB"/>
              </w:rPr>
              <w:t>a</w:t>
            </w:r>
            <w:r w:rsidR="00CD0098" w:rsidRPr="007E3EA1">
              <w:rPr>
                <w:rFonts w:ascii="Times New Roman" w:eastAsia="Times New Roman" w:hAnsi="Times New Roman" w:cs="Times New Roman"/>
                <w:b/>
                <w:lang w:eastAsia="en-GB"/>
              </w:rPr>
              <w:t>:</w:t>
            </w:r>
          </w:p>
          <w:p w:rsidR="00CD0098" w:rsidRPr="0041759E" w:rsidRDefault="00CD0098" w:rsidP="003741C2">
            <w:pPr>
              <w:pStyle w:val="Akapitzlist"/>
              <w:numPr>
                <w:ilvl w:val="0"/>
                <w:numId w:val="19"/>
              </w:num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spełniając</w:t>
            </w:r>
            <w:r w:rsidR="003365F7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e</w:t>
            </w: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warunki określone w art. 4</w:t>
            </w:r>
            <w:r w:rsidR="009B7F89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4</w:t>
            </w: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ust. 3 lit</w:t>
            </w:r>
            <w:r w:rsidR="00A67D67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.</w:t>
            </w: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a i b rozporządzenia 1307/2013 lub</w:t>
            </w:r>
          </w:p>
          <w:p w:rsidR="00FE6930" w:rsidRPr="003741C2" w:rsidRDefault="00902DE1" w:rsidP="003741C2">
            <w:pPr>
              <w:pStyle w:val="Akapitzlist"/>
              <w:numPr>
                <w:ilvl w:val="0"/>
                <w:numId w:val="19"/>
              </w:num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3741C2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o powierzchni do </w:t>
            </w:r>
            <w:r w:rsidR="00CD0098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10</w:t>
            </w:r>
            <w:r w:rsidRPr="003741C2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ha gruntów ornych  </w:t>
            </w:r>
          </w:p>
        </w:tc>
        <w:tc>
          <w:tcPr>
            <w:tcW w:w="6096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Podsumowanie praktyki w gospodarstwie: </w:t>
            </w:r>
          </w:p>
          <w:p w:rsidR="00EF128D" w:rsidRPr="00586B05" w:rsidRDefault="008D308E" w:rsidP="00586B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Gospodarstwa powyżej </w:t>
            </w:r>
            <w:r w:rsidR="003741C2" w:rsidRPr="0041759E">
              <w:rPr>
                <w:rFonts w:ascii="Times New Roman" w:hAnsi="Times New Roman"/>
              </w:rPr>
              <w:t>10</w:t>
            </w:r>
            <w:r w:rsidR="00EF128D">
              <w:rPr>
                <w:rFonts w:ascii="Times New Roman" w:hAnsi="Times New Roman"/>
              </w:rPr>
              <w:t xml:space="preserve"> ha </w:t>
            </w:r>
            <w:r w:rsidR="00A564D2">
              <w:rPr>
                <w:rFonts w:ascii="Times New Roman" w:hAnsi="Times New Roman"/>
              </w:rPr>
              <w:t>gruntów ornych</w:t>
            </w:r>
            <w:r>
              <w:rPr>
                <w:rFonts w:ascii="Times New Roman" w:hAnsi="Times New Roman"/>
              </w:rPr>
              <w:t xml:space="preserve"> zobowiązane są do spełniania następujących wymogów</w:t>
            </w:r>
            <w:r w:rsidR="00EF128D">
              <w:rPr>
                <w:rFonts w:ascii="Times New Roman" w:hAnsi="Times New Roman"/>
              </w:rPr>
              <w:t>:</w:t>
            </w:r>
          </w:p>
          <w:p w:rsidR="00963EA9" w:rsidRPr="00586B05" w:rsidRDefault="00963EA9" w:rsidP="00586B0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6B05">
              <w:rPr>
                <w:rFonts w:ascii="Times New Roman" w:hAnsi="Times New Roman"/>
              </w:rPr>
              <w:t>W przypadku gatunków takich jak jęczmień, owi</w:t>
            </w:r>
            <w:r w:rsidR="006E6529">
              <w:rPr>
                <w:rFonts w:ascii="Times New Roman" w:hAnsi="Times New Roman"/>
              </w:rPr>
              <w:t>es, pszenica, pszenżyto,</w:t>
            </w:r>
            <w:r w:rsidRPr="00586B05">
              <w:rPr>
                <w:rFonts w:ascii="Times New Roman" w:hAnsi="Times New Roman"/>
              </w:rPr>
              <w:t xml:space="preserve"> żyto mogą być one uprawiane na tej samej działce ewidencyjnej nie dłużej niż 3 lata.</w:t>
            </w:r>
          </w:p>
          <w:p w:rsidR="00963EA9" w:rsidRPr="00586B05" w:rsidRDefault="00963EA9" w:rsidP="00586B0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6B05">
              <w:rPr>
                <w:rFonts w:ascii="Times New Roman" w:hAnsi="Times New Roman"/>
              </w:rPr>
              <w:t>Dopuszcza się uprawę jęczmienia, owsa, pszenicy, pszenżyta i żyta na tej samej działce ewidencyjnej przez:</w:t>
            </w:r>
          </w:p>
          <w:p w:rsidR="00963EA9" w:rsidRPr="00586B05" w:rsidRDefault="00963EA9" w:rsidP="00586B05">
            <w:pPr>
              <w:pStyle w:val="Akapitzlist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6B05">
              <w:rPr>
                <w:rFonts w:ascii="Times New Roman" w:hAnsi="Times New Roman"/>
              </w:rPr>
              <w:t>4 lub 5 lat pod warunkiem, że w każdym z tych lat najpóźniej przed rozpoczęciem uprawy tej rośliny zostanie wykonany zabieg:</w:t>
            </w:r>
          </w:p>
          <w:p w:rsidR="00963EA9" w:rsidRPr="00586B05" w:rsidRDefault="009C5E78" w:rsidP="00586B05">
            <w:pPr>
              <w:spacing w:after="0" w:line="240" w:lineRule="auto"/>
              <w:ind w:left="884" w:hanging="176"/>
              <w:jc w:val="both"/>
              <w:rPr>
                <w:rFonts w:ascii="Times New Roman" w:hAnsi="Times New Roman"/>
              </w:rPr>
            </w:pPr>
            <w:r w:rsidRPr="00586B05">
              <w:rPr>
                <w:rFonts w:ascii="Times New Roman" w:hAnsi="Times New Roman"/>
              </w:rPr>
              <w:t xml:space="preserve">- </w:t>
            </w:r>
            <w:r w:rsidR="00963EA9" w:rsidRPr="00586B05">
              <w:rPr>
                <w:rFonts w:ascii="Times New Roman" w:hAnsi="Times New Roman"/>
              </w:rPr>
              <w:t>zastosuje się nawozy naturalne – obornik w ilości co najmniej 15 ton na ha lub gnojowicę w dawce 20 m</w:t>
            </w:r>
            <w:r w:rsidR="00963EA9" w:rsidRPr="00586B05">
              <w:rPr>
                <w:rFonts w:ascii="Times New Roman" w:hAnsi="Times New Roman"/>
                <w:vertAlign w:val="superscript"/>
              </w:rPr>
              <w:t>3</w:t>
            </w:r>
            <w:r w:rsidR="00963EA9" w:rsidRPr="00586B05">
              <w:rPr>
                <w:rFonts w:ascii="Times New Roman" w:hAnsi="Times New Roman"/>
              </w:rPr>
              <w:t xml:space="preserve"> na ha, albo;</w:t>
            </w:r>
          </w:p>
          <w:p w:rsidR="00963EA9" w:rsidRPr="00586B05" w:rsidRDefault="005C3AAB" w:rsidP="00586B05">
            <w:pPr>
              <w:spacing w:after="0" w:line="240" w:lineRule="auto"/>
              <w:ind w:left="884" w:hanging="176"/>
              <w:jc w:val="both"/>
              <w:rPr>
                <w:rFonts w:ascii="Times New Roman" w:hAnsi="Times New Roman"/>
              </w:rPr>
            </w:pPr>
            <w:r w:rsidRPr="00586B05">
              <w:rPr>
                <w:rFonts w:ascii="Times New Roman" w:hAnsi="Times New Roman"/>
              </w:rPr>
              <w:t xml:space="preserve">- </w:t>
            </w:r>
            <w:r w:rsidR="00963EA9" w:rsidRPr="00586B05">
              <w:rPr>
                <w:rFonts w:ascii="Times New Roman" w:hAnsi="Times New Roman"/>
              </w:rPr>
              <w:t xml:space="preserve">zostanie wymieszana z glebą lub </w:t>
            </w:r>
            <w:r w:rsidR="00AA7DB6" w:rsidRPr="00586B05">
              <w:rPr>
                <w:rFonts w:ascii="Times New Roman" w:hAnsi="Times New Roman"/>
              </w:rPr>
              <w:t>pozostawi</w:t>
            </w:r>
            <w:r w:rsidR="00AA7DB6">
              <w:rPr>
                <w:rFonts w:ascii="Times New Roman" w:hAnsi="Times New Roman"/>
              </w:rPr>
              <w:t>o</w:t>
            </w:r>
            <w:r w:rsidR="00AA7DB6" w:rsidRPr="00586B05">
              <w:rPr>
                <w:rFonts w:ascii="Times New Roman" w:hAnsi="Times New Roman"/>
              </w:rPr>
              <w:t xml:space="preserve">na </w:t>
            </w:r>
            <w:r w:rsidR="00963EA9" w:rsidRPr="00586B05">
              <w:rPr>
                <w:rFonts w:ascii="Times New Roman" w:hAnsi="Times New Roman"/>
              </w:rPr>
              <w:t xml:space="preserve">na polu w formie </w:t>
            </w:r>
            <w:proofErr w:type="spellStart"/>
            <w:r w:rsidR="00963EA9" w:rsidRPr="00586B05">
              <w:rPr>
                <w:rFonts w:ascii="Times New Roman" w:hAnsi="Times New Roman"/>
              </w:rPr>
              <w:t>mulczu</w:t>
            </w:r>
            <w:proofErr w:type="spellEnd"/>
            <w:r w:rsidR="00963EA9" w:rsidRPr="00586B05">
              <w:rPr>
                <w:rFonts w:ascii="Times New Roman" w:hAnsi="Times New Roman"/>
              </w:rPr>
              <w:t xml:space="preserve"> cała słoma pozostała po zbiorze ziarna, słoma wymieszana z glebą będzie wzbogacona azotem w nawozach mineralnych w dawce 5-10 kg N na 1 t słomy</w:t>
            </w:r>
            <w:r w:rsidR="00845F52">
              <w:rPr>
                <w:rFonts w:ascii="Times New Roman" w:hAnsi="Times New Roman"/>
              </w:rPr>
              <w:t>, lub</w:t>
            </w:r>
          </w:p>
          <w:p w:rsidR="00963EA9" w:rsidRPr="00586B05" w:rsidRDefault="00963EA9" w:rsidP="00586B0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6B05">
              <w:rPr>
                <w:rFonts w:ascii="Times New Roman" w:hAnsi="Times New Roman"/>
              </w:rPr>
              <w:t>4 lub 5 lat pod warunkiem, że co drugi rok, począwszy od pierwszego roku uprawy tej roślin</w:t>
            </w:r>
            <w:r w:rsidR="00845F52">
              <w:rPr>
                <w:rFonts w:ascii="Times New Roman" w:hAnsi="Times New Roman"/>
              </w:rPr>
              <w:t>y</w:t>
            </w:r>
            <w:r w:rsidRPr="00586B05">
              <w:rPr>
                <w:rFonts w:ascii="Times New Roman" w:hAnsi="Times New Roman"/>
              </w:rPr>
              <w:t>, będą wysiewane międzyplony regenerujące żyzność gleby.</w:t>
            </w:r>
          </w:p>
          <w:p w:rsidR="00F500CE" w:rsidRPr="00586B05" w:rsidRDefault="00963EA9" w:rsidP="00586B0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586B05">
              <w:rPr>
                <w:rFonts w:ascii="Times New Roman" w:hAnsi="Times New Roman"/>
                <w:spacing w:val="-4"/>
              </w:rPr>
              <w:t>Kukurydza może być uprawiana na tej samej działce ewidencyjnej nie dłużej niż 2 lata.</w:t>
            </w:r>
          </w:p>
          <w:p w:rsidR="00963EA9" w:rsidRPr="006C1418" w:rsidRDefault="00963EA9" w:rsidP="006C141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6B05">
              <w:rPr>
                <w:rFonts w:ascii="Times New Roman" w:hAnsi="Times New Roman"/>
              </w:rPr>
              <w:t>Dopuszcza się uprawę kukurydzy na tej samej działce ewidencyjnej przez</w:t>
            </w:r>
            <w:r w:rsidR="00845F52">
              <w:rPr>
                <w:rFonts w:ascii="Times New Roman" w:hAnsi="Times New Roman"/>
              </w:rPr>
              <w:t xml:space="preserve"> </w:t>
            </w:r>
            <w:r w:rsidRPr="006C1418">
              <w:rPr>
                <w:rFonts w:ascii="Times New Roman" w:hAnsi="Times New Roman"/>
              </w:rPr>
              <w:t>3 lub 4 lata pod warunkiem, że w każdym z tych lat najpóźniej przed rozpoczęciem uprawy tej rośliny zostanie wykonany zabieg:</w:t>
            </w:r>
          </w:p>
          <w:p w:rsidR="00406D96" w:rsidRPr="00586B05" w:rsidRDefault="00406D96" w:rsidP="00586B05">
            <w:pPr>
              <w:spacing w:after="0" w:line="240" w:lineRule="auto"/>
              <w:ind w:left="884" w:hanging="176"/>
              <w:jc w:val="both"/>
              <w:rPr>
                <w:rFonts w:ascii="Times New Roman" w:hAnsi="Times New Roman"/>
              </w:rPr>
            </w:pPr>
            <w:r w:rsidRPr="00586B05">
              <w:rPr>
                <w:rFonts w:ascii="Times New Roman" w:hAnsi="Times New Roman"/>
              </w:rPr>
              <w:lastRenderedPageBreak/>
              <w:t xml:space="preserve">- </w:t>
            </w:r>
            <w:r w:rsidR="00963EA9" w:rsidRPr="00586B05">
              <w:rPr>
                <w:rFonts w:ascii="Times New Roman" w:hAnsi="Times New Roman"/>
              </w:rPr>
              <w:t>zastosuje się nawozy naturalne – obornik w ilości co najmniej 20 ton na ha lub gnojowicę w dawce 25 m</w:t>
            </w:r>
            <w:r w:rsidR="00963EA9" w:rsidRPr="00586B05">
              <w:rPr>
                <w:rFonts w:ascii="Times New Roman" w:hAnsi="Times New Roman"/>
                <w:vertAlign w:val="superscript"/>
              </w:rPr>
              <w:t>3</w:t>
            </w:r>
            <w:r w:rsidR="00963EA9" w:rsidRPr="00586B05">
              <w:rPr>
                <w:rFonts w:ascii="Times New Roman" w:hAnsi="Times New Roman"/>
              </w:rPr>
              <w:t xml:space="preserve"> na ha, albo;</w:t>
            </w:r>
          </w:p>
          <w:p w:rsidR="00963EA9" w:rsidRPr="00586B05" w:rsidRDefault="00406D96" w:rsidP="00586B05">
            <w:pPr>
              <w:spacing w:after="0" w:line="240" w:lineRule="auto"/>
              <w:ind w:left="88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B05">
              <w:rPr>
                <w:rFonts w:ascii="Times New Roman" w:hAnsi="Times New Roman"/>
              </w:rPr>
              <w:t xml:space="preserve">- </w:t>
            </w:r>
            <w:r w:rsidR="00963EA9" w:rsidRPr="00586B05">
              <w:rPr>
                <w:rFonts w:ascii="Times New Roman" w:hAnsi="Times New Roman"/>
              </w:rPr>
              <w:t xml:space="preserve">zostanie wymieszana z glebą lub </w:t>
            </w:r>
            <w:r w:rsidR="00AA7DB6" w:rsidRPr="00586B05">
              <w:rPr>
                <w:rFonts w:ascii="Times New Roman" w:hAnsi="Times New Roman"/>
              </w:rPr>
              <w:t>pozostawi</w:t>
            </w:r>
            <w:r w:rsidR="00AA7DB6">
              <w:rPr>
                <w:rFonts w:ascii="Times New Roman" w:hAnsi="Times New Roman"/>
              </w:rPr>
              <w:t>o</w:t>
            </w:r>
            <w:r w:rsidR="00AA7DB6" w:rsidRPr="00586B05">
              <w:rPr>
                <w:rFonts w:ascii="Times New Roman" w:hAnsi="Times New Roman"/>
              </w:rPr>
              <w:t xml:space="preserve">na </w:t>
            </w:r>
            <w:r w:rsidR="00963EA9" w:rsidRPr="00586B05">
              <w:rPr>
                <w:rFonts w:ascii="Times New Roman" w:hAnsi="Times New Roman"/>
              </w:rPr>
              <w:t xml:space="preserve">na polu w formie </w:t>
            </w:r>
            <w:proofErr w:type="spellStart"/>
            <w:r w:rsidR="00963EA9" w:rsidRPr="00586B05">
              <w:rPr>
                <w:rFonts w:ascii="Times New Roman" w:hAnsi="Times New Roman"/>
              </w:rPr>
              <w:t>mulczu</w:t>
            </w:r>
            <w:proofErr w:type="spellEnd"/>
            <w:r w:rsidR="00963EA9" w:rsidRPr="00586B05">
              <w:rPr>
                <w:rFonts w:ascii="Times New Roman" w:hAnsi="Times New Roman"/>
              </w:rPr>
              <w:t xml:space="preserve"> cała słoma pozostała po zbiorze ziarna, słoma wymieszana z glebą będzie wzbogacona azotem w nawozach mineralnych w dawce 5-10 kg N na 1 t słomy.</w:t>
            </w:r>
          </w:p>
          <w:p w:rsidR="009B7F89" w:rsidRPr="0041759E" w:rsidRDefault="00EF128D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Z wdrażania normy wyłączone są gospodarstwa</w:t>
            </w:r>
            <w:r w:rsidR="009B7F89" w:rsidRPr="0041759E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:rsidR="00752297" w:rsidRPr="0041759E" w:rsidRDefault="009B7F89" w:rsidP="00752297">
            <w:pPr>
              <w:pStyle w:val="Akapitzlist"/>
              <w:numPr>
                <w:ilvl w:val="0"/>
                <w:numId w:val="23"/>
              </w:numPr>
              <w:spacing w:before="40" w:after="4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w których </w:t>
            </w:r>
            <w:r w:rsidR="00752297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więcej niż 75% GO jest wykorzystywanych do produkcji traw lub innych zielnych roślin pastewnych, uprawy </w:t>
            </w:r>
            <w:r w:rsidR="00044594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roślin </w:t>
            </w:r>
            <w:r w:rsidR="00752297" w:rsidRPr="0041759E">
              <w:rPr>
                <w:rFonts w:ascii="Times New Roman" w:eastAsia="Times New Roman" w:hAnsi="Times New Roman" w:cs="Times New Roman"/>
                <w:lang w:eastAsia="en-GB"/>
              </w:rPr>
              <w:t>strączkowych lub ugorowanych,</w:t>
            </w:r>
          </w:p>
          <w:p w:rsidR="00EF128D" w:rsidRPr="0041759E" w:rsidRDefault="00752297" w:rsidP="0041759E">
            <w:pPr>
              <w:pStyle w:val="Akapitzlist"/>
              <w:numPr>
                <w:ilvl w:val="0"/>
                <w:numId w:val="23"/>
              </w:numPr>
              <w:spacing w:before="40" w:after="4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w których więcej niż 75% UR stanowi TUZ lub jest wykorzystywanych do produkcji traw lub innych zielnych rośli</w:t>
            </w:r>
            <w:r w:rsidR="00044594" w:rsidRPr="0041759E">
              <w:rPr>
                <w:rFonts w:ascii="Times New Roman" w:eastAsia="Times New Roman" w:hAnsi="Times New Roman" w:cs="Times New Roman"/>
                <w:lang w:eastAsia="en-GB"/>
              </w:rPr>
              <w:t>n pastewnych</w:t>
            </w: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. 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Zakres terytorialny: </w:t>
            </w:r>
          </w:p>
          <w:p w:rsidR="00FE6930" w:rsidRDefault="00E619F6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runty orne podlegające warunkowości, o której mowa w art. 11 rozporządzenia w sprawie planów strategicznych</w:t>
            </w:r>
            <w:r w:rsidR="00AF3E8E">
              <w:rPr>
                <w:rFonts w:ascii="Times New Roman" w:eastAsia="Times New Roman" w:hAnsi="Times New Roman" w:cs="Times New Roman"/>
                <w:lang w:eastAsia="en-GB"/>
              </w:rPr>
              <w:t>, z wyłączeniem</w:t>
            </w:r>
            <w:r w:rsidR="007E3EA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AF3E8E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gospodarstw do </w:t>
            </w:r>
            <w:r w:rsidR="009B7F89" w:rsidRPr="0041759E"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  <w:r w:rsidR="00AF3E8E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 ha</w:t>
            </w:r>
            <w:r w:rsidR="009B7F89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 gruntów ornych</w:t>
            </w:r>
            <w:r w:rsidR="00AF3E8E" w:rsidRPr="007E3EA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Rodzaj rolników, których to dotyczy: </w:t>
            </w:r>
          </w:p>
          <w:p w:rsidR="00044594" w:rsidRPr="006155EF" w:rsidRDefault="001F709C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olnicy, posiadający w swoim gospodarstwie grunty orne i podlegający warunkowości, o której mowa w art. 11 rozporządzenia w sp</w:t>
            </w:r>
            <w:r w:rsidR="00FE6930" w:rsidRPr="007E3EA1">
              <w:rPr>
                <w:rFonts w:ascii="Times New Roman" w:eastAsia="Times New Roman" w:hAnsi="Times New Roman" w:cs="Times New Roman"/>
                <w:lang w:eastAsia="en-GB"/>
              </w:rPr>
              <w:t>rawie planów strategicznych</w:t>
            </w:r>
            <w:r w:rsidRPr="007E3EA1">
              <w:rPr>
                <w:rFonts w:ascii="Times New Roman" w:eastAsia="Times New Roman" w:hAnsi="Times New Roman" w:cs="Times New Roman"/>
                <w:lang w:eastAsia="en-GB"/>
              </w:rPr>
              <w:t>, z wyłączeniem</w:t>
            </w:r>
            <w:r w:rsidR="00044594" w:rsidRPr="006155EF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:rsidR="00044594" w:rsidRPr="006155EF" w:rsidRDefault="001F709C" w:rsidP="00044594">
            <w:pPr>
              <w:pStyle w:val="Akapitzlist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155EF">
              <w:rPr>
                <w:rFonts w:ascii="Times New Roman" w:eastAsia="Times New Roman" w:hAnsi="Times New Roman" w:cs="Times New Roman"/>
                <w:lang w:eastAsia="en-GB"/>
              </w:rPr>
              <w:t xml:space="preserve">gospodarstw do </w:t>
            </w:r>
            <w:r w:rsidR="009B7F89" w:rsidRPr="0041759E"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  <w:r w:rsidRPr="007E3EA1">
              <w:rPr>
                <w:rFonts w:ascii="Times New Roman" w:eastAsia="Times New Roman" w:hAnsi="Times New Roman" w:cs="Times New Roman"/>
                <w:lang w:eastAsia="en-GB"/>
              </w:rPr>
              <w:t xml:space="preserve"> ha</w:t>
            </w:r>
            <w:r w:rsidR="00F12AE4" w:rsidRPr="006155EF">
              <w:rPr>
                <w:rFonts w:ascii="Times New Roman" w:eastAsia="Times New Roman" w:hAnsi="Times New Roman" w:cs="Times New Roman"/>
                <w:lang w:eastAsia="en-GB"/>
              </w:rPr>
              <w:t xml:space="preserve"> gruntów ornych</w:t>
            </w:r>
            <w:r w:rsidR="00044594" w:rsidRPr="006155EF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</w:p>
          <w:p w:rsidR="00044594" w:rsidRPr="0041759E" w:rsidRDefault="00044594" w:rsidP="00044594">
            <w:pPr>
              <w:pStyle w:val="Akapitzlist"/>
              <w:numPr>
                <w:ilvl w:val="0"/>
                <w:numId w:val="23"/>
              </w:numPr>
              <w:spacing w:before="40" w:after="4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w których więcej niż 75% GO jest wykorzystywanych do produkcji traw lub innych zielnych roślin pastewnych, uprawy roślin strączkowych lub ugorowanych,</w:t>
            </w:r>
          </w:p>
          <w:p w:rsidR="00FE6930" w:rsidRPr="0041759E" w:rsidRDefault="00044594" w:rsidP="00044594">
            <w:pPr>
              <w:pStyle w:val="Akapitzlist"/>
              <w:numPr>
                <w:ilvl w:val="0"/>
                <w:numId w:val="23"/>
              </w:numPr>
              <w:spacing w:before="40" w:after="4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w których więcej niż 75% UR stanowi TUZ lub jest wykorzystywanych do produkcji traw lub innych zielnych roślin pastewnych</w:t>
            </w:r>
            <w:r w:rsidR="00FE6930" w:rsidRPr="007E3EA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Wyjaśnienie wkładu w główny cel praktyki:</w:t>
            </w:r>
          </w:p>
          <w:p w:rsidR="00FE6930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Wdrożenie normy w proponowanej formie będzie mieć pozytywny wpływ na utrzymanie żyzności i jakości gleb poprzez racjonalną gospodarkę glebową materią organiczną oraz wspieranie efektywnego zarządzania składnikami pokarmowymi. Ponadto, wpłynie na ograniczenie presji chorób i szkodników powiązanej z upraszczaniem płodozmianu i w efekcie skutkować może zmniejszeniem zużycia środków ochrony roślin.</w:t>
            </w:r>
          </w:p>
          <w:p w:rsidR="00AF3E8E" w:rsidRPr="00586B05" w:rsidRDefault="00AF3E8E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E6930" w:rsidRPr="006332F8" w:rsidTr="00586B05">
        <w:tc>
          <w:tcPr>
            <w:tcW w:w="1125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GAEC 9</w:t>
            </w:r>
          </w:p>
        </w:tc>
        <w:tc>
          <w:tcPr>
            <w:tcW w:w="2703" w:type="dxa"/>
            <w:shd w:val="clear" w:color="000000" w:fill="auto"/>
          </w:tcPr>
          <w:p w:rsidR="00C90A55" w:rsidRPr="00586B05" w:rsidRDefault="00C90A55" w:rsidP="00586B0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>Minimalny udział</w:t>
            </w:r>
            <w:r w:rsidR="00902DE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5%</w:t>
            </w: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powierzchni gruntów ornych</w:t>
            </w:r>
            <w:r w:rsidR="00902DE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w gospodarstwie</w:t>
            </w: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wykorzystanych na: </w:t>
            </w:r>
          </w:p>
          <w:p w:rsidR="00C90A55" w:rsidRPr="00586B05" w:rsidRDefault="00C90A55" w:rsidP="00586B0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>(i)</w:t>
            </w: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ab/>
            </w:r>
            <w:r w:rsidR="003D5F0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obszary i </w:t>
            </w: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>obiekty nieprodukcyjne lub</w:t>
            </w:r>
          </w:p>
          <w:p w:rsidR="00C90A55" w:rsidRDefault="00C90A55" w:rsidP="00586B05">
            <w:pPr>
              <w:spacing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>(ii)</w:t>
            </w: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tab/>
              <w:t xml:space="preserve">międzyplony lub </w:t>
            </w:r>
            <w:r w:rsidRPr="00586B05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uprawy wiążące azot, uprawiane bez środków ochrony roślin</w:t>
            </w:r>
          </w:p>
          <w:p w:rsidR="00902DE1" w:rsidRPr="006155EF" w:rsidRDefault="003D5F01" w:rsidP="00586B05">
            <w:pPr>
              <w:spacing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Dla międzyplonów należy stosować współczynnik wagowy </w:t>
            </w:r>
            <w:r w:rsidRPr="006155EF">
              <w:rPr>
                <w:rFonts w:ascii="Times New Roman" w:eastAsia="Times New Roman" w:hAnsi="Times New Roman" w:cs="Times New Roman"/>
                <w:b/>
                <w:lang w:eastAsia="en-GB"/>
              </w:rPr>
              <w:t>0.3.</w:t>
            </w:r>
          </w:p>
          <w:p w:rsidR="00A67D67" w:rsidRDefault="00A67D67" w:rsidP="00586B05">
            <w:pPr>
              <w:spacing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Państwa członkowskie mogą wyłączyć z</w:t>
            </w:r>
            <w:r w:rsidRPr="006155E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="003365F7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niniejszego punktu gospodarstwa:</w:t>
            </w:r>
          </w:p>
          <w:p w:rsidR="003365F7" w:rsidRPr="0041759E" w:rsidRDefault="003365F7" w:rsidP="003365F7">
            <w:pPr>
              <w:pStyle w:val="Akapitzlist"/>
              <w:numPr>
                <w:ilvl w:val="0"/>
                <w:numId w:val="19"/>
              </w:numPr>
              <w:spacing w:before="40" w:after="40" w:line="240" w:lineRule="auto"/>
              <w:ind w:left="639" w:hanging="284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spełniające warunki określone w art. 4</w:t>
            </w:r>
            <w:r w:rsidR="009B7F89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6</w:t>
            </w: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ust. </w:t>
            </w:r>
            <w:r w:rsidR="009B7F89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4</w:t>
            </w: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lit. a i b rozporządzenia 1307/2013 lub</w:t>
            </w:r>
          </w:p>
          <w:p w:rsidR="003365F7" w:rsidRPr="0041759E" w:rsidRDefault="003365F7" w:rsidP="003365F7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o powierzchni do 10 ha gruntów ornych  </w:t>
            </w:r>
          </w:p>
          <w:p w:rsidR="00AC16BF" w:rsidRPr="006332F8" w:rsidRDefault="00FE6930" w:rsidP="00586B05">
            <w:pPr>
              <w:numPr>
                <w:ilvl w:val="0"/>
                <w:numId w:val="1"/>
              </w:numPr>
              <w:spacing w:after="60" w:line="240" w:lineRule="auto"/>
              <w:ind w:left="329" w:hanging="284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Zachowanieelementów</w:t>
            </w:r>
            <w:proofErr w:type="spellEnd"/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krajobrazu</w:t>
            </w:r>
          </w:p>
          <w:p w:rsidR="00FE6930" w:rsidRDefault="00FE6930" w:rsidP="00586B05">
            <w:pPr>
              <w:numPr>
                <w:ilvl w:val="0"/>
                <w:numId w:val="1"/>
              </w:numPr>
              <w:spacing w:after="60" w:line="240" w:lineRule="auto"/>
              <w:ind w:left="329" w:hanging="284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AC16BF">
              <w:rPr>
                <w:rFonts w:ascii="Times New Roman" w:eastAsia="Times New Roman" w:hAnsi="Times New Roman" w:cs="Times New Roman"/>
                <w:b/>
                <w:lang w:eastAsia="en-GB"/>
              </w:rPr>
              <w:t>Zakaz przycinania żywopłotów i drzew w okresie wylęgu i chowu ptaków</w:t>
            </w:r>
          </w:p>
          <w:p w:rsidR="00FE6930" w:rsidRPr="006332F8" w:rsidRDefault="00FE6930" w:rsidP="00C02032">
            <w:pPr>
              <w:spacing w:after="60" w:line="240" w:lineRule="auto"/>
              <w:ind w:left="329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</w:tc>
        <w:tc>
          <w:tcPr>
            <w:tcW w:w="6096" w:type="dxa"/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 xml:space="preserve">Podsumowanie praktyki w gospodarstwie, łącznie z wykazem elementów chronionych i % </w:t>
            </w:r>
            <w:r w:rsidR="00352201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gruntów ornych</w:t>
            </w:r>
            <w:r w:rsidRPr="006155E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przeznaczonych na obiekty lub obszary nieprodukcyjne</w:t>
            </w:r>
            <w:r w:rsidR="00352201" w:rsidRPr="006155E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="00352201" w:rsidRPr="0041759E">
              <w:rPr>
                <w:rFonts w:ascii="Times New Roman" w:eastAsia="Times New Roman" w:hAnsi="Times New Roman" w:cs="Times New Roman"/>
                <w:b/>
                <w:lang w:eastAsia="en-GB"/>
              </w:rPr>
              <w:t>lub międzyplony lub uprawy wiążące azot, uprawiane bez środków ochrony roślin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: </w:t>
            </w:r>
          </w:p>
          <w:p w:rsidR="00FE6930" w:rsidRPr="0041759E" w:rsidRDefault="005D4E73" w:rsidP="0041759E">
            <w:pPr>
              <w:pStyle w:val="Akapitzlist"/>
              <w:numPr>
                <w:ilvl w:val="0"/>
                <w:numId w:val="17"/>
              </w:numPr>
              <w:tabs>
                <w:tab w:val="left" w:pos="348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Rolnicy posiadający </w:t>
            </w:r>
            <w:r w:rsidR="006155EF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grunty orne </w:t>
            </w:r>
            <w:r w:rsidR="00B33B64">
              <w:rPr>
                <w:rFonts w:ascii="Times New Roman" w:eastAsia="Times New Roman" w:hAnsi="Times New Roman" w:cs="Times New Roman"/>
                <w:lang w:eastAsia="en-GB"/>
              </w:rPr>
              <w:t xml:space="preserve">o powierzchni powyżej 10 ha gruntów ornych </w:t>
            </w:r>
            <w:r w:rsidR="006155EF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w gospodarstwie </w:t>
            </w:r>
            <w:r w:rsidR="00FE6930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zobowiązani </w:t>
            </w:r>
            <w:r w:rsidR="00C65C42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są </w:t>
            </w:r>
            <w:r w:rsidR="00FE6930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do przeznaczenia </w:t>
            </w:r>
            <w:r w:rsidR="00BB7C41">
              <w:rPr>
                <w:rFonts w:ascii="Times New Roman" w:eastAsia="Times New Roman" w:hAnsi="Times New Roman" w:cs="Times New Roman"/>
                <w:lang w:eastAsia="en-GB"/>
              </w:rPr>
              <w:t xml:space="preserve">co najmniej 5% ich </w:t>
            </w:r>
            <w:r w:rsidR="00FE6930" w:rsidRPr="0041759E">
              <w:rPr>
                <w:rFonts w:ascii="Times New Roman" w:eastAsia="Times New Roman" w:hAnsi="Times New Roman" w:cs="Times New Roman"/>
                <w:lang w:eastAsia="en-GB"/>
              </w:rPr>
              <w:t>powierzchni na obiekty nieprodukcyjne</w:t>
            </w:r>
            <w:r w:rsidR="00086A78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 lub</w:t>
            </w:r>
            <w:r w:rsidR="00BB7C41" w:rsidRPr="00BB7C41">
              <w:rPr>
                <w:rFonts w:ascii="Times New Roman" w:eastAsia="Times New Roman" w:hAnsi="Times New Roman" w:cs="Times New Roman"/>
                <w:lang w:eastAsia="en-GB"/>
              </w:rPr>
              <w:t xml:space="preserve"> międzyplony lub uprawy wiążące azot, </w:t>
            </w:r>
            <w:r w:rsidR="00BB7C41" w:rsidRPr="00BB7C41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uprawiane bez środków ochrony roślin</w:t>
            </w:r>
            <w:r w:rsidR="00FE6930"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. </w:t>
            </w:r>
          </w:p>
          <w:p w:rsidR="005D4E73" w:rsidRDefault="005D4E73" w:rsidP="007B1AC1">
            <w:pPr>
              <w:tabs>
                <w:tab w:val="left" w:pos="348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FE6930" w:rsidRPr="006332F8" w:rsidRDefault="00A13E18" w:rsidP="0041759E">
            <w:pPr>
              <w:tabs>
                <w:tab w:val="left" w:pos="348"/>
              </w:tabs>
              <w:spacing w:before="40" w:after="40" w:line="240" w:lineRule="auto"/>
              <w:ind w:left="348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Obiektami nieprodukcyjnymi lub produkcyjnymi służącymi do realizacji ww. obowiązku są</w:t>
            </w:r>
            <w:r w:rsidR="00393EAD">
              <w:rPr>
                <w:rFonts w:ascii="Times New Roman" w:eastAsia="Times New Roman" w:hAnsi="Times New Roman" w:cs="Times New Roman"/>
                <w:lang w:eastAsia="en-GB"/>
              </w:rPr>
              <w:t xml:space="preserve"> w szczególności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: grunty ugorowane, żywopłoty, pasy zadrzewione, zadrzewienia liniowe i pojedyncze drzewa, rowy, zagajniki śródpolne, oczka wodne, miedze śródpolne,  strefy buforowe, pasy gruntów kwalifikujące się do płatności wzdłuż obrzeży lasu</w:t>
            </w:r>
            <w:r w:rsidR="00B33B64">
              <w:rPr>
                <w:rFonts w:ascii="Times New Roman" w:eastAsia="Times New Roman" w:hAnsi="Times New Roman" w:cs="Times New Roman"/>
                <w:lang w:eastAsia="en-GB"/>
              </w:rPr>
              <w:t xml:space="preserve"> (bez produkcji)</w:t>
            </w:r>
            <w:r w:rsidR="007708FF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086A78">
              <w:rPr>
                <w:rFonts w:ascii="Times New Roman" w:eastAsia="Times New Roman" w:hAnsi="Times New Roman" w:cs="Times New Roman"/>
                <w:lang w:eastAsia="en-GB"/>
              </w:rPr>
              <w:t xml:space="preserve"> międzyplony oraz uprawy wiążące azot bez stosowania środków ochrony roślin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41759E">
              <w:rPr>
                <w:rFonts w:ascii="Times New Roman" w:eastAsia="Times New Roman" w:hAnsi="Times New Roman" w:cs="Times New Roman"/>
                <w:lang w:eastAsia="en-GB"/>
              </w:rPr>
              <w:t xml:space="preserve"> spełniające określone kryteria.</w:t>
            </w:r>
          </w:p>
          <w:p w:rsidR="00FE6930" w:rsidRPr="006332F8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</w:pPr>
          </w:p>
          <w:p w:rsidR="00FE6930" w:rsidRPr="0041759E" w:rsidRDefault="00FE6930" w:rsidP="0041759E">
            <w:pPr>
              <w:pStyle w:val="Akapitzlist"/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Elementy krajobrazu podlegaj</w:t>
            </w:r>
            <w:r w:rsidR="00334BF4" w:rsidRPr="0041759E">
              <w:rPr>
                <w:rFonts w:ascii="Times New Roman" w:eastAsia="Times New Roman" w:hAnsi="Times New Roman" w:cs="Times New Roman"/>
                <w:lang w:eastAsia="en-GB"/>
              </w:rPr>
              <w:t>ące</w:t>
            </w: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 zachowaniu: drzewa będące pomnikami przyrody, oczka wodne o powierzchni mniejszej niż 100 m</w:t>
            </w:r>
            <w:r w:rsidRPr="0041759E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, rowy o szerokości nieprzekraczającej 2 m. </w:t>
            </w:r>
          </w:p>
          <w:p w:rsidR="00FE6930" w:rsidRPr="006332F8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FE6930" w:rsidRPr="0041759E" w:rsidRDefault="00FE6930" w:rsidP="0041759E">
            <w:pPr>
              <w:pStyle w:val="Akapitzlist"/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Na użytkach rolnych obowiązuje zakaz przycinania drzew i żywopłotów (z wyłączeniem wierzb, drzew owocowych i zagajników o krótkiej rotacji) w okresie lęgowym ptaków, tj. od </w:t>
            </w:r>
            <w:r w:rsidR="00AC5013">
              <w:rPr>
                <w:rFonts w:ascii="Times New Roman" w:eastAsia="Times New Roman" w:hAnsi="Times New Roman" w:cs="Times New Roman"/>
                <w:lang w:eastAsia="en-GB"/>
              </w:rPr>
              <w:t xml:space="preserve">dnia </w:t>
            </w: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15 kwietnia do </w:t>
            </w:r>
            <w:r w:rsidR="00AC5013">
              <w:rPr>
                <w:rFonts w:ascii="Times New Roman" w:eastAsia="Times New Roman" w:hAnsi="Times New Roman" w:cs="Times New Roman"/>
                <w:lang w:eastAsia="en-GB"/>
              </w:rPr>
              <w:t xml:space="preserve">dnia </w:t>
            </w: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31 lipca.</w:t>
            </w:r>
          </w:p>
          <w:p w:rsidR="00FE6930" w:rsidRDefault="00595B6E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Do wyliczenia minimalnej powierzchni </w:t>
            </w:r>
            <w:r w:rsidRPr="00595B6E">
              <w:rPr>
                <w:rFonts w:ascii="Times New Roman" w:eastAsia="Times New Roman" w:hAnsi="Times New Roman" w:cs="Times New Roman"/>
                <w:lang w:eastAsia="en-GB"/>
              </w:rPr>
              <w:t>przeznaczanej na obiekty nieprodukcyjne, międzyplony lub uprawy</w:t>
            </w:r>
            <w:r w:rsidRPr="00BB7C41">
              <w:rPr>
                <w:rFonts w:ascii="Times New Roman" w:eastAsia="Times New Roman" w:hAnsi="Times New Roman" w:cs="Times New Roman"/>
                <w:lang w:eastAsia="en-GB"/>
              </w:rPr>
              <w:t xml:space="preserve"> wiążące azot, uprawiane bez środków ochrony roślin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, stosowane są współczynniki ważenia i konwersji. </w:t>
            </w:r>
          </w:p>
          <w:p w:rsidR="00595B6E" w:rsidRPr="006332F8" w:rsidRDefault="00595B6E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FE6930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Zakres terytorialny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: </w:t>
            </w:r>
            <w:r w:rsidR="00A753F7">
              <w:rPr>
                <w:rFonts w:ascii="Times New Roman" w:eastAsia="Times New Roman" w:hAnsi="Times New Roman" w:cs="Times New Roman"/>
                <w:lang w:eastAsia="en-GB"/>
              </w:rPr>
              <w:t>U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żytki rolne podlegające warunkowości, o której mowa w art. 11 rozporządzenia w sprawie planów strategicznych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. </w:t>
            </w:r>
          </w:p>
          <w:p w:rsidR="005F5C99" w:rsidRDefault="00FE6930" w:rsidP="005F5C99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Rodzaj rolników, których to dotyczy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: </w:t>
            </w:r>
            <w:r w:rsidR="005F5C99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olnicy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podlegający warunkowości, o której mowa w art. 11 rozporządzenia w sprawie planów strategicznych.</w:t>
            </w:r>
            <w:r w:rsidR="005F5C99" w:rsidRPr="00074D24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:rsidR="00783569" w:rsidRDefault="005F5C99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074D24">
              <w:rPr>
                <w:rFonts w:ascii="Times New Roman" w:eastAsia="Times New Roman" w:hAnsi="Times New Roman" w:cs="Times New Roman"/>
                <w:lang w:eastAsia="en-GB"/>
              </w:rPr>
              <w:t>Z obowiązku spełniania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przeznaczenia</w:t>
            </w:r>
            <w:r w:rsidRPr="00074D24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minimalnego procentu na obszary nieprodukcyjne </w:t>
            </w:r>
            <w:r w:rsidR="006155EF" w:rsidRPr="006155EF">
              <w:rPr>
                <w:rFonts w:ascii="Times New Roman" w:eastAsia="Times New Roman" w:hAnsi="Times New Roman" w:cs="Times New Roman"/>
                <w:lang w:eastAsia="en-GB"/>
              </w:rPr>
              <w:t>lub międzyplony lub uprawy wiążące azot, uprawiane bez środków ochrony roślin</w:t>
            </w:r>
            <w:r w:rsidR="00AC5013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6155EF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C90A55">
              <w:rPr>
                <w:rFonts w:ascii="Times New Roman" w:eastAsia="Times New Roman" w:hAnsi="Times New Roman" w:cs="Times New Roman"/>
                <w:lang w:eastAsia="en-GB"/>
              </w:rPr>
              <w:t>wyłączeni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są</w:t>
            </w:r>
            <w:r w:rsidR="008E34B4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C90A55">
              <w:rPr>
                <w:rFonts w:ascii="Times New Roman" w:eastAsia="Times New Roman" w:hAnsi="Times New Roman" w:cs="Times New Roman"/>
                <w:lang w:eastAsia="en-GB"/>
              </w:rPr>
              <w:t xml:space="preserve">rolnicy posiadający </w:t>
            </w:r>
            <w:r w:rsidR="00783569">
              <w:rPr>
                <w:rFonts w:ascii="Times New Roman" w:eastAsia="Times New Roman" w:hAnsi="Times New Roman" w:cs="Times New Roman"/>
                <w:lang w:eastAsia="en-GB"/>
              </w:rPr>
              <w:t>gospodarstwa:</w:t>
            </w:r>
          </w:p>
          <w:p w:rsidR="00EC704F" w:rsidRPr="0041759E" w:rsidRDefault="00EC704F" w:rsidP="00C02032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 xml:space="preserve">o powierzchni do 10 ha gruntów ornych  </w:t>
            </w:r>
          </w:p>
          <w:p w:rsidR="00EC704F" w:rsidRPr="0041759E" w:rsidRDefault="00EC704F" w:rsidP="00EC704F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w których więcej niż 75% GO jest wykorzystywanych do produkcji traw lub innych zielnych roślin pastewnych, uprawy roślin strączkowych lub ugorowanych,</w:t>
            </w:r>
          </w:p>
          <w:p w:rsidR="00EC704F" w:rsidRPr="0041759E" w:rsidRDefault="00EC704F" w:rsidP="00C02032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w których więcej niż 75% UR stanowi TUZ lub jest wykorzystywanych do produkcji traw lub innych zielnych roślin pastewnych</w:t>
            </w:r>
            <w:r w:rsidR="00AC5013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BB7C41" w:rsidDel="00EC704F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:rsidR="00FE6930" w:rsidRPr="006332F8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Wyjaśnienie wkładu w główny cel praktyki:</w:t>
            </w:r>
          </w:p>
          <w:p w:rsidR="00FE6930" w:rsidRPr="006332F8" w:rsidRDefault="00FE6930" w:rsidP="007B1AC1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</w:rPr>
              <w:t>Wymienione wyżej praktyki są ważnym elementem polityki zrównoważonego rozwoju, przyczyniającym się do wzmocnienia sieci siedlisk przyrodniczych, płatów i korytarzy ekologicznych, a przez to – zwiększenia różnorodności gatunkowej roślin i zwierząt.</w:t>
            </w:r>
            <w:r w:rsidRPr="006332F8">
              <w:rPr>
                <w:rFonts w:ascii="Times New Roman" w:eastAsia="Consolas" w:hAnsi="Times New Roman" w:cs="Times New Roman"/>
                <w:lang w:eastAsia="en-GB"/>
              </w:rPr>
              <w:t xml:space="preserve"> Bezpośrednio przyczyniają się do poprawy</w:t>
            </w:r>
            <w:r>
              <w:rPr>
                <w:rFonts w:ascii="Times New Roman" w:eastAsia="Consolas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Consolas" w:hAnsi="Times New Roman" w:cs="Times New Roman"/>
                <w:lang w:eastAsia="en-GB"/>
              </w:rPr>
              <w:lastRenderedPageBreak/>
              <w:t xml:space="preserve">różnorodności biologicznej </w:t>
            </w:r>
            <w:r w:rsidRPr="006332F8">
              <w:rPr>
                <w:rFonts w:ascii="Times New Roman" w:eastAsia="Consolas" w:hAnsi="Times New Roman" w:cs="Times New Roman"/>
                <w:lang w:eastAsia="en-GB"/>
              </w:rPr>
              <w:t xml:space="preserve">poprzez zachowanie i utrzymanie wskazanych elementów krajobrazu, a także poprzez określenie okresu przycinania drzew i krzewów w okresie lęgowym ptaków </w:t>
            </w:r>
            <w:r w:rsidR="00BB7C41">
              <w:rPr>
                <w:rFonts w:ascii="Times New Roman" w:eastAsia="Consolas" w:hAnsi="Times New Roman" w:cs="Times New Roman"/>
                <w:lang w:eastAsia="en-GB"/>
              </w:rPr>
              <w:t xml:space="preserve">w </w:t>
            </w:r>
            <w:r w:rsidRPr="006332F8">
              <w:rPr>
                <w:rFonts w:ascii="Times New Roman" w:eastAsia="Consolas" w:hAnsi="Times New Roman" w:cs="Times New Roman"/>
                <w:lang w:eastAsia="en-GB"/>
              </w:rPr>
              <w:t xml:space="preserve">gospodarstwach rolnych. </w:t>
            </w:r>
          </w:p>
          <w:p w:rsidR="00FE6930" w:rsidRPr="006332F8" w:rsidRDefault="00FE6930" w:rsidP="007B1AC1">
            <w:pPr>
              <w:spacing w:before="40" w:after="4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FE6930" w:rsidRPr="006332F8" w:rsidTr="00586B05">
        <w:tc>
          <w:tcPr>
            <w:tcW w:w="1125" w:type="dxa"/>
            <w:tcBorders>
              <w:bottom w:val="single" w:sz="4" w:space="0" w:color="000000"/>
            </w:tcBorders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val="en-GB"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GAEC 10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shd w:val="clear" w:color="000000" w:fill="auto"/>
          </w:tcPr>
          <w:p w:rsidR="00FE6930" w:rsidRPr="006332F8" w:rsidRDefault="00FE6930" w:rsidP="005F6A1D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Zakaz przekształcania lub zaorywania trwałych użytków zielonych</w:t>
            </w:r>
            <w:r w:rsidRPr="006332F8"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  <w:t xml:space="preserve"> </w:t>
            </w:r>
            <w:r w:rsidR="005F6A1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wyznaczonych jako </w:t>
            </w:r>
            <w:r w:rsidR="005F6A1D" w:rsidRPr="005F6A1D">
              <w:rPr>
                <w:rFonts w:ascii="Times New Roman" w:eastAsia="Times New Roman" w:hAnsi="Times New Roman" w:cs="Times New Roman"/>
                <w:b/>
                <w:lang w:eastAsia="en-GB"/>
              </w:rPr>
              <w:t>cenn</w:t>
            </w:r>
            <w:r w:rsidR="005F6A1D">
              <w:rPr>
                <w:rFonts w:ascii="Times New Roman" w:eastAsia="Times New Roman" w:hAnsi="Times New Roman" w:cs="Times New Roman"/>
                <w:b/>
                <w:lang w:eastAsia="en-GB"/>
              </w:rPr>
              <w:t>e</w:t>
            </w:r>
            <w:r w:rsidR="005F6A1D" w:rsidRPr="005F6A1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na</w:t>
            </w:r>
            <w:r w:rsidRPr="006332F8"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obszarach Natura 2000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  <w:shd w:val="clear" w:color="000000" w:fill="auto"/>
          </w:tcPr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Podsumowanie praktyki w gospodarstwie: </w:t>
            </w:r>
          </w:p>
          <w:p w:rsidR="004644C9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Rolnicy są zobowiązani do przestrzegania zakazu przekształcania lub zaorywania </w:t>
            </w:r>
            <w:r w:rsidRPr="004644C9">
              <w:rPr>
                <w:rFonts w:ascii="Times New Roman" w:eastAsia="Times New Roman" w:hAnsi="Times New Roman" w:cs="Times New Roman"/>
                <w:lang w:eastAsia="en-GB"/>
              </w:rPr>
              <w:t>wyznaczonych</w:t>
            </w:r>
            <w:r w:rsidR="00815D41">
              <w:rPr>
                <w:rFonts w:ascii="Times New Roman" w:eastAsia="Times New Roman" w:hAnsi="Times New Roman" w:cs="Times New Roman"/>
                <w:lang w:eastAsia="en-GB"/>
              </w:rPr>
              <w:t xml:space="preserve"> cennych</w:t>
            </w:r>
            <w:r w:rsidR="00B21B0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trwałych użytków zielonych</w:t>
            </w:r>
            <w:r w:rsidR="000F6B4F">
              <w:rPr>
                <w:rStyle w:val="Odwoanieprzypisudolnego"/>
                <w:rFonts w:ascii="Times New Roman" w:eastAsia="Times New Roman" w:hAnsi="Times New Roman" w:cs="Times New Roman"/>
                <w:lang w:eastAsia="en-GB"/>
              </w:rPr>
              <w:footnoteReference w:id="4"/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położonych na obszarach Natura 2000</w:t>
            </w:r>
            <w:r w:rsidR="004644C9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FE6930" w:rsidRPr="006332F8" w:rsidRDefault="00FE6930" w:rsidP="007B1A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Zakres terytorialny i obszar wyznaczony: </w:t>
            </w:r>
          </w:p>
          <w:p w:rsidR="00FE6930" w:rsidRPr="006332F8" w:rsidRDefault="00C02032" w:rsidP="009F6D7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41759E">
              <w:rPr>
                <w:rFonts w:ascii="Times New Roman" w:eastAsia="Times New Roman" w:hAnsi="Times New Roman" w:cs="Times New Roman"/>
                <w:lang w:eastAsia="en-GB"/>
              </w:rPr>
              <w:t>Wyznaczone cenne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t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rwałe użytki zielone na obszarach </w:t>
            </w:r>
            <w:r w:rsidR="00BC3836" w:rsidRPr="006332F8">
              <w:rPr>
                <w:rFonts w:ascii="Times New Roman" w:eastAsia="Times New Roman" w:hAnsi="Times New Roman" w:cs="Times New Roman"/>
                <w:lang w:eastAsia="en-GB"/>
              </w:rPr>
              <w:t>Natur</w:t>
            </w:r>
            <w:r w:rsidR="00BC3836">
              <w:rPr>
                <w:rFonts w:ascii="Times New Roman" w:eastAsia="Times New Roman" w:hAnsi="Times New Roman" w:cs="Times New Roman"/>
                <w:lang w:eastAsia="en-GB"/>
              </w:rPr>
              <w:t>a</w:t>
            </w:r>
            <w:r w:rsidR="00BC3836"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FE6930" w:rsidRPr="006332F8">
              <w:rPr>
                <w:rFonts w:ascii="Times New Roman" w:eastAsia="Times New Roman" w:hAnsi="Times New Roman" w:cs="Times New Roman"/>
                <w:lang w:eastAsia="en-GB"/>
              </w:rPr>
              <w:t>2000 podlegające warunkowości, o której mowa w art. 11 rozporządzenia w sprawie planów strategicznych.</w:t>
            </w:r>
          </w:p>
          <w:p w:rsidR="00FE6930" w:rsidRPr="006332F8" w:rsidRDefault="00FE6930" w:rsidP="009F6D7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Rodzaj rolników, których to dotyczy: </w:t>
            </w:r>
          </w:p>
          <w:p w:rsidR="00FE6930" w:rsidRPr="006332F8" w:rsidRDefault="00FE6930" w:rsidP="009F6D7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 xml:space="preserve">Rolnicy, posiadający w swoim gospodarstwie trwałe użytki zielone </w:t>
            </w:r>
            <w:r w:rsidR="00F12AE4">
              <w:rPr>
                <w:rFonts w:ascii="Times New Roman" w:eastAsia="Times New Roman" w:hAnsi="Times New Roman" w:cs="Times New Roman"/>
                <w:lang w:eastAsia="en-GB"/>
              </w:rPr>
              <w:t xml:space="preserve">wyznaczone jako cenne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położone na obszarach Natura 2000 i podlegający warunkowości, o której mowa w art. 11 rozporządzenia w sprawie planów strategicznych.</w:t>
            </w:r>
          </w:p>
          <w:p w:rsidR="00FE6930" w:rsidRPr="00EB55FB" w:rsidRDefault="00FE6930" w:rsidP="009F6D7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332F8">
              <w:rPr>
                <w:rFonts w:ascii="Times New Roman" w:eastAsia="Times New Roman" w:hAnsi="Times New Roman" w:cs="Times New Roman"/>
                <w:b/>
                <w:lang w:eastAsia="en-GB"/>
              </w:rPr>
              <w:t>Wyjaśnienie wkładu w gł</w:t>
            </w:r>
            <w:r w:rsidRPr="00BB7C4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ówny cel praktyki: </w:t>
            </w:r>
          </w:p>
          <w:p w:rsidR="00FE6930" w:rsidRPr="006332F8" w:rsidRDefault="00FE6930" w:rsidP="009F6D7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B7C41">
              <w:rPr>
                <w:rFonts w:ascii="Times New Roman" w:eastAsia="Times New Roman" w:hAnsi="Times New Roman" w:cs="Times New Roman"/>
                <w:lang w:eastAsia="en-GB"/>
              </w:rPr>
              <w:t xml:space="preserve">Utrzymanie wyznaczonych </w:t>
            </w:r>
            <w:r w:rsidR="00C02032" w:rsidRPr="0041759E">
              <w:rPr>
                <w:rFonts w:ascii="Times New Roman" w:eastAsia="Times New Roman" w:hAnsi="Times New Roman" w:cs="Times New Roman"/>
                <w:lang w:eastAsia="en-GB"/>
              </w:rPr>
              <w:t>cennych</w:t>
            </w:r>
            <w:r w:rsidR="00C02032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6332F8">
              <w:rPr>
                <w:rFonts w:ascii="Times New Roman" w:eastAsia="Times New Roman" w:hAnsi="Times New Roman" w:cs="Times New Roman"/>
                <w:lang w:eastAsia="en-GB"/>
              </w:rPr>
              <w:t>trwałych użytków zielonych na obszarach Natury 2000 w celu zachowania różnorodności biologicznej.</w:t>
            </w:r>
          </w:p>
        </w:tc>
      </w:tr>
      <w:bookmarkEnd w:id="1"/>
    </w:tbl>
    <w:p w:rsidR="00037B0E" w:rsidRDefault="00037B0E" w:rsidP="00037B0E">
      <w:pPr>
        <w:jc w:val="both"/>
      </w:pPr>
    </w:p>
    <w:p w:rsidR="00433083" w:rsidRDefault="00433083"/>
    <w:sectPr w:rsidR="00433083" w:rsidSect="00586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1B" w:rsidRDefault="0065451B" w:rsidP="00F9528C">
      <w:pPr>
        <w:spacing w:after="0" w:line="240" w:lineRule="auto"/>
      </w:pPr>
      <w:r>
        <w:separator/>
      </w:r>
    </w:p>
  </w:endnote>
  <w:endnote w:type="continuationSeparator" w:id="0">
    <w:p w:rsidR="0065451B" w:rsidRDefault="0065451B" w:rsidP="00F9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A3" w:rsidRDefault="00367DA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089655"/>
      <w:docPartObj>
        <w:docPartGallery w:val="Page Numbers (Bottom of Page)"/>
        <w:docPartUnique/>
      </w:docPartObj>
    </w:sdtPr>
    <w:sdtContent>
      <w:p w:rsidR="00AC6127" w:rsidRDefault="00C37058">
        <w:pPr>
          <w:pStyle w:val="Stopka"/>
          <w:jc w:val="center"/>
        </w:pPr>
        <w:r>
          <w:fldChar w:fldCharType="begin"/>
        </w:r>
        <w:r w:rsidR="00AC6127">
          <w:instrText>PAGE   \* MERGEFORMAT</w:instrText>
        </w:r>
        <w:r>
          <w:fldChar w:fldCharType="separate"/>
        </w:r>
        <w:r w:rsidR="0039006E">
          <w:rPr>
            <w:noProof/>
          </w:rPr>
          <w:t>7</w:t>
        </w:r>
        <w:r>
          <w:fldChar w:fldCharType="end"/>
        </w:r>
      </w:p>
    </w:sdtContent>
  </w:sdt>
  <w:p w:rsidR="00F9528C" w:rsidRDefault="00F9528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A3" w:rsidRDefault="00367D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1B" w:rsidRDefault="0065451B" w:rsidP="00F9528C">
      <w:pPr>
        <w:spacing w:after="0" w:line="240" w:lineRule="auto"/>
      </w:pPr>
      <w:r>
        <w:separator/>
      </w:r>
    </w:p>
  </w:footnote>
  <w:footnote w:type="continuationSeparator" w:id="0">
    <w:p w:rsidR="0065451B" w:rsidRDefault="0065451B" w:rsidP="00F9528C">
      <w:pPr>
        <w:spacing w:after="0" w:line="240" w:lineRule="auto"/>
      </w:pPr>
      <w:r>
        <w:continuationSeparator/>
      </w:r>
    </w:p>
  </w:footnote>
  <w:footnote w:id="1">
    <w:p w:rsidR="00FE6930" w:rsidRDefault="00FE6930" w:rsidP="00586B05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C90DE0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>e</w:t>
      </w:r>
      <w:r w:rsidRPr="00C90DE0">
        <w:rPr>
          <w:rFonts w:ascii="Times New Roman" w:hAnsi="Times New Roman"/>
        </w:rPr>
        <w:t xml:space="preserve"> Rady Ministrów z dnia</w:t>
      </w:r>
      <w:r>
        <w:rPr>
          <w:rFonts w:ascii="Times New Roman" w:hAnsi="Times New Roman"/>
        </w:rPr>
        <w:t xml:space="preserve"> 12 lutego 2020 r.</w:t>
      </w:r>
      <w:r w:rsidRPr="00C90DE0">
        <w:rPr>
          <w:rFonts w:ascii="Times New Roman" w:hAnsi="Times New Roman"/>
        </w:rPr>
        <w:t xml:space="preserve"> w sprawie przyjęcia „Programu działań mających na celu zmniejszenie</w:t>
      </w:r>
      <w:r>
        <w:rPr>
          <w:rFonts w:ascii="Times New Roman" w:hAnsi="Times New Roman"/>
        </w:rPr>
        <w:t xml:space="preserve"> </w:t>
      </w:r>
      <w:r w:rsidRPr="00C90DE0">
        <w:rPr>
          <w:rFonts w:ascii="Times New Roman" w:hAnsi="Times New Roman"/>
        </w:rPr>
        <w:t>zanieczyszczenia wód azotanami pochodzącymi ze źródeł rolniczych oraz zapobieganie dalszemu zanieczyszczeniu</w:t>
      </w:r>
      <w:r>
        <w:rPr>
          <w:rFonts w:ascii="Times New Roman" w:hAnsi="Times New Roman"/>
        </w:rPr>
        <w:t>”</w:t>
      </w:r>
      <w:r w:rsidRPr="00C90DE0">
        <w:rPr>
          <w:rFonts w:ascii="Times New Roman" w:hAnsi="Times New Roman"/>
        </w:rPr>
        <w:t xml:space="preserve"> (Dz. U. poz.</w:t>
      </w:r>
      <w:r>
        <w:rPr>
          <w:rFonts w:ascii="Times New Roman" w:hAnsi="Times New Roman"/>
        </w:rPr>
        <w:t xml:space="preserve"> 243)</w:t>
      </w:r>
    </w:p>
  </w:footnote>
  <w:footnote w:id="2">
    <w:p w:rsidR="000F6B4F" w:rsidRPr="00927662" w:rsidRDefault="000F6B4F" w:rsidP="000F6B4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 w:rsidRPr="00927662">
        <w:rPr>
          <w:rFonts w:ascii="Times New Roman" w:eastAsia="Times New Roman" w:hAnsi="Times New Roman" w:cs="Times New Roman"/>
          <w:i/>
          <w:lang w:eastAsia="en-GB"/>
        </w:rPr>
        <w:t>Za obszary szczególnie zagrożone erozją wodną uznane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są</w:t>
      </w:r>
      <w:r w:rsidRPr="00927662">
        <w:rPr>
          <w:rFonts w:ascii="Times New Roman" w:eastAsia="Times New Roman" w:hAnsi="Times New Roman" w:cs="Times New Roman"/>
          <w:i/>
          <w:lang w:eastAsia="en-GB"/>
        </w:rPr>
        <w:t xml:space="preserve"> obręby ewidencyjne, </w:t>
      </w:r>
      <w:r>
        <w:rPr>
          <w:rFonts w:ascii="Times New Roman" w:eastAsia="Times New Roman" w:hAnsi="Times New Roman" w:cs="Times New Roman"/>
          <w:i/>
          <w:lang w:eastAsia="en-GB"/>
        </w:rPr>
        <w:t>w których</w:t>
      </w:r>
      <w:r w:rsidRPr="00927662">
        <w:rPr>
          <w:rFonts w:ascii="Times New Roman" w:hAnsi="Times New Roman" w:cs="Times New Roman"/>
        </w:rPr>
        <w:t xml:space="preserve"> </w:t>
      </w:r>
      <w:r w:rsidRPr="00927662">
        <w:rPr>
          <w:rFonts w:ascii="Times New Roman" w:hAnsi="Times New Roman" w:cs="Times New Roman"/>
          <w:i/>
        </w:rPr>
        <w:t>udział gruntów zagrożonych erozją w stopniu umiarkowanym, średnim, silnym i bardzo silnym wynosi co najmniej 30% gruntów ornych.</w:t>
      </w:r>
      <w:r>
        <w:rPr>
          <w:rFonts w:ascii="Times New Roman" w:hAnsi="Times New Roman" w:cs="Times New Roman"/>
          <w:i/>
        </w:rPr>
        <w:t xml:space="preserve"> Grunty orne objęte tymi obszarami stanowią około </w:t>
      </w:r>
      <w:r w:rsidRPr="00823B0F">
        <w:rPr>
          <w:rFonts w:ascii="Times New Roman" w:hAnsi="Times New Roman" w:cs="Times New Roman"/>
          <w:i/>
        </w:rPr>
        <w:t>9,5% gruntów ornych w skali kraju</w:t>
      </w:r>
      <w:r>
        <w:rPr>
          <w:rFonts w:ascii="Times New Roman" w:hAnsi="Times New Roman" w:cs="Times New Roman"/>
          <w:i/>
        </w:rPr>
        <w:t>, ze szczególnym nasileniem w Polsce południowej, zwłaszcza w województwach małopolskim i podkarpackim</w:t>
      </w:r>
      <w:r w:rsidRPr="00927662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</w:p>
    <w:p w:rsidR="000F6B4F" w:rsidRDefault="000F6B4F">
      <w:pPr>
        <w:pStyle w:val="Tekstprzypisudolnego"/>
      </w:pPr>
    </w:p>
  </w:footnote>
  <w:footnote w:id="3">
    <w:p w:rsidR="000F6B4F" w:rsidRPr="00927662" w:rsidRDefault="000F6B4F" w:rsidP="000F6B4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i/>
          <w:lang w:eastAsia="en-GB"/>
        </w:rPr>
        <w:t>Za o</w:t>
      </w:r>
      <w:r w:rsidRPr="00927662">
        <w:rPr>
          <w:rFonts w:ascii="Times New Roman" w:eastAsia="Times New Roman" w:hAnsi="Times New Roman" w:cs="Times New Roman"/>
          <w:i/>
          <w:lang w:eastAsia="en-GB"/>
        </w:rPr>
        <w:t xml:space="preserve">bszary zagrożone erozją wodną w mniejszym stopniu </w:t>
      </w:r>
      <w:r w:rsidRPr="00B92082">
        <w:rPr>
          <w:rFonts w:ascii="Times New Roman" w:eastAsia="Times New Roman" w:hAnsi="Times New Roman" w:cs="Times New Roman"/>
          <w:i/>
          <w:lang w:eastAsia="en-GB"/>
        </w:rPr>
        <w:t xml:space="preserve">uznane 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są </w:t>
      </w:r>
      <w:r w:rsidRPr="00B92082">
        <w:rPr>
          <w:rFonts w:ascii="Times New Roman" w:eastAsia="Times New Roman" w:hAnsi="Times New Roman" w:cs="Times New Roman"/>
          <w:i/>
          <w:lang w:eastAsia="en-GB"/>
        </w:rPr>
        <w:t xml:space="preserve">obręby ewidencyjne, </w:t>
      </w:r>
      <w:r w:rsidR="00271278">
        <w:rPr>
          <w:rFonts w:ascii="Times New Roman" w:eastAsia="Times New Roman" w:hAnsi="Times New Roman" w:cs="Times New Roman"/>
          <w:i/>
          <w:lang w:eastAsia="en-GB"/>
        </w:rPr>
        <w:t>w których</w:t>
      </w:r>
      <w:r w:rsidR="00271278" w:rsidRPr="00DF0152"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Pr="00DF0152">
        <w:rPr>
          <w:rFonts w:ascii="Times New Roman" w:eastAsia="Times New Roman" w:hAnsi="Times New Roman" w:cs="Times New Roman"/>
          <w:i/>
          <w:lang w:eastAsia="en-GB"/>
        </w:rPr>
        <w:t>udzi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ał gruntów zagrożonych erozją w </w:t>
      </w:r>
      <w:r w:rsidRPr="00DF0152">
        <w:rPr>
          <w:rFonts w:ascii="Times New Roman" w:eastAsia="Times New Roman" w:hAnsi="Times New Roman" w:cs="Times New Roman"/>
          <w:i/>
          <w:lang w:eastAsia="en-GB"/>
        </w:rPr>
        <w:t>stopniu umiarkowanym, średnim, silnym i bardzo silnym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wynosi co najmniej 10% gruntów </w:t>
      </w:r>
      <w:r w:rsidRPr="00DF0152">
        <w:rPr>
          <w:rFonts w:ascii="Times New Roman" w:eastAsia="Times New Roman" w:hAnsi="Times New Roman" w:cs="Times New Roman"/>
          <w:i/>
          <w:lang w:eastAsia="en-GB"/>
        </w:rPr>
        <w:t xml:space="preserve">ornych i jest mniejszy niż 30% gruntów ornych. </w:t>
      </w:r>
      <w:r w:rsidRPr="00823B0F">
        <w:rPr>
          <w:rFonts w:ascii="Times New Roman" w:eastAsia="Times New Roman" w:hAnsi="Times New Roman" w:cs="Times New Roman"/>
          <w:i/>
          <w:lang w:eastAsia="en-GB"/>
        </w:rPr>
        <w:t>Grunty orne objęte tymi o</w:t>
      </w:r>
      <w:r>
        <w:rPr>
          <w:rFonts w:ascii="Times New Roman" w:eastAsia="Times New Roman" w:hAnsi="Times New Roman" w:cs="Times New Roman"/>
          <w:i/>
          <w:lang w:eastAsia="en-GB"/>
        </w:rPr>
        <w:t>bszarami stanowią około 12,8</w:t>
      </w:r>
      <w:r w:rsidRPr="00823B0F">
        <w:rPr>
          <w:rFonts w:ascii="Times New Roman" w:eastAsia="Times New Roman" w:hAnsi="Times New Roman" w:cs="Times New Roman"/>
          <w:i/>
          <w:lang w:eastAsia="en-GB"/>
        </w:rPr>
        <w:t>% gruntów ornych w skali kraju, ze szczególnym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nasileniem w Polsce północnej, zwłaszcza</w:t>
      </w:r>
      <w:r w:rsidRPr="00823B0F">
        <w:rPr>
          <w:rFonts w:ascii="Times New Roman" w:eastAsia="Times New Roman" w:hAnsi="Times New Roman" w:cs="Times New Roman"/>
          <w:i/>
          <w:lang w:eastAsia="en-GB"/>
        </w:rPr>
        <w:t xml:space="preserve"> w województwach </w:t>
      </w:r>
      <w:r>
        <w:rPr>
          <w:rFonts w:ascii="Times New Roman" w:eastAsia="Times New Roman" w:hAnsi="Times New Roman" w:cs="Times New Roman"/>
          <w:i/>
          <w:lang w:eastAsia="en-GB"/>
        </w:rPr>
        <w:t>warmińsko-mazurskim i pomorskim.</w:t>
      </w:r>
    </w:p>
    <w:p w:rsidR="000F6B4F" w:rsidRDefault="000F6B4F">
      <w:pPr>
        <w:pStyle w:val="Tekstprzypisudolnego"/>
      </w:pPr>
    </w:p>
  </w:footnote>
  <w:footnote w:id="4">
    <w:p w:rsidR="000F6B4F" w:rsidRPr="00ED03AC" w:rsidRDefault="000F6B4F" w:rsidP="000F6B4F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i/>
          <w:lang w:eastAsia="en-GB"/>
        </w:rPr>
        <w:t>Cenne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 xml:space="preserve"> trwał</w:t>
      </w:r>
      <w:r>
        <w:rPr>
          <w:rFonts w:ascii="Times New Roman" w:eastAsia="Times New Roman" w:hAnsi="Times New Roman" w:cs="Times New Roman"/>
          <w:i/>
          <w:lang w:eastAsia="en-GB"/>
        </w:rPr>
        <w:t>e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 xml:space="preserve"> użytk</w:t>
      </w:r>
      <w:r>
        <w:rPr>
          <w:rFonts w:ascii="Times New Roman" w:eastAsia="Times New Roman" w:hAnsi="Times New Roman" w:cs="Times New Roman"/>
          <w:i/>
          <w:lang w:eastAsia="en-GB"/>
        </w:rPr>
        <w:t>i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 xml:space="preserve"> zielon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e zostaną wyznaczone 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>na obszarach Natura 2000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w sposób analogiczny do obecnego w ramach zazielenienia, tzn. jako te trwałe użytki zielone, dla których w 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>planach zadań oc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hronnych albo w planach ochrony określono działania ochronne 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>dla siedlisk przyrodniczych, gatunków roślin i zwierząt oraz ich siedlisk,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lub, w przypadku nie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>ustanowi</w:t>
      </w:r>
      <w:r>
        <w:rPr>
          <w:rFonts w:ascii="Times New Roman" w:eastAsia="Times New Roman" w:hAnsi="Times New Roman" w:cs="Times New Roman"/>
          <w:i/>
          <w:lang w:eastAsia="en-GB"/>
        </w:rPr>
        <w:t>enia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 xml:space="preserve"> planów zadań ochronnych albo planów ochrony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dla obszarów Natura 2000</w:t>
      </w:r>
      <w:r w:rsidRPr="00ED03AC">
        <w:rPr>
          <w:rFonts w:ascii="Times New Roman" w:eastAsia="Times New Roman" w:hAnsi="Times New Roman" w:cs="Times New Roman"/>
          <w:i/>
          <w:lang w:eastAsia="en-GB"/>
        </w:rPr>
        <w:t>,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zostaną one wskazane w załączniku do rozporządzenia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eastAsia="en-GB"/>
        </w:rPr>
        <w:t>MRiRW</w:t>
      </w:r>
      <w:proofErr w:type="spellEnd"/>
      <w:r w:rsidRPr="00101FE2">
        <w:rPr>
          <w:rFonts w:ascii="Times New Roman" w:eastAsia="Times New Roman" w:hAnsi="Times New Roman" w:cs="Times New Roman"/>
          <w:i/>
          <w:lang w:eastAsia="en-GB"/>
        </w:rPr>
        <w:t>.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</w:t>
      </w:r>
    </w:p>
    <w:p w:rsidR="000F6B4F" w:rsidRDefault="000F6B4F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A3" w:rsidRDefault="00367D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28C" w:rsidRPr="00F9528C" w:rsidRDefault="00C37058" w:rsidP="00F9528C">
    <w:pPr>
      <w:pStyle w:val="Nagwek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507897648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12633611" o:spid="_x0000_s2049" type="#_x0000_t136" style="position:absolute;left:0;text-align:left;margin-left:0;margin-top:0;width:489.6pt;height:20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KT"/>
              <w10:wrap anchorx="margin" anchory="margin"/>
            </v:shape>
          </w:pict>
        </w:r>
      </w:sdtContent>
    </w:sdt>
    <w:r w:rsidR="00F9528C" w:rsidRPr="00F9528C">
      <w:rPr>
        <w:rFonts w:ascii="Times New Roman" w:hAnsi="Times New Roman" w:cs="Times New Roman"/>
      </w:rPr>
      <w:t xml:space="preserve">Załącznik nr </w:t>
    </w:r>
    <w:r w:rsidR="008A1533">
      <w:rPr>
        <w:rFonts w:ascii="Times New Roman" w:hAnsi="Times New Roman" w:cs="Times New Roman"/>
      </w:rPr>
      <w:t>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A3" w:rsidRDefault="00367D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4D5498C8"/>
    <w:lvl w:ilvl="0" w:tplc="43EE974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64255E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B6E610E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F042F6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D508D4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1C0E7C8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AA0DBB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38A8B7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93A2D38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36563E7"/>
    <w:multiLevelType w:val="hybridMultilevel"/>
    <w:tmpl w:val="C44E720E"/>
    <w:lvl w:ilvl="0" w:tplc="C2607BD4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1046AD"/>
    <w:multiLevelType w:val="hybridMultilevel"/>
    <w:tmpl w:val="786401BA"/>
    <w:lvl w:ilvl="0" w:tplc="A6D85C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FA7CDC"/>
    <w:multiLevelType w:val="hybridMultilevel"/>
    <w:tmpl w:val="1BDAC4C6"/>
    <w:lvl w:ilvl="0" w:tplc="CE6EE07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D508F"/>
    <w:multiLevelType w:val="hybridMultilevel"/>
    <w:tmpl w:val="4672E44E"/>
    <w:lvl w:ilvl="0" w:tplc="225217A0">
      <w:start w:val="1"/>
      <w:numFmt w:val="lowerRoman"/>
      <w:lvlText w:val="(%1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85123"/>
    <w:multiLevelType w:val="hybridMultilevel"/>
    <w:tmpl w:val="F6CEE11E"/>
    <w:lvl w:ilvl="0" w:tplc="1668D1D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B375ED"/>
    <w:multiLevelType w:val="hybridMultilevel"/>
    <w:tmpl w:val="B9686144"/>
    <w:lvl w:ilvl="0" w:tplc="0415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7">
    <w:nsid w:val="2494684D"/>
    <w:multiLevelType w:val="hybridMultilevel"/>
    <w:tmpl w:val="B21424FE"/>
    <w:lvl w:ilvl="0" w:tplc="1D408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F2D34"/>
    <w:multiLevelType w:val="hybridMultilevel"/>
    <w:tmpl w:val="CC685D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2E7367"/>
    <w:multiLevelType w:val="multilevel"/>
    <w:tmpl w:val="6ED69010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Times New Roman" w:eastAsiaTheme="minorEastAsia" w:hAnsi="Times New Roman" w:cstheme="minorBidi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76E465C"/>
    <w:multiLevelType w:val="hybridMultilevel"/>
    <w:tmpl w:val="05E22CAC"/>
    <w:lvl w:ilvl="0" w:tplc="A6D85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76D02"/>
    <w:multiLevelType w:val="hybridMultilevel"/>
    <w:tmpl w:val="4BC8C0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4F309E"/>
    <w:multiLevelType w:val="hybridMultilevel"/>
    <w:tmpl w:val="8E643E26"/>
    <w:lvl w:ilvl="0" w:tplc="A6D85C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BD16E2"/>
    <w:multiLevelType w:val="hybridMultilevel"/>
    <w:tmpl w:val="1B26EFD6"/>
    <w:lvl w:ilvl="0" w:tplc="A6D85C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7C3404"/>
    <w:multiLevelType w:val="hybridMultilevel"/>
    <w:tmpl w:val="FBD8292A"/>
    <w:lvl w:ilvl="0" w:tplc="E9BEDA6A">
      <w:start w:val="3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C56BC3"/>
    <w:multiLevelType w:val="hybridMultilevel"/>
    <w:tmpl w:val="C9B82B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56414C"/>
    <w:multiLevelType w:val="hybridMultilevel"/>
    <w:tmpl w:val="6C7C3CEA"/>
    <w:lvl w:ilvl="0" w:tplc="A6D85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B42CD"/>
    <w:multiLevelType w:val="hybridMultilevel"/>
    <w:tmpl w:val="56C42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014C2"/>
    <w:multiLevelType w:val="hybridMultilevel"/>
    <w:tmpl w:val="F3D6E41A"/>
    <w:lvl w:ilvl="0" w:tplc="A6D85CB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4A487AA4"/>
    <w:multiLevelType w:val="hybridMultilevel"/>
    <w:tmpl w:val="1DA0F7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6B67DC"/>
    <w:multiLevelType w:val="hybridMultilevel"/>
    <w:tmpl w:val="4C68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203D39"/>
    <w:multiLevelType w:val="hybridMultilevel"/>
    <w:tmpl w:val="EE387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E098B"/>
    <w:multiLevelType w:val="hybridMultilevel"/>
    <w:tmpl w:val="A1642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E27EF5"/>
    <w:multiLevelType w:val="multilevel"/>
    <w:tmpl w:val="89D8AE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Theme="minorEastAsia" w:hAnsi="Times New Roman" w:cstheme="minorBidi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1"/>
  </w:num>
  <w:num w:numId="9">
    <w:abstractNumId w:val="17"/>
  </w:num>
  <w:num w:numId="10">
    <w:abstractNumId w:val="1"/>
  </w:num>
  <w:num w:numId="11">
    <w:abstractNumId w:val="14"/>
  </w:num>
  <w:num w:numId="12">
    <w:abstractNumId w:val="22"/>
  </w:num>
  <w:num w:numId="13">
    <w:abstractNumId w:val="3"/>
  </w:num>
  <w:num w:numId="14">
    <w:abstractNumId w:val="20"/>
  </w:num>
  <w:num w:numId="15">
    <w:abstractNumId w:val="5"/>
  </w:num>
  <w:num w:numId="16">
    <w:abstractNumId w:val="4"/>
  </w:num>
  <w:num w:numId="17">
    <w:abstractNumId w:val="19"/>
  </w:num>
  <w:num w:numId="18">
    <w:abstractNumId w:val="15"/>
  </w:num>
  <w:num w:numId="19">
    <w:abstractNumId w:val="2"/>
  </w:num>
  <w:num w:numId="20">
    <w:abstractNumId w:val="18"/>
  </w:num>
  <w:num w:numId="21">
    <w:abstractNumId w:val="13"/>
  </w:num>
  <w:num w:numId="22">
    <w:abstractNumId w:val="16"/>
  </w:num>
  <w:num w:numId="23">
    <w:abstractNumId w:val="1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7B0E"/>
    <w:rsid w:val="00002F49"/>
    <w:rsid w:val="00016607"/>
    <w:rsid w:val="00037B0E"/>
    <w:rsid w:val="00040D81"/>
    <w:rsid w:val="00041611"/>
    <w:rsid w:val="000427BD"/>
    <w:rsid w:val="00042EDC"/>
    <w:rsid w:val="00044594"/>
    <w:rsid w:val="00072B1C"/>
    <w:rsid w:val="00086A78"/>
    <w:rsid w:val="000A0DB6"/>
    <w:rsid w:val="000C2575"/>
    <w:rsid w:val="000C2782"/>
    <w:rsid w:val="000D1381"/>
    <w:rsid w:val="000F6B4F"/>
    <w:rsid w:val="000F7940"/>
    <w:rsid w:val="00101FE2"/>
    <w:rsid w:val="0012210E"/>
    <w:rsid w:val="001255E5"/>
    <w:rsid w:val="0013395F"/>
    <w:rsid w:val="001944C6"/>
    <w:rsid w:val="001A5CC3"/>
    <w:rsid w:val="001B2A35"/>
    <w:rsid w:val="001D2E66"/>
    <w:rsid w:val="001F1433"/>
    <w:rsid w:val="001F2A1B"/>
    <w:rsid w:val="001F709C"/>
    <w:rsid w:val="00205CB0"/>
    <w:rsid w:val="00206AFC"/>
    <w:rsid w:val="00210B08"/>
    <w:rsid w:val="00211EE1"/>
    <w:rsid w:val="00232E53"/>
    <w:rsid w:val="00271278"/>
    <w:rsid w:val="0028172C"/>
    <w:rsid w:val="002E4BF5"/>
    <w:rsid w:val="002F30FC"/>
    <w:rsid w:val="002F7010"/>
    <w:rsid w:val="00327646"/>
    <w:rsid w:val="00332936"/>
    <w:rsid w:val="00334BF4"/>
    <w:rsid w:val="003365F7"/>
    <w:rsid w:val="00352201"/>
    <w:rsid w:val="003539B0"/>
    <w:rsid w:val="00367DA3"/>
    <w:rsid w:val="00371F4A"/>
    <w:rsid w:val="003741C2"/>
    <w:rsid w:val="0039006E"/>
    <w:rsid w:val="00393EAD"/>
    <w:rsid w:val="003C0776"/>
    <w:rsid w:val="003D5F01"/>
    <w:rsid w:val="00403BEA"/>
    <w:rsid w:val="00406D96"/>
    <w:rsid w:val="00407FEE"/>
    <w:rsid w:val="00416301"/>
    <w:rsid w:val="0041759E"/>
    <w:rsid w:val="00433083"/>
    <w:rsid w:val="00437712"/>
    <w:rsid w:val="004644C9"/>
    <w:rsid w:val="0048011E"/>
    <w:rsid w:val="004A29AD"/>
    <w:rsid w:val="005016CA"/>
    <w:rsid w:val="00533990"/>
    <w:rsid w:val="00547771"/>
    <w:rsid w:val="005856E2"/>
    <w:rsid w:val="00586B05"/>
    <w:rsid w:val="00595B6E"/>
    <w:rsid w:val="00595C6D"/>
    <w:rsid w:val="005A5A57"/>
    <w:rsid w:val="005B2463"/>
    <w:rsid w:val="005C212D"/>
    <w:rsid w:val="005C2495"/>
    <w:rsid w:val="005C3AAB"/>
    <w:rsid w:val="005D3DEE"/>
    <w:rsid w:val="005D4E73"/>
    <w:rsid w:val="005F18AB"/>
    <w:rsid w:val="005F5C99"/>
    <w:rsid w:val="005F6A1D"/>
    <w:rsid w:val="006042AF"/>
    <w:rsid w:val="006149D1"/>
    <w:rsid w:val="006155EF"/>
    <w:rsid w:val="00636EC3"/>
    <w:rsid w:val="0064481B"/>
    <w:rsid w:val="00644D3B"/>
    <w:rsid w:val="0065451B"/>
    <w:rsid w:val="00674F7E"/>
    <w:rsid w:val="0068726C"/>
    <w:rsid w:val="006A53DF"/>
    <w:rsid w:val="006B7576"/>
    <w:rsid w:val="006C1418"/>
    <w:rsid w:val="006E6529"/>
    <w:rsid w:val="007102B7"/>
    <w:rsid w:val="00733138"/>
    <w:rsid w:val="00752297"/>
    <w:rsid w:val="007540CC"/>
    <w:rsid w:val="007708FF"/>
    <w:rsid w:val="007775C8"/>
    <w:rsid w:val="00783569"/>
    <w:rsid w:val="007957FB"/>
    <w:rsid w:val="007B0EAA"/>
    <w:rsid w:val="007C5E45"/>
    <w:rsid w:val="007E3EA1"/>
    <w:rsid w:val="007E5F36"/>
    <w:rsid w:val="007F3AF5"/>
    <w:rsid w:val="00803FA4"/>
    <w:rsid w:val="008045E3"/>
    <w:rsid w:val="00815D41"/>
    <w:rsid w:val="00823B0F"/>
    <w:rsid w:val="00845F52"/>
    <w:rsid w:val="00874FB7"/>
    <w:rsid w:val="008811A9"/>
    <w:rsid w:val="00891AE0"/>
    <w:rsid w:val="008A1533"/>
    <w:rsid w:val="008A410A"/>
    <w:rsid w:val="008A4149"/>
    <w:rsid w:val="008D308E"/>
    <w:rsid w:val="008D6FAB"/>
    <w:rsid w:val="008E34B4"/>
    <w:rsid w:val="008E6499"/>
    <w:rsid w:val="008F3A1B"/>
    <w:rsid w:val="00902DE1"/>
    <w:rsid w:val="00916460"/>
    <w:rsid w:val="009231A5"/>
    <w:rsid w:val="00924BF4"/>
    <w:rsid w:val="00927662"/>
    <w:rsid w:val="009338EF"/>
    <w:rsid w:val="00961606"/>
    <w:rsid w:val="00963EA9"/>
    <w:rsid w:val="00987890"/>
    <w:rsid w:val="009905DA"/>
    <w:rsid w:val="0099179B"/>
    <w:rsid w:val="009921F4"/>
    <w:rsid w:val="009B7F89"/>
    <w:rsid w:val="009C5E78"/>
    <w:rsid w:val="009D0ACF"/>
    <w:rsid w:val="009F6D70"/>
    <w:rsid w:val="00A030D9"/>
    <w:rsid w:val="00A13E18"/>
    <w:rsid w:val="00A341F6"/>
    <w:rsid w:val="00A373C9"/>
    <w:rsid w:val="00A435D1"/>
    <w:rsid w:val="00A564D2"/>
    <w:rsid w:val="00A67D67"/>
    <w:rsid w:val="00A725E3"/>
    <w:rsid w:val="00A753F7"/>
    <w:rsid w:val="00A93CEB"/>
    <w:rsid w:val="00AA51D8"/>
    <w:rsid w:val="00AA7DB6"/>
    <w:rsid w:val="00AB3B6E"/>
    <w:rsid w:val="00AC16BF"/>
    <w:rsid w:val="00AC5013"/>
    <w:rsid w:val="00AC6127"/>
    <w:rsid w:val="00AF21AD"/>
    <w:rsid w:val="00AF3E8E"/>
    <w:rsid w:val="00AF637E"/>
    <w:rsid w:val="00AF6E69"/>
    <w:rsid w:val="00AF7A2E"/>
    <w:rsid w:val="00B21B01"/>
    <w:rsid w:val="00B33B64"/>
    <w:rsid w:val="00B3702D"/>
    <w:rsid w:val="00B42066"/>
    <w:rsid w:val="00B55357"/>
    <w:rsid w:val="00B66E99"/>
    <w:rsid w:val="00B71894"/>
    <w:rsid w:val="00B92082"/>
    <w:rsid w:val="00BB571E"/>
    <w:rsid w:val="00BB6442"/>
    <w:rsid w:val="00BB7C41"/>
    <w:rsid w:val="00BC3836"/>
    <w:rsid w:val="00BC5747"/>
    <w:rsid w:val="00C02032"/>
    <w:rsid w:val="00C047E8"/>
    <w:rsid w:val="00C06481"/>
    <w:rsid w:val="00C37058"/>
    <w:rsid w:val="00C65C42"/>
    <w:rsid w:val="00C81F3E"/>
    <w:rsid w:val="00C90A55"/>
    <w:rsid w:val="00CC65A2"/>
    <w:rsid w:val="00CD0098"/>
    <w:rsid w:val="00D014C2"/>
    <w:rsid w:val="00D1272F"/>
    <w:rsid w:val="00D132CE"/>
    <w:rsid w:val="00D313AC"/>
    <w:rsid w:val="00D528DD"/>
    <w:rsid w:val="00D52ADA"/>
    <w:rsid w:val="00D55585"/>
    <w:rsid w:val="00D8754D"/>
    <w:rsid w:val="00DA50DB"/>
    <w:rsid w:val="00DC414F"/>
    <w:rsid w:val="00DE1A12"/>
    <w:rsid w:val="00DE2894"/>
    <w:rsid w:val="00DF0152"/>
    <w:rsid w:val="00DF64D8"/>
    <w:rsid w:val="00E10FA5"/>
    <w:rsid w:val="00E2087B"/>
    <w:rsid w:val="00E619F6"/>
    <w:rsid w:val="00E75A0B"/>
    <w:rsid w:val="00E84C65"/>
    <w:rsid w:val="00E9323F"/>
    <w:rsid w:val="00E94204"/>
    <w:rsid w:val="00EA0A42"/>
    <w:rsid w:val="00EB1564"/>
    <w:rsid w:val="00EB55FB"/>
    <w:rsid w:val="00EC704F"/>
    <w:rsid w:val="00ED03AC"/>
    <w:rsid w:val="00EF128D"/>
    <w:rsid w:val="00F12AE4"/>
    <w:rsid w:val="00F35040"/>
    <w:rsid w:val="00F46E5D"/>
    <w:rsid w:val="00F500CE"/>
    <w:rsid w:val="00F70700"/>
    <w:rsid w:val="00F72191"/>
    <w:rsid w:val="00F72950"/>
    <w:rsid w:val="00F80FA0"/>
    <w:rsid w:val="00F868CA"/>
    <w:rsid w:val="00F94080"/>
    <w:rsid w:val="00F946B6"/>
    <w:rsid w:val="00F9528C"/>
    <w:rsid w:val="00FA4F3B"/>
    <w:rsid w:val="00FB27E0"/>
    <w:rsid w:val="00FD08E0"/>
    <w:rsid w:val="00FD22CA"/>
    <w:rsid w:val="00FD48BD"/>
    <w:rsid w:val="00FE4E5D"/>
    <w:rsid w:val="00FE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B0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B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28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28C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7070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707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070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70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00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4D3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D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4D3B"/>
    <w:rPr>
      <w:vertAlign w:val="superscript"/>
    </w:rPr>
  </w:style>
  <w:style w:type="paragraph" w:customStyle="1" w:styleId="bodytext">
    <w:name w:val="bodytext"/>
    <w:basedOn w:val="Normalny"/>
    <w:rsid w:val="0064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A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qFormat/>
    <w:rsid w:val="005A5A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31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313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3138"/>
    <w:rPr>
      <w:vertAlign w:val="superscript"/>
    </w:rPr>
  </w:style>
  <w:style w:type="paragraph" w:styleId="Poprawka">
    <w:name w:val="Revision"/>
    <w:hidden/>
    <w:uiPriority w:val="99"/>
    <w:semiHidden/>
    <w:rsid w:val="00D313AC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6EC8-3A4C-4D58-9F0A-C6BC4436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2215</Words>
  <Characters>13295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Pomianek Bogdan</dc:creator>
  <cp:lastModifiedBy>AK</cp:lastModifiedBy>
  <cp:revision>2</cp:revision>
  <dcterms:created xsi:type="dcterms:W3CDTF">2020-12-18T07:17:00Z</dcterms:created>
  <dcterms:modified xsi:type="dcterms:W3CDTF">2020-12-18T07:17:00Z</dcterms:modified>
</cp:coreProperties>
</file>