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9F3D" w14:textId="766ACB95" w:rsidR="00C4479F" w:rsidRDefault="007538E1" w:rsidP="002C5F2B">
      <w:pPr>
        <w:spacing w:before="120" w:after="0" w:line="276" w:lineRule="auto"/>
        <w:jc w:val="center"/>
        <w:rPr>
          <w:rFonts w:ascii="Lato" w:hAnsi="Lato"/>
          <w:b/>
          <w:bCs/>
        </w:rPr>
      </w:pPr>
      <w:r w:rsidRPr="00F17697">
        <w:rPr>
          <w:rFonts w:ascii="Lato" w:hAnsi="Lato"/>
          <w:b/>
          <w:bCs/>
        </w:rPr>
        <w:t>Udział</w:t>
      </w:r>
      <w:r w:rsidR="002D63B6" w:rsidRPr="00F17697">
        <w:rPr>
          <w:rFonts w:ascii="Lato" w:hAnsi="Lato"/>
          <w:b/>
          <w:bCs/>
        </w:rPr>
        <w:t xml:space="preserve"> wykonawców </w:t>
      </w:r>
      <w:r w:rsidRPr="00F17697">
        <w:rPr>
          <w:rFonts w:ascii="Lato" w:hAnsi="Lato"/>
          <w:b/>
          <w:bCs/>
        </w:rPr>
        <w:t>z państw trzecich w świetle w</w:t>
      </w:r>
      <w:r w:rsidR="00C4479F" w:rsidRPr="00F17697">
        <w:rPr>
          <w:rFonts w:ascii="Lato" w:hAnsi="Lato"/>
          <w:b/>
          <w:bCs/>
        </w:rPr>
        <w:t xml:space="preserve">yroku </w:t>
      </w:r>
      <w:r w:rsidR="00AB7237">
        <w:rPr>
          <w:rFonts w:ascii="Lato" w:hAnsi="Lato"/>
          <w:b/>
          <w:bCs/>
        </w:rPr>
        <w:t xml:space="preserve">TSUE </w:t>
      </w:r>
      <w:r w:rsidR="00C4479F" w:rsidRPr="00F17697">
        <w:rPr>
          <w:rFonts w:ascii="Lato" w:hAnsi="Lato"/>
          <w:b/>
          <w:bCs/>
        </w:rPr>
        <w:t>w sprawie C-652/22</w:t>
      </w:r>
    </w:p>
    <w:p w14:paraId="1ADEFC82" w14:textId="77777777" w:rsidR="00F17697" w:rsidRPr="00F17697" w:rsidRDefault="00F17697" w:rsidP="002C5F2B">
      <w:pPr>
        <w:spacing w:before="120" w:after="0" w:line="276" w:lineRule="auto"/>
        <w:jc w:val="center"/>
        <w:rPr>
          <w:rFonts w:ascii="Lato" w:hAnsi="Lato"/>
          <w:b/>
          <w:bCs/>
        </w:rPr>
      </w:pPr>
    </w:p>
    <w:p w14:paraId="23B211CA" w14:textId="7CE335CB" w:rsidR="00CD3704" w:rsidRPr="004D241E" w:rsidRDefault="000C556F" w:rsidP="002C5F2B">
      <w:pPr>
        <w:spacing w:before="120" w:after="0"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W wyroku z dnia 22 października 2024 r. w sprawie C-652/22 </w:t>
      </w:r>
      <w:r w:rsidRPr="004D241E">
        <w:rPr>
          <w:rFonts w:ascii="Lato" w:hAnsi="Lato"/>
          <w:i/>
          <w:iCs/>
        </w:rPr>
        <w:t xml:space="preserve">Kolin </w:t>
      </w:r>
      <w:proofErr w:type="spellStart"/>
      <w:r w:rsidRPr="004D241E">
        <w:rPr>
          <w:rFonts w:ascii="Lato" w:hAnsi="Lato"/>
          <w:i/>
          <w:iCs/>
        </w:rPr>
        <w:t>Inşaat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Turizm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Sanayi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ve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Ticaret</w:t>
      </w:r>
      <w:proofErr w:type="spellEnd"/>
      <w:r w:rsidRPr="004D241E">
        <w:rPr>
          <w:rFonts w:ascii="Lato" w:hAnsi="Lato"/>
          <w:i/>
          <w:iCs/>
        </w:rPr>
        <w:t xml:space="preserve"> AȘ przeciwko </w:t>
      </w:r>
      <w:proofErr w:type="spellStart"/>
      <w:r w:rsidRPr="004D241E">
        <w:rPr>
          <w:rFonts w:ascii="Lato" w:hAnsi="Lato"/>
          <w:i/>
          <w:iCs/>
        </w:rPr>
        <w:t>Državna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komisija</w:t>
      </w:r>
      <w:proofErr w:type="spellEnd"/>
      <w:r w:rsidRPr="004D241E">
        <w:rPr>
          <w:rFonts w:ascii="Lato" w:hAnsi="Lato"/>
          <w:i/>
          <w:iCs/>
        </w:rPr>
        <w:t xml:space="preserve"> za </w:t>
      </w:r>
      <w:proofErr w:type="spellStart"/>
      <w:r w:rsidRPr="004D241E">
        <w:rPr>
          <w:rFonts w:ascii="Lato" w:hAnsi="Lato"/>
          <w:i/>
          <w:iCs/>
        </w:rPr>
        <w:t>kontrolu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postupaka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javne</w:t>
      </w:r>
      <w:proofErr w:type="spellEnd"/>
      <w:r w:rsidRPr="004D241E">
        <w:rPr>
          <w:rFonts w:ascii="Lato" w:hAnsi="Lato"/>
          <w:i/>
          <w:iCs/>
        </w:rPr>
        <w:t xml:space="preserve"> </w:t>
      </w:r>
      <w:proofErr w:type="spellStart"/>
      <w:r w:rsidRPr="004D241E">
        <w:rPr>
          <w:rFonts w:ascii="Lato" w:hAnsi="Lato"/>
          <w:i/>
          <w:iCs/>
        </w:rPr>
        <w:t>nabave</w:t>
      </w:r>
      <w:proofErr w:type="spellEnd"/>
      <w:r w:rsidRPr="004D241E">
        <w:rPr>
          <w:rFonts w:ascii="Lato" w:hAnsi="Lato"/>
        </w:rPr>
        <w:t>,</w:t>
      </w:r>
      <w:r w:rsidR="00A71051" w:rsidRPr="004D241E">
        <w:rPr>
          <w:rFonts w:ascii="Lato" w:hAnsi="Lato"/>
        </w:rPr>
        <w:t xml:space="preserve"> </w:t>
      </w:r>
      <w:r w:rsidRPr="004D241E">
        <w:rPr>
          <w:rFonts w:ascii="Lato" w:hAnsi="Lato"/>
        </w:rPr>
        <w:t xml:space="preserve">ECLI:EU:C:2024:910, Trybunał Sprawiedliwości Unii Europejskiej </w:t>
      </w:r>
      <w:r w:rsidR="00CD3704" w:rsidRPr="004D241E">
        <w:rPr>
          <w:rFonts w:ascii="Lato" w:hAnsi="Lato"/>
        </w:rPr>
        <w:t xml:space="preserve">udzielił negatywnej odpowiedzi na pytanie, czy </w:t>
      </w:r>
      <w:r w:rsidR="00D9077A" w:rsidRPr="004D241E">
        <w:rPr>
          <w:rFonts w:ascii="Lato" w:hAnsi="Lato"/>
        </w:rPr>
        <w:t>odwołanie</w:t>
      </w:r>
      <w:r w:rsidR="00CD3704" w:rsidRPr="004D241E">
        <w:rPr>
          <w:rFonts w:ascii="Lato" w:hAnsi="Lato"/>
        </w:rPr>
        <w:t xml:space="preserve"> </w:t>
      </w:r>
      <w:r w:rsidR="00D9077A" w:rsidRPr="004D241E">
        <w:rPr>
          <w:rFonts w:ascii="Lato" w:hAnsi="Lato"/>
        </w:rPr>
        <w:t xml:space="preserve">od decyzji o udzieleniu zamówienia publicznego wniesione do sądu państwa członkowskiego </w:t>
      </w:r>
      <w:r w:rsidR="00CD3704" w:rsidRPr="004D241E">
        <w:rPr>
          <w:rFonts w:ascii="Lato" w:hAnsi="Lato"/>
        </w:rPr>
        <w:t>przez wykonawcę z państwa trzeciego</w:t>
      </w:r>
      <w:bookmarkStart w:id="0" w:name="_Hlk181956084"/>
      <w:r w:rsidR="00CD3704" w:rsidRPr="004D241E">
        <w:rPr>
          <w:rFonts w:ascii="Lato" w:hAnsi="Lato"/>
        </w:rPr>
        <w:t xml:space="preserve">, z którym Unia Europejska nie jest związana żadną umową międzynarodową gwarantującą na zasadzie wzajemności i równości dostęp do </w:t>
      </w:r>
      <w:r w:rsidR="00C17CDE" w:rsidRPr="004D241E">
        <w:rPr>
          <w:rFonts w:ascii="Lato" w:hAnsi="Lato"/>
        </w:rPr>
        <w:t xml:space="preserve">rynku </w:t>
      </w:r>
      <w:r w:rsidR="00CD3704" w:rsidRPr="004D241E">
        <w:rPr>
          <w:rFonts w:ascii="Lato" w:hAnsi="Lato"/>
        </w:rPr>
        <w:t>zamówień publicznych</w:t>
      </w:r>
      <w:bookmarkEnd w:id="0"/>
      <w:r w:rsidR="00CD3704" w:rsidRPr="004D241E">
        <w:rPr>
          <w:rFonts w:ascii="Lato" w:hAnsi="Lato"/>
        </w:rPr>
        <w:t xml:space="preserve">, może zostać </w:t>
      </w:r>
      <w:r w:rsidR="00C17CDE" w:rsidRPr="004D241E">
        <w:rPr>
          <w:rFonts w:ascii="Lato" w:hAnsi="Lato"/>
        </w:rPr>
        <w:t>rozpatrzone</w:t>
      </w:r>
      <w:r w:rsidR="00CD3704" w:rsidRPr="004D241E">
        <w:rPr>
          <w:rFonts w:ascii="Lato" w:hAnsi="Lato"/>
        </w:rPr>
        <w:t xml:space="preserve"> w świetle unijnych regulacji w dziedzinie zamówień publicznych.</w:t>
      </w:r>
      <w:r w:rsidR="00D9077A" w:rsidRPr="004D241E">
        <w:rPr>
          <w:rFonts w:ascii="Lato" w:hAnsi="Lato"/>
        </w:rPr>
        <w:t xml:space="preserve"> W ocenie Trybunału </w:t>
      </w:r>
      <w:r w:rsidR="00C17CDE" w:rsidRPr="004D241E">
        <w:rPr>
          <w:rFonts w:ascii="Lato" w:hAnsi="Lato"/>
        </w:rPr>
        <w:t>odwołanie wniesione przez takiego wykonawcę może być rozpatrywane wyłącznie w świetle prawa krajowego.</w:t>
      </w:r>
    </w:p>
    <w:p w14:paraId="49DF9CE3" w14:textId="4EA5CD7B" w:rsidR="00980B50" w:rsidRPr="004D241E" w:rsidRDefault="00955731" w:rsidP="002C5F2B">
      <w:pPr>
        <w:spacing w:before="120" w:after="0"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W omawianym wyroku </w:t>
      </w:r>
      <w:bookmarkStart w:id="1" w:name="_Hlk181792856"/>
      <w:r w:rsidRPr="004D241E">
        <w:rPr>
          <w:rFonts w:ascii="Lato" w:hAnsi="Lato"/>
        </w:rPr>
        <w:t xml:space="preserve">Trybunał </w:t>
      </w:r>
      <w:bookmarkEnd w:id="1"/>
      <w:r w:rsidRPr="004D241E">
        <w:rPr>
          <w:rFonts w:ascii="Lato" w:hAnsi="Lato"/>
        </w:rPr>
        <w:t xml:space="preserve">przypomniał, że </w:t>
      </w:r>
      <w:r w:rsidR="000C556F" w:rsidRPr="004D241E">
        <w:rPr>
          <w:rFonts w:ascii="Lato" w:hAnsi="Lato"/>
        </w:rPr>
        <w:t>wykonawcy z państw trzecich</w:t>
      </w:r>
      <w:r w:rsidR="00C17CDE" w:rsidRPr="004D241E">
        <w:rPr>
          <w:rFonts w:ascii="Lato" w:hAnsi="Lato"/>
        </w:rPr>
        <w:t>, z którymi Unia Europejska nie jest związana żadną umową międzynarodową gwarantującą na zasadzie wzajemności i równości dostęp do rynku zamówień publicznych,</w:t>
      </w:r>
      <w:r w:rsidRPr="004D241E">
        <w:rPr>
          <w:rFonts w:ascii="Lato" w:hAnsi="Lato"/>
        </w:rPr>
        <w:t xml:space="preserve"> nie mają zapewnionego dostępu do unijnego rynku zamówień</w:t>
      </w:r>
      <w:r w:rsidR="0008650C" w:rsidRPr="004D241E">
        <w:rPr>
          <w:rFonts w:ascii="Lato" w:hAnsi="Lato"/>
        </w:rPr>
        <w:t xml:space="preserve"> publicznych. </w:t>
      </w:r>
      <w:r w:rsidR="00217DE5" w:rsidRPr="004D241E">
        <w:rPr>
          <w:rFonts w:ascii="Lato" w:hAnsi="Lato"/>
        </w:rPr>
        <w:t xml:space="preserve">Trybunał zarazem zaznaczył, że dostęp do rynku zamówień publicznych państw członkowskich, jako element wspólnej polityki handlowej, pozostaje w zakresie wyłącznej kompetencji Unii Europejskiej. </w:t>
      </w:r>
      <w:r w:rsidR="0062155E" w:rsidRPr="004D241E">
        <w:rPr>
          <w:rFonts w:ascii="Lato" w:hAnsi="Lato"/>
        </w:rPr>
        <w:t>Za</w:t>
      </w:r>
      <w:r w:rsidR="00217DE5" w:rsidRPr="004D241E">
        <w:rPr>
          <w:rFonts w:ascii="Lato" w:hAnsi="Lato"/>
        </w:rPr>
        <w:t xml:space="preserve">tem </w:t>
      </w:r>
      <w:r w:rsidR="0062155E" w:rsidRPr="004D241E">
        <w:rPr>
          <w:rFonts w:ascii="Lato" w:hAnsi="Lato"/>
        </w:rPr>
        <w:t xml:space="preserve">państwa członkowskie nie są uprawnione do </w:t>
      </w:r>
      <w:r w:rsidR="00E5745C" w:rsidRPr="004D241E">
        <w:rPr>
          <w:rFonts w:ascii="Lato" w:hAnsi="Lato"/>
        </w:rPr>
        <w:t xml:space="preserve">jednostronnego </w:t>
      </w:r>
      <w:r w:rsidR="0062155E" w:rsidRPr="004D241E">
        <w:rPr>
          <w:rFonts w:ascii="Lato" w:hAnsi="Lato"/>
        </w:rPr>
        <w:t>p</w:t>
      </w:r>
      <w:r w:rsidR="00E5745C" w:rsidRPr="004D241E">
        <w:rPr>
          <w:rFonts w:ascii="Lato" w:hAnsi="Lato"/>
        </w:rPr>
        <w:t>rzy</w:t>
      </w:r>
      <w:r w:rsidR="00F23BD3" w:rsidRPr="004D241E">
        <w:rPr>
          <w:rFonts w:ascii="Lato" w:hAnsi="Lato"/>
        </w:rPr>
        <w:t>jmowania</w:t>
      </w:r>
      <w:r w:rsidR="00E5745C" w:rsidRPr="004D241E">
        <w:rPr>
          <w:rFonts w:ascii="Lato" w:hAnsi="Lato"/>
        </w:rPr>
        <w:t xml:space="preserve"> aktów o charakterze generalnym </w:t>
      </w:r>
      <w:r w:rsidR="0055459F" w:rsidRPr="004D241E">
        <w:rPr>
          <w:rFonts w:ascii="Lato" w:hAnsi="Lato"/>
        </w:rPr>
        <w:t xml:space="preserve">gwarantujących </w:t>
      </w:r>
      <w:r w:rsidR="00C67995" w:rsidRPr="004D241E">
        <w:rPr>
          <w:rFonts w:ascii="Lato" w:hAnsi="Lato"/>
        </w:rPr>
        <w:t xml:space="preserve">takim </w:t>
      </w:r>
      <w:r w:rsidR="0003468E" w:rsidRPr="004D241E">
        <w:rPr>
          <w:rFonts w:ascii="Lato" w:hAnsi="Lato"/>
        </w:rPr>
        <w:t xml:space="preserve">wykonawcom dostęp do krajowego </w:t>
      </w:r>
      <w:r w:rsidR="00A0208C" w:rsidRPr="004D241E">
        <w:rPr>
          <w:rFonts w:ascii="Lato" w:hAnsi="Lato"/>
        </w:rPr>
        <w:t xml:space="preserve">rynku zamówień publicznych. </w:t>
      </w:r>
    </w:p>
    <w:p w14:paraId="789B073A" w14:textId="1291AF7D" w:rsidR="000C556F" w:rsidRPr="004D241E" w:rsidRDefault="00217DE5" w:rsidP="002C5F2B">
      <w:pPr>
        <w:spacing w:before="120" w:after="0"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t>Z wyroku Trybunału nie wynika jednak</w:t>
      </w:r>
      <w:r w:rsidR="000C556F" w:rsidRPr="004D241E">
        <w:rPr>
          <w:rFonts w:ascii="Lato" w:hAnsi="Lato"/>
        </w:rPr>
        <w:t>, że</w:t>
      </w:r>
      <w:r w:rsidR="0008650C" w:rsidRPr="004D241E">
        <w:rPr>
          <w:rFonts w:ascii="Lato" w:hAnsi="Lato"/>
        </w:rPr>
        <w:t xml:space="preserve"> </w:t>
      </w:r>
      <w:r w:rsidR="000C556F" w:rsidRPr="004D241E">
        <w:rPr>
          <w:rFonts w:ascii="Lato" w:hAnsi="Lato"/>
        </w:rPr>
        <w:t xml:space="preserve">wykonawcy </w:t>
      </w:r>
      <w:r w:rsidR="00C67995" w:rsidRPr="004D241E">
        <w:rPr>
          <w:rFonts w:ascii="Lato" w:hAnsi="Lato"/>
        </w:rPr>
        <w:t xml:space="preserve">z państw trzecich, z którymi Unia Europejska nie jest związana żadną umową międzynarodową gwarantującą na zasadzie wzajemności i równości dostęp do rynku zamówień publicznych, </w:t>
      </w:r>
      <w:r w:rsidR="00E65DE1" w:rsidRPr="004D241E">
        <w:rPr>
          <w:rFonts w:ascii="Lato" w:hAnsi="Lato"/>
        </w:rPr>
        <w:t xml:space="preserve">nie mogą </w:t>
      </w:r>
      <w:r w:rsidR="00384073" w:rsidRPr="004D241E">
        <w:rPr>
          <w:rFonts w:ascii="Lato" w:hAnsi="Lato"/>
        </w:rPr>
        <w:t xml:space="preserve">ubiegać się o zamówienia publiczne </w:t>
      </w:r>
      <w:r w:rsidR="00E65DE1" w:rsidRPr="004D241E">
        <w:rPr>
          <w:rFonts w:ascii="Lato" w:hAnsi="Lato"/>
        </w:rPr>
        <w:t>w Unii Europejskiej</w:t>
      </w:r>
      <w:r w:rsidR="002546CC" w:rsidRPr="004D241E">
        <w:rPr>
          <w:rFonts w:ascii="Lato" w:hAnsi="Lato"/>
        </w:rPr>
        <w:t>.</w:t>
      </w:r>
      <w:r w:rsidR="00696D5A" w:rsidRPr="004D241E">
        <w:rPr>
          <w:rFonts w:ascii="Lato" w:hAnsi="Lato"/>
        </w:rPr>
        <w:t xml:space="preserve"> Inaczej mogłoby być jedynie w sytuacji, gdyby Unia Europejska </w:t>
      </w:r>
      <w:r w:rsidR="00562AD7" w:rsidRPr="004D241E">
        <w:rPr>
          <w:rFonts w:ascii="Lato" w:hAnsi="Lato"/>
        </w:rPr>
        <w:t>przyjęła</w:t>
      </w:r>
      <w:r w:rsidR="009475E4" w:rsidRPr="004D241E">
        <w:rPr>
          <w:rFonts w:ascii="Lato" w:hAnsi="Lato"/>
        </w:rPr>
        <w:t xml:space="preserve"> środki pozbawiające</w:t>
      </w:r>
      <w:r w:rsidR="00562AD7" w:rsidRPr="004D241E">
        <w:rPr>
          <w:rFonts w:ascii="Lato" w:hAnsi="Lato"/>
        </w:rPr>
        <w:t xml:space="preserve"> wykonawców </w:t>
      </w:r>
      <w:r w:rsidR="005771C3" w:rsidRPr="004D241E">
        <w:rPr>
          <w:rFonts w:ascii="Lato" w:hAnsi="Lato"/>
        </w:rPr>
        <w:t>z państw trzecich</w:t>
      </w:r>
      <w:r w:rsidR="00442367" w:rsidRPr="004D241E">
        <w:rPr>
          <w:rFonts w:ascii="Lato" w:hAnsi="Lato"/>
        </w:rPr>
        <w:t xml:space="preserve"> takiej możliwości</w:t>
      </w:r>
      <w:r w:rsidR="00B010FA" w:rsidRPr="004D241E">
        <w:rPr>
          <w:rFonts w:ascii="Lato" w:hAnsi="Lato"/>
        </w:rPr>
        <w:t>.</w:t>
      </w:r>
      <w:r w:rsidR="00F02C89" w:rsidRPr="004D241E">
        <w:rPr>
          <w:rFonts w:ascii="Lato" w:hAnsi="Lato"/>
        </w:rPr>
        <w:t xml:space="preserve"> Może to mieć miejsce</w:t>
      </w:r>
      <w:r w:rsidR="003629C6" w:rsidRPr="004D241E">
        <w:rPr>
          <w:rFonts w:ascii="Lato" w:hAnsi="Lato"/>
        </w:rPr>
        <w:t>, tytułem przykładu,</w:t>
      </w:r>
      <w:r w:rsidR="00F02C89" w:rsidRPr="004D241E">
        <w:rPr>
          <w:rFonts w:ascii="Lato" w:hAnsi="Lato"/>
        </w:rPr>
        <w:t xml:space="preserve"> </w:t>
      </w:r>
      <w:r w:rsidR="0013373C" w:rsidRPr="004D241E">
        <w:rPr>
          <w:rFonts w:ascii="Lato" w:hAnsi="Lato"/>
        </w:rPr>
        <w:t xml:space="preserve">na </w:t>
      </w:r>
      <w:r w:rsidR="005D3F60" w:rsidRPr="004D241E">
        <w:rPr>
          <w:rFonts w:ascii="Lato" w:hAnsi="Lato"/>
        </w:rPr>
        <w:t>podstawie</w:t>
      </w:r>
      <w:r w:rsidR="0013373C" w:rsidRPr="004D241E">
        <w:rPr>
          <w:rFonts w:ascii="Lato" w:hAnsi="Lato"/>
        </w:rPr>
        <w:t xml:space="preserve"> przepisów</w:t>
      </w:r>
      <w:r w:rsidR="003629C6" w:rsidRPr="004D241E">
        <w:rPr>
          <w:rFonts w:ascii="Lato" w:hAnsi="Lato"/>
        </w:rPr>
        <w:t xml:space="preserve"> rozporządzenia</w:t>
      </w:r>
      <w:r w:rsidR="003E03D7" w:rsidRPr="004D241E">
        <w:rPr>
          <w:rFonts w:ascii="Lato" w:hAnsi="Lato"/>
        </w:rPr>
        <w:t xml:space="preserve"> IZM, tj. </w:t>
      </w:r>
      <w:r w:rsidR="00DF7C3F" w:rsidRPr="004D241E">
        <w:rPr>
          <w:rFonts w:ascii="Lato" w:hAnsi="Lato"/>
        </w:rPr>
        <w:t xml:space="preserve">rozporządzenia Parlamentu Europejskiego i Rady (UE) 2022/1031 z dnia 23 czerwca 2022 r. w sprawie dostępu wykonawców, towarów i usług z państw trzecich do unijnych rynków zamówień publicznych i koncesji oraz procedur wspierających negocjacje dotyczące dostępu unijnych wykonawców, towarów i usług do rynków zamówień publicznych i koncesji państw trzecich (Instrument Zamówień Międzynarodowych – IZM) (Dz. Urz. UE nr </w:t>
      </w:r>
      <w:r w:rsidR="00BC5D4E" w:rsidRPr="004D241E">
        <w:rPr>
          <w:rFonts w:ascii="Lato" w:hAnsi="Lato"/>
        </w:rPr>
        <w:t>L 173 z 30.6.2023, str. 1)</w:t>
      </w:r>
      <w:r w:rsidR="00BA31F1" w:rsidRPr="004D241E">
        <w:rPr>
          <w:rFonts w:ascii="Lato" w:hAnsi="Lato"/>
        </w:rPr>
        <w:t xml:space="preserve"> lub na podstawie </w:t>
      </w:r>
      <w:r w:rsidR="00EA2316" w:rsidRPr="004D241E">
        <w:rPr>
          <w:rFonts w:ascii="Lato" w:hAnsi="Lato"/>
        </w:rPr>
        <w:t xml:space="preserve">art. 86 ust. 5 dyrektywy </w:t>
      </w:r>
      <w:r w:rsidR="006950AD" w:rsidRPr="004D241E">
        <w:rPr>
          <w:rFonts w:ascii="Lato" w:hAnsi="Lato"/>
        </w:rPr>
        <w:t>Parlamentu Europejskiego i Rady 2014/25/UE z dnia 26 lutego 2014 r. w sprawie udzielania zamówień przez podmioty działające w sektorach gospodarki wodnej, energetyki, transportu i usług pocztowych, uchylająca dyrektywę 2004/17/WE (Dz. Urz. UE L 94 z 28.3.2014, str. 243)</w:t>
      </w:r>
      <w:r w:rsidR="00BC5D4E" w:rsidRPr="004D241E">
        <w:rPr>
          <w:rFonts w:ascii="Lato" w:hAnsi="Lato"/>
        </w:rPr>
        <w:t>.</w:t>
      </w:r>
    </w:p>
    <w:p w14:paraId="0D17A669" w14:textId="4AC404D2" w:rsidR="000C556F" w:rsidRPr="004D241E" w:rsidRDefault="00117CAC" w:rsidP="002C5F2B">
      <w:pPr>
        <w:spacing w:before="120" w:after="0"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t>W konsekwencji</w:t>
      </w:r>
      <w:r w:rsidR="005C6B8A" w:rsidRPr="004D241E">
        <w:rPr>
          <w:rFonts w:ascii="Lato" w:hAnsi="Lato"/>
        </w:rPr>
        <w:t>,</w:t>
      </w:r>
      <w:r w:rsidR="00EE7A39" w:rsidRPr="004D241E">
        <w:rPr>
          <w:rFonts w:ascii="Lato" w:hAnsi="Lato"/>
        </w:rPr>
        <w:t xml:space="preserve"> </w:t>
      </w:r>
      <w:r w:rsidRPr="004D241E">
        <w:rPr>
          <w:rFonts w:ascii="Lato" w:hAnsi="Lato"/>
        </w:rPr>
        <w:t>w</w:t>
      </w:r>
      <w:r w:rsidR="0008650C" w:rsidRPr="004D241E">
        <w:rPr>
          <w:rFonts w:ascii="Lato" w:hAnsi="Lato"/>
        </w:rPr>
        <w:t>ykonawcy z państw trzecich, z którymi Unia Europejska nie jest związana żadną umową międzynarodową gwarantującą na zasadzie wzajemności i równości dostęp do rynku zamówień publicznych,</w:t>
      </w:r>
      <w:r w:rsidR="00BC344B" w:rsidRPr="004D241E">
        <w:rPr>
          <w:rFonts w:ascii="Lato" w:hAnsi="Lato"/>
        </w:rPr>
        <w:t xml:space="preserve"> co do zasady,</w:t>
      </w:r>
      <w:r w:rsidR="00EE7A39" w:rsidRPr="004D241E">
        <w:rPr>
          <w:rFonts w:ascii="Lato" w:hAnsi="Lato"/>
        </w:rPr>
        <w:t xml:space="preserve"> </w:t>
      </w:r>
      <w:r w:rsidR="00FC442A" w:rsidRPr="004D241E">
        <w:rPr>
          <w:rFonts w:ascii="Lato" w:hAnsi="Lato"/>
        </w:rPr>
        <w:t>mogą ubiegać się o udzielenie</w:t>
      </w:r>
      <w:r w:rsidR="004D6C40" w:rsidRPr="004D241E">
        <w:rPr>
          <w:rFonts w:ascii="Lato" w:hAnsi="Lato"/>
        </w:rPr>
        <w:t xml:space="preserve"> zamówieni</w:t>
      </w:r>
      <w:r w:rsidR="008352BE" w:rsidRPr="004D241E">
        <w:rPr>
          <w:rFonts w:ascii="Lato" w:hAnsi="Lato"/>
        </w:rPr>
        <w:t>a</w:t>
      </w:r>
      <w:r w:rsidR="004D6C40" w:rsidRPr="004D241E">
        <w:rPr>
          <w:rFonts w:ascii="Lato" w:hAnsi="Lato"/>
        </w:rPr>
        <w:t xml:space="preserve"> </w:t>
      </w:r>
      <w:r w:rsidR="008352BE" w:rsidRPr="004D241E">
        <w:rPr>
          <w:rFonts w:ascii="Lato" w:hAnsi="Lato"/>
        </w:rPr>
        <w:t xml:space="preserve">publicznego </w:t>
      </w:r>
      <w:r w:rsidR="004D6C40" w:rsidRPr="004D241E">
        <w:rPr>
          <w:rFonts w:ascii="Lato" w:hAnsi="Lato"/>
        </w:rPr>
        <w:t>w państwach członkowskich Unii Europejskiej</w:t>
      </w:r>
      <w:r w:rsidR="00EE7A39" w:rsidRPr="004D241E">
        <w:rPr>
          <w:rFonts w:ascii="Lato" w:hAnsi="Lato"/>
        </w:rPr>
        <w:t xml:space="preserve">, </w:t>
      </w:r>
      <w:r w:rsidR="00783F89">
        <w:rPr>
          <w:rFonts w:ascii="Lato" w:hAnsi="Lato"/>
        </w:rPr>
        <w:t>z tym</w:t>
      </w:r>
      <w:r w:rsidR="00815D12" w:rsidRPr="004D241E">
        <w:rPr>
          <w:rFonts w:ascii="Lato" w:hAnsi="Lato"/>
        </w:rPr>
        <w:t>,</w:t>
      </w:r>
      <w:r w:rsidR="00EE7A39" w:rsidRPr="004D241E">
        <w:rPr>
          <w:rFonts w:ascii="Lato" w:hAnsi="Lato"/>
        </w:rPr>
        <w:t xml:space="preserve"> że decyzja o dopuszczeniu takich wykonawców do udziału w postępowaniu o udzielenie zamówienia pozostaje w gestii zamawiającego.</w:t>
      </w:r>
    </w:p>
    <w:p w14:paraId="2439C510" w14:textId="71388EF1" w:rsidR="003719AE" w:rsidRDefault="00B12608" w:rsidP="002C5F2B">
      <w:pPr>
        <w:spacing w:before="120" w:after="0"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Zamawiający </w:t>
      </w:r>
      <w:r w:rsidR="00DD6575">
        <w:rPr>
          <w:rFonts w:ascii="Lato" w:hAnsi="Lato"/>
        </w:rPr>
        <w:t>dokonuje</w:t>
      </w:r>
      <w:r w:rsidRPr="004D241E">
        <w:rPr>
          <w:rFonts w:ascii="Lato" w:hAnsi="Lato"/>
        </w:rPr>
        <w:t xml:space="preserve"> zatem</w:t>
      </w:r>
      <w:r w:rsidR="00DD6575">
        <w:rPr>
          <w:rFonts w:ascii="Lato" w:hAnsi="Lato"/>
        </w:rPr>
        <w:t xml:space="preserve"> oceny</w:t>
      </w:r>
      <w:r w:rsidR="006D61FB" w:rsidRPr="004D241E">
        <w:rPr>
          <w:rFonts w:ascii="Lato" w:hAnsi="Lato"/>
        </w:rPr>
        <w:t xml:space="preserve">, czy o udzielenie </w:t>
      </w:r>
      <w:r w:rsidR="0039278B" w:rsidRPr="004D241E">
        <w:rPr>
          <w:rFonts w:ascii="Lato" w:hAnsi="Lato"/>
        </w:rPr>
        <w:t xml:space="preserve">danego </w:t>
      </w:r>
      <w:r w:rsidR="006D61FB" w:rsidRPr="004D241E">
        <w:rPr>
          <w:rFonts w:ascii="Lato" w:hAnsi="Lato"/>
        </w:rPr>
        <w:t>zamówienia</w:t>
      </w:r>
      <w:r w:rsidR="003178C8" w:rsidRPr="004D241E">
        <w:rPr>
          <w:rFonts w:ascii="Lato" w:hAnsi="Lato"/>
        </w:rPr>
        <w:t xml:space="preserve"> publicznego</w:t>
      </w:r>
      <w:r w:rsidR="006D61FB" w:rsidRPr="004D241E">
        <w:rPr>
          <w:rFonts w:ascii="Lato" w:hAnsi="Lato"/>
        </w:rPr>
        <w:t xml:space="preserve"> mogą </w:t>
      </w:r>
      <w:r w:rsidR="0039278B" w:rsidRPr="004D241E">
        <w:rPr>
          <w:rFonts w:ascii="Lato" w:hAnsi="Lato"/>
        </w:rPr>
        <w:t xml:space="preserve">ubiegać się wykonawcy z państw trzecich, z którymi Unia Europejska nie jest związana żadną umową międzynarodową gwarantującą na zasadzie wzajemności i równości dostęp do rynku </w:t>
      </w:r>
      <w:r w:rsidR="0039278B" w:rsidRPr="004D241E">
        <w:rPr>
          <w:rFonts w:ascii="Lato" w:hAnsi="Lato"/>
        </w:rPr>
        <w:lastRenderedPageBreak/>
        <w:t>zamówień publicznych</w:t>
      </w:r>
      <w:r w:rsidR="002F46B3" w:rsidRPr="004D241E">
        <w:rPr>
          <w:rFonts w:ascii="Lato" w:hAnsi="Lato"/>
        </w:rPr>
        <w:t>, jak również określ</w:t>
      </w:r>
      <w:r w:rsidR="00387D35">
        <w:rPr>
          <w:rFonts w:ascii="Lato" w:hAnsi="Lato"/>
        </w:rPr>
        <w:t>a</w:t>
      </w:r>
      <w:r w:rsidR="002F46B3" w:rsidRPr="004D241E">
        <w:rPr>
          <w:rFonts w:ascii="Lato" w:hAnsi="Lato"/>
        </w:rPr>
        <w:t xml:space="preserve"> warunki, na jakich ci wykonawcy mogą </w:t>
      </w:r>
      <w:r w:rsidR="003178C8" w:rsidRPr="004D241E">
        <w:rPr>
          <w:rFonts w:ascii="Lato" w:hAnsi="Lato"/>
        </w:rPr>
        <w:t>brać udział w postępowaniu o udzielenie zamówienia.</w:t>
      </w:r>
    </w:p>
    <w:p w14:paraId="0F462C89" w14:textId="77777777" w:rsidR="00132D52" w:rsidRPr="004D241E" w:rsidRDefault="00132D52" w:rsidP="002C5F2B">
      <w:pPr>
        <w:spacing w:before="120" w:after="0" w:line="276" w:lineRule="auto"/>
        <w:jc w:val="both"/>
        <w:rPr>
          <w:rFonts w:ascii="Lato" w:hAnsi="Lato"/>
        </w:rPr>
      </w:pPr>
    </w:p>
    <w:p w14:paraId="5929725A" w14:textId="11EFB23F" w:rsidR="0059039D" w:rsidRPr="004D241E" w:rsidRDefault="004A79BD" w:rsidP="002C5F2B">
      <w:pPr>
        <w:spacing w:before="120" w:after="0" w:line="276" w:lineRule="auto"/>
        <w:jc w:val="both"/>
        <w:rPr>
          <w:rFonts w:ascii="Lato" w:hAnsi="Lato"/>
          <w:b/>
          <w:bCs/>
        </w:rPr>
      </w:pPr>
      <w:r w:rsidRPr="004D241E">
        <w:rPr>
          <w:rFonts w:ascii="Lato" w:hAnsi="Lato"/>
          <w:b/>
          <w:bCs/>
        </w:rPr>
        <w:t xml:space="preserve">Najważniejsze </w:t>
      </w:r>
      <w:r w:rsidR="00C51A54" w:rsidRPr="004D241E">
        <w:rPr>
          <w:rFonts w:ascii="Lato" w:hAnsi="Lato"/>
          <w:b/>
          <w:bCs/>
        </w:rPr>
        <w:t>s</w:t>
      </w:r>
      <w:r w:rsidR="00675C0E" w:rsidRPr="004D241E">
        <w:rPr>
          <w:rFonts w:ascii="Lato" w:hAnsi="Lato"/>
          <w:b/>
          <w:bCs/>
        </w:rPr>
        <w:t>kutki</w:t>
      </w:r>
      <w:r w:rsidR="0059039D" w:rsidRPr="004D241E">
        <w:rPr>
          <w:rFonts w:ascii="Lato" w:hAnsi="Lato"/>
          <w:b/>
          <w:bCs/>
        </w:rPr>
        <w:t xml:space="preserve"> wyroku Trybunał</w:t>
      </w:r>
      <w:r w:rsidR="001E4279" w:rsidRPr="004D241E">
        <w:rPr>
          <w:rFonts w:ascii="Lato" w:hAnsi="Lato"/>
          <w:b/>
          <w:bCs/>
        </w:rPr>
        <w:t>u</w:t>
      </w:r>
      <w:r w:rsidR="0059039D" w:rsidRPr="004D241E">
        <w:rPr>
          <w:rFonts w:ascii="Lato" w:hAnsi="Lato"/>
          <w:b/>
          <w:bCs/>
        </w:rPr>
        <w:t xml:space="preserve"> dla post</w:t>
      </w:r>
      <w:r w:rsidR="007E7E43" w:rsidRPr="004D241E">
        <w:rPr>
          <w:rFonts w:ascii="Lato" w:hAnsi="Lato"/>
          <w:b/>
          <w:bCs/>
        </w:rPr>
        <w:t>ę</w:t>
      </w:r>
      <w:r w:rsidR="0059039D" w:rsidRPr="004D241E">
        <w:rPr>
          <w:rFonts w:ascii="Lato" w:hAnsi="Lato"/>
          <w:b/>
          <w:bCs/>
        </w:rPr>
        <w:t>powań prowadzony</w:t>
      </w:r>
      <w:r w:rsidR="007E7E43" w:rsidRPr="004D241E">
        <w:rPr>
          <w:rFonts w:ascii="Lato" w:hAnsi="Lato"/>
          <w:b/>
          <w:bCs/>
        </w:rPr>
        <w:t>ch</w:t>
      </w:r>
      <w:r w:rsidR="0059039D" w:rsidRPr="004D241E">
        <w:rPr>
          <w:rFonts w:ascii="Lato" w:hAnsi="Lato"/>
          <w:b/>
          <w:bCs/>
        </w:rPr>
        <w:t xml:space="preserve"> na podstawie ustawy </w:t>
      </w:r>
      <w:proofErr w:type="spellStart"/>
      <w:r w:rsidR="0059039D" w:rsidRPr="004D241E">
        <w:rPr>
          <w:rFonts w:ascii="Lato" w:hAnsi="Lato"/>
          <w:b/>
          <w:bCs/>
        </w:rPr>
        <w:t>Pzp</w:t>
      </w:r>
      <w:proofErr w:type="spellEnd"/>
      <w:r w:rsidR="0059039D" w:rsidRPr="004D241E">
        <w:rPr>
          <w:rFonts w:ascii="Lato" w:hAnsi="Lato"/>
          <w:b/>
          <w:bCs/>
        </w:rPr>
        <w:t>:</w:t>
      </w:r>
    </w:p>
    <w:p w14:paraId="747B072C" w14:textId="7A982CA0" w:rsidR="005F41E8" w:rsidRPr="004D241E" w:rsidRDefault="0059039D" w:rsidP="002C5F2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Zamawiający </w:t>
      </w:r>
      <w:r w:rsidR="00106196">
        <w:rPr>
          <w:rFonts w:ascii="Lato" w:hAnsi="Lato"/>
        </w:rPr>
        <w:t>w postępowaniu o udzielenie zamówienia publicznego</w:t>
      </w:r>
      <w:r w:rsidR="0006079B">
        <w:rPr>
          <w:rFonts w:ascii="Lato" w:hAnsi="Lato"/>
        </w:rPr>
        <w:t xml:space="preserve"> </w:t>
      </w:r>
      <w:r w:rsidRPr="004D241E">
        <w:rPr>
          <w:rFonts w:ascii="Lato" w:hAnsi="Lato"/>
        </w:rPr>
        <w:t>są uprawnieni do ograniczenia dostępu d</w:t>
      </w:r>
      <w:r w:rsidR="00271EFE" w:rsidRPr="004D241E">
        <w:rPr>
          <w:rFonts w:ascii="Lato" w:hAnsi="Lato"/>
        </w:rPr>
        <w:t>o</w:t>
      </w:r>
      <w:r w:rsidRPr="004D241E">
        <w:rPr>
          <w:rFonts w:ascii="Lato" w:hAnsi="Lato"/>
        </w:rPr>
        <w:t xml:space="preserve"> zamówień wykonawc</w:t>
      </w:r>
      <w:r w:rsidR="005F5543" w:rsidRPr="004D241E">
        <w:rPr>
          <w:rFonts w:ascii="Lato" w:hAnsi="Lato"/>
        </w:rPr>
        <w:t>om z państw trzecich, z którymi Unia Europejska nie jest związana żadną umową międzynarodową gwarantującą na zasadzie wzajemności i równości dostęp do rynku zamówień publicznych</w:t>
      </w:r>
      <w:r w:rsidR="005F41E8" w:rsidRPr="004D241E">
        <w:rPr>
          <w:rFonts w:ascii="Lato" w:hAnsi="Lato"/>
        </w:rPr>
        <w:t xml:space="preserve">. </w:t>
      </w:r>
      <w:r w:rsidR="00E767E1" w:rsidRPr="004D241E">
        <w:rPr>
          <w:rFonts w:ascii="Lato" w:hAnsi="Lato"/>
        </w:rPr>
        <w:t>O</w:t>
      </w:r>
      <w:r w:rsidR="007C314D" w:rsidRPr="004D241E">
        <w:rPr>
          <w:rFonts w:ascii="Lato" w:hAnsi="Lato"/>
        </w:rPr>
        <w:t>graniczenie</w:t>
      </w:r>
      <w:r w:rsidR="00E767E1" w:rsidRPr="004D241E">
        <w:rPr>
          <w:rFonts w:ascii="Lato" w:hAnsi="Lato"/>
        </w:rPr>
        <w:t xml:space="preserve"> to </w:t>
      </w:r>
      <w:r w:rsidR="005B0860" w:rsidRPr="004D241E">
        <w:rPr>
          <w:rFonts w:ascii="Lato" w:hAnsi="Lato"/>
        </w:rPr>
        <w:t xml:space="preserve">może polegać na niedopuszczeniu do udziału w postępowaniu, jak i  </w:t>
      </w:r>
      <w:r w:rsidR="00CB79AB" w:rsidRPr="004D241E">
        <w:rPr>
          <w:rFonts w:ascii="Lato" w:hAnsi="Lato"/>
        </w:rPr>
        <w:t xml:space="preserve">na </w:t>
      </w:r>
      <w:r w:rsidR="00904BE7" w:rsidRPr="004D241E">
        <w:rPr>
          <w:rFonts w:ascii="Lato" w:hAnsi="Lato"/>
        </w:rPr>
        <w:t>zróżnicowani</w:t>
      </w:r>
      <w:r w:rsidR="00CB79AB" w:rsidRPr="004D241E">
        <w:rPr>
          <w:rFonts w:ascii="Lato" w:hAnsi="Lato"/>
        </w:rPr>
        <w:t>u</w:t>
      </w:r>
      <w:r w:rsidR="00CF7B09" w:rsidRPr="004D241E">
        <w:rPr>
          <w:rFonts w:ascii="Lato" w:hAnsi="Lato"/>
        </w:rPr>
        <w:t xml:space="preserve"> </w:t>
      </w:r>
      <w:r w:rsidR="00904BE7" w:rsidRPr="004D241E">
        <w:rPr>
          <w:rFonts w:ascii="Lato" w:hAnsi="Lato"/>
        </w:rPr>
        <w:t>w traktowaniu takiego podmiotu w postępowaniu</w:t>
      </w:r>
      <w:r w:rsidR="00393AA0" w:rsidRPr="004D241E">
        <w:rPr>
          <w:rFonts w:ascii="Lato" w:hAnsi="Lato"/>
        </w:rPr>
        <w:t xml:space="preserve"> o udziel</w:t>
      </w:r>
      <w:r w:rsidR="00CB79AB" w:rsidRPr="004D241E">
        <w:rPr>
          <w:rFonts w:ascii="Lato" w:hAnsi="Lato"/>
        </w:rPr>
        <w:t>e</w:t>
      </w:r>
      <w:r w:rsidR="00393AA0" w:rsidRPr="004D241E">
        <w:rPr>
          <w:rFonts w:ascii="Lato" w:hAnsi="Lato"/>
        </w:rPr>
        <w:t>nie zamówienia</w:t>
      </w:r>
      <w:r w:rsidR="00904BE7" w:rsidRPr="004D241E">
        <w:rPr>
          <w:rFonts w:ascii="Lato" w:hAnsi="Lato"/>
        </w:rPr>
        <w:t xml:space="preserve">. </w:t>
      </w:r>
    </w:p>
    <w:p w14:paraId="159E250F" w14:textId="52E2C1F8" w:rsidR="0059039D" w:rsidRPr="004D241E" w:rsidRDefault="00E77545" w:rsidP="002C5F2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Jeśli zamawiający zdecyduje się na </w:t>
      </w:r>
      <w:r w:rsidR="00116B30" w:rsidRPr="004D241E">
        <w:rPr>
          <w:rFonts w:ascii="Lato" w:hAnsi="Lato"/>
        </w:rPr>
        <w:t xml:space="preserve">ograniczenie dostępu, o którym </w:t>
      </w:r>
      <w:r w:rsidR="003D2572" w:rsidRPr="004D241E">
        <w:rPr>
          <w:rFonts w:ascii="Lato" w:hAnsi="Lato"/>
        </w:rPr>
        <w:t xml:space="preserve">mowa </w:t>
      </w:r>
      <w:r w:rsidR="00116B30" w:rsidRPr="004D241E">
        <w:rPr>
          <w:rFonts w:ascii="Lato" w:hAnsi="Lato"/>
        </w:rPr>
        <w:t>wyżej</w:t>
      </w:r>
      <w:r w:rsidR="003D2572" w:rsidRPr="004D241E">
        <w:rPr>
          <w:rFonts w:ascii="Lato" w:hAnsi="Lato"/>
        </w:rPr>
        <w:t>,</w:t>
      </w:r>
      <w:r w:rsidR="00116B30" w:rsidRPr="004D241E">
        <w:rPr>
          <w:rFonts w:ascii="Lato" w:hAnsi="Lato"/>
        </w:rPr>
        <w:t xml:space="preserve"> </w:t>
      </w:r>
      <w:r w:rsidR="00C46352" w:rsidRPr="004D241E">
        <w:rPr>
          <w:rFonts w:ascii="Lato" w:hAnsi="Lato"/>
        </w:rPr>
        <w:t>po</w:t>
      </w:r>
      <w:r w:rsidR="00FC660B" w:rsidRPr="004D241E">
        <w:rPr>
          <w:rFonts w:ascii="Lato" w:hAnsi="Lato"/>
        </w:rPr>
        <w:t>winien</w:t>
      </w:r>
      <w:r w:rsidR="00C46352" w:rsidRPr="004D241E">
        <w:rPr>
          <w:rFonts w:ascii="Lato" w:hAnsi="Lato"/>
        </w:rPr>
        <w:t xml:space="preserve"> </w:t>
      </w:r>
      <w:r w:rsidR="0059039D" w:rsidRPr="004D241E">
        <w:rPr>
          <w:rFonts w:ascii="Lato" w:hAnsi="Lato"/>
        </w:rPr>
        <w:t>określić w dokumentach zamówienia wymagania, które będą odzwierciedla</w:t>
      </w:r>
      <w:r w:rsidR="00CC7457" w:rsidRPr="004D241E">
        <w:rPr>
          <w:rFonts w:ascii="Lato" w:hAnsi="Lato"/>
        </w:rPr>
        <w:t>ły</w:t>
      </w:r>
      <w:r w:rsidR="0059039D" w:rsidRPr="004D241E">
        <w:rPr>
          <w:rFonts w:ascii="Lato" w:hAnsi="Lato"/>
        </w:rPr>
        <w:t xml:space="preserve"> różnice między sytuacją praw</w:t>
      </w:r>
      <w:r w:rsidR="00AF5151" w:rsidRPr="004D241E">
        <w:rPr>
          <w:rFonts w:ascii="Lato" w:hAnsi="Lato"/>
        </w:rPr>
        <w:t>n</w:t>
      </w:r>
      <w:r w:rsidR="0059039D" w:rsidRPr="004D241E">
        <w:rPr>
          <w:rFonts w:ascii="Lato" w:hAnsi="Lato"/>
        </w:rPr>
        <w:t>ą tych wykonawców a sytuacją prawną wykonawców z Unii i z państw trzecich, które zawarły z Uni</w:t>
      </w:r>
      <w:r w:rsidR="00EE433E" w:rsidRPr="004D241E">
        <w:rPr>
          <w:rFonts w:ascii="Lato" w:hAnsi="Lato"/>
        </w:rPr>
        <w:t>ą</w:t>
      </w:r>
      <w:r w:rsidR="0059039D" w:rsidRPr="004D241E">
        <w:rPr>
          <w:rFonts w:ascii="Lato" w:hAnsi="Lato"/>
        </w:rPr>
        <w:t xml:space="preserve"> umowę</w:t>
      </w:r>
      <w:r w:rsidR="00E97466" w:rsidRPr="004D241E">
        <w:rPr>
          <w:rFonts w:ascii="Lato" w:hAnsi="Lato"/>
        </w:rPr>
        <w:t xml:space="preserve"> międzynarodową gwarantującą na zasadzie wzajemności i równości dostęp do rynku zamówień publicznych</w:t>
      </w:r>
      <w:r w:rsidR="001A1E0C" w:rsidRPr="004D241E">
        <w:rPr>
          <w:rFonts w:ascii="Lato" w:hAnsi="Lato"/>
        </w:rPr>
        <w:t xml:space="preserve"> </w:t>
      </w:r>
      <w:r w:rsidR="00F043ED" w:rsidRPr="004D241E">
        <w:rPr>
          <w:rFonts w:ascii="Lato" w:hAnsi="Lato"/>
        </w:rPr>
        <w:t>(</w:t>
      </w:r>
      <w:r w:rsidR="001A1E0C" w:rsidRPr="004D241E">
        <w:rPr>
          <w:rFonts w:ascii="Lato" w:hAnsi="Lato"/>
        </w:rPr>
        <w:t>tzn</w:t>
      </w:r>
      <w:r w:rsidR="007432F6" w:rsidRPr="004D241E">
        <w:rPr>
          <w:rFonts w:ascii="Lato" w:hAnsi="Lato"/>
        </w:rPr>
        <w:t xml:space="preserve">. w dokumentach zamówienia powinny być </w:t>
      </w:r>
      <w:r w:rsidR="00E86E14" w:rsidRPr="004D241E">
        <w:rPr>
          <w:rFonts w:ascii="Lato" w:hAnsi="Lato"/>
        </w:rPr>
        <w:t>informacje, że zamawiający ogranicza dostęp</w:t>
      </w:r>
      <w:r w:rsidR="00387DEF">
        <w:rPr>
          <w:rFonts w:ascii="Lato" w:hAnsi="Lato"/>
        </w:rPr>
        <w:t xml:space="preserve"> i </w:t>
      </w:r>
      <w:r w:rsidR="00F043ED" w:rsidRPr="004D241E">
        <w:rPr>
          <w:rFonts w:ascii="Lato" w:hAnsi="Lato"/>
        </w:rPr>
        <w:t>w jaki sposób)</w:t>
      </w:r>
      <w:r w:rsidR="00795186" w:rsidRPr="004D241E">
        <w:rPr>
          <w:rFonts w:ascii="Lato" w:hAnsi="Lato"/>
        </w:rPr>
        <w:t>.</w:t>
      </w:r>
      <w:r w:rsidR="0059039D" w:rsidRPr="004D241E">
        <w:rPr>
          <w:rFonts w:ascii="Lato" w:hAnsi="Lato"/>
        </w:rPr>
        <w:t xml:space="preserve"> </w:t>
      </w:r>
    </w:p>
    <w:p w14:paraId="58A29B01" w14:textId="57E5D65B" w:rsidR="00480CCD" w:rsidRPr="004D241E" w:rsidRDefault="00633C9B" w:rsidP="002C5F2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A </w:t>
      </w:r>
      <w:r w:rsidRPr="004D241E">
        <w:rPr>
          <w:rFonts w:ascii="Lato" w:hAnsi="Lato"/>
          <w:i/>
          <w:iCs/>
        </w:rPr>
        <w:t>contrario</w:t>
      </w:r>
      <w:r w:rsidR="00AF5151" w:rsidRPr="004D241E">
        <w:rPr>
          <w:rFonts w:ascii="Lato" w:hAnsi="Lato"/>
        </w:rPr>
        <w:t>,</w:t>
      </w:r>
      <w:r w:rsidRPr="004D241E">
        <w:rPr>
          <w:rFonts w:ascii="Lato" w:hAnsi="Lato"/>
          <w:i/>
          <w:iCs/>
        </w:rPr>
        <w:t xml:space="preserve"> </w:t>
      </w:r>
      <w:r w:rsidR="0044175A" w:rsidRPr="004D241E">
        <w:rPr>
          <w:rFonts w:ascii="Lato" w:hAnsi="Lato"/>
        </w:rPr>
        <w:t>zamawiający może nie ograniczać dostępu do zamówień publicznych wykonawcom z państw trzecich, z którymi Unia Europejska nie jest związana żadną umową międzynarodową gwarantującą na zasadzie wzajemności i równości dostęp do rynku zamówień publicznych</w:t>
      </w:r>
      <w:r w:rsidR="000D5023" w:rsidRPr="004D241E">
        <w:rPr>
          <w:rFonts w:ascii="Lato" w:hAnsi="Lato"/>
        </w:rPr>
        <w:t xml:space="preserve">. </w:t>
      </w:r>
      <w:r w:rsidR="00B730DA" w:rsidRPr="004D241E">
        <w:rPr>
          <w:rFonts w:ascii="Lato" w:hAnsi="Lato"/>
        </w:rPr>
        <w:t>Z</w:t>
      </w:r>
      <w:r w:rsidR="00BE7049" w:rsidRPr="004D241E">
        <w:rPr>
          <w:rFonts w:ascii="Lato" w:hAnsi="Lato"/>
        </w:rPr>
        <w:t xml:space="preserve">amawiający </w:t>
      </w:r>
      <w:r w:rsidR="00127E1F" w:rsidRPr="004D241E">
        <w:rPr>
          <w:rFonts w:ascii="Lato" w:hAnsi="Lato"/>
        </w:rPr>
        <w:t xml:space="preserve">jest zatem uprawniony do wskazania </w:t>
      </w:r>
      <w:r w:rsidR="00BE7049" w:rsidRPr="004D241E">
        <w:rPr>
          <w:rFonts w:ascii="Lato" w:hAnsi="Lato"/>
        </w:rPr>
        <w:t xml:space="preserve">w dokumentach </w:t>
      </w:r>
      <w:r w:rsidR="00911A69" w:rsidRPr="004D241E">
        <w:rPr>
          <w:rFonts w:ascii="Lato" w:hAnsi="Lato"/>
        </w:rPr>
        <w:t>zam</w:t>
      </w:r>
      <w:r w:rsidR="0061470D" w:rsidRPr="004D241E">
        <w:rPr>
          <w:rFonts w:ascii="Lato" w:hAnsi="Lato"/>
        </w:rPr>
        <w:t>ó</w:t>
      </w:r>
      <w:r w:rsidR="00911A69" w:rsidRPr="004D241E">
        <w:rPr>
          <w:rFonts w:ascii="Lato" w:hAnsi="Lato"/>
        </w:rPr>
        <w:t>wi</w:t>
      </w:r>
      <w:r w:rsidR="0061470D" w:rsidRPr="004D241E">
        <w:rPr>
          <w:rFonts w:ascii="Lato" w:hAnsi="Lato"/>
        </w:rPr>
        <w:t>e</w:t>
      </w:r>
      <w:r w:rsidR="00911A69" w:rsidRPr="004D241E">
        <w:rPr>
          <w:rFonts w:ascii="Lato" w:hAnsi="Lato"/>
        </w:rPr>
        <w:t>nia, że dopusz</w:t>
      </w:r>
      <w:r w:rsidR="00A65473" w:rsidRPr="004D241E">
        <w:rPr>
          <w:rFonts w:ascii="Lato" w:hAnsi="Lato"/>
        </w:rPr>
        <w:t>cz</w:t>
      </w:r>
      <w:r w:rsidR="00911A69" w:rsidRPr="004D241E">
        <w:rPr>
          <w:rFonts w:ascii="Lato" w:hAnsi="Lato"/>
        </w:rPr>
        <w:t>a</w:t>
      </w:r>
      <w:r w:rsidR="00B7590F" w:rsidRPr="004D241E">
        <w:rPr>
          <w:rFonts w:ascii="Lato" w:hAnsi="Lato"/>
        </w:rPr>
        <w:t xml:space="preserve"> takich wykonawców do </w:t>
      </w:r>
      <w:r w:rsidR="00D12138" w:rsidRPr="004D241E">
        <w:rPr>
          <w:rFonts w:ascii="Lato" w:hAnsi="Lato"/>
        </w:rPr>
        <w:t>udziału w postępowaniu</w:t>
      </w:r>
      <w:r w:rsidR="008C4FC2" w:rsidRPr="004D241E">
        <w:rPr>
          <w:rFonts w:ascii="Lato" w:hAnsi="Lato"/>
        </w:rPr>
        <w:t xml:space="preserve">. </w:t>
      </w:r>
    </w:p>
    <w:p w14:paraId="49E4E6FA" w14:textId="05544AE2" w:rsidR="00A55F97" w:rsidRPr="004D241E" w:rsidRDefault="00623A6C" w:rsidP="002C5F2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W przypadku </w:t>
      </w:r>
      <w:r w:rsidR="004C755C" w:rsidRPr="004D241E">
        <w:rPr>
          <w:rFonts w:ascii="Lato" w:hAnsi="Lato"/>
        </w:rPr>
        <w:t>brak</w:t>
      </w:r>
      <w:r w:rsidRPr="004D241E">
        <w:rPr>
          <w:rFonts w:ascii="Lato" w:hAnsi="Lato"/>
        </w:rPr>
        <w:t>u</w:t>
      </w:r>
      <w:r w:rsidR="004C755C" w:rsidRPr="004D241E">
        <w:rPr>
          <w:rFonts w:ascii="Lato" w:hAnsi="Lato"/>
        </w:rPr>
        <w:t xml:space="preserve"> jakiejkolwiek informacji </w:t>
      </w:r>
      <w:r w:rsidRPr="004D241E">
        <w:rPr>
          <w:rFonts w:ascii="Lato" w:hAnsi="Lato"/>
        </w:rPr>
        <w:t>w tym zakresie</w:t>
      </w:r>
      <w:r w:rsidR="00A55F97" w:rsidRPr="004D241E">
        <w:rPr>
          <w:rFonts w:ascii="Lato" w:hAnsi="Lato"/>
        </w:rPr>
        <w:t xml:space="preserve"> </w:t>
      </w:r>
      <w:r w:rsidR="004C755C" w:rsidRPr="004D241E">
        <w:rPr>
          <w:rFonts w:ascii="Lato" w:hAnsi="Lato"/>
        </w:rPr>
        <w:t>w dokumentach zamówienia</w:t>
      </w:r>
      <w:r w:rsidR="00A55F97" w:rsidRPr="004D241E">
        <w:rPr>
          <w:rFonts w:ascii="Lato" w:hAnsi="Lato"/>
        </w:rPr>
        <w:t xml:space="preserve">, </w:t>
      </w:r>
      <w:r w:rsidRPr="004D241E">
        <w:rPr>
          <w:rFonts w:ascii="Lato" w:hAnsi="Lato"/>
        </w:rPr>
        <w:t xml:space="preserve">mając na względzie zasadę przejrzystości, </w:t>
      </w:r>
      <w:r w:rsidR="00D10F35" w:rsidRPr="004D241E">
        <w:rPr>
          <w:rFonts w:ascii="Lato" w:hAnsi="Lato"/>
        </w:rPr>
        <w:t>uprawnion</w:t>
      </w:r>
      <w:r w:rsidRPr="004D241E">
        <w:rPr>
          <w:rFonts w:ascii="Lato" w:hAnsi="Lato"/>
        </w:rPr>
        <w:t>y</w:t>
      </w:r>
      <w:r w:rsidR="00D10F35" w:rsidRPr="004D241E">
        <w:rPr>
          <w:rFonts w:ascii="Lato" w:hAnsi="Lato"/>
        </w:rPr>
        <w:t xml:space="preserve"> będzie wniosek, że zamawiający nie ogranicza dostępu </w:t>
      </w:r>
      <w:r w:rsidR="00CD1678" w:rsidRPr="004D241E">
        <w:rPr>
          <w:rFonts w:ascii="Lato" w:hAnsi="Lato"/>
        </w:rPr>
        <w:t xml:space="preserve">do zamówienia </w:t>
      </w:r>
      <w:r w:rsidR="00D10F35" w:rsidRPr="004D241E">
        <w:rPr>
          <w:rFonts w:ascii="Lato" w:hAnsi="Lato"/>
        </w:rPr>
        <w:t>wykonawcom z państw trzecich, z którymi Unia Europejska nie jest związana żadną umową międzynarodową gwarantującą na zasadzie wzajemności i równości dostęp do rynku zamówień publicznych.</w:t>
      </w:r>
    </w:p>
    <w:p w14:paraId="1C436C9E" w14:textId="1EC57443" w:rsidR="00B84B05" w:rsidRPr="004D241E" w:rsidRDefault="0039284F" w:rsidP="002C5F2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r w:rsidRPr="004D241E">
        <w:rPr>
          <w:rFonts w:ascii="Lato" w:hAnsi="Lato"/>
        </w:rPr>
        <w:t xml:space="preserve">Jeśli zamawiający zdecyduje się na </w:t>
      </w:r>
      <w:r w:rsidR="00367273" w:rsidRPr="004D241E">
        <w:rPr>
          <w:rFonts w:ascii="Lato" w:hAnsi="Lato"/>
        </w:rPr>
        <w:t>n</w:t>
      </w:r>
      <w:r w:rsidR="003F5815" w:rsidRPr="004D241E">
        <w:rPr>
          <w:rFonts w:ascii="Lato" w:hAnsi="Lato"/>
        </w:rPr>
        <w:t>iedopuszczeni</w:t>
      </w:r>
      <w:r w:rsidR="005A729F" w:rsidRPr="004D241E">
        <w:rPr>
          <w:rFonts w:ascii="Lato" w:hAnsi="Lato"/>
        </w:rPr>
        <w:t>e</w:t>
      </w:r>
      <w:r w:rsidR="003F5815" w:rsidRPr="004D241E">
        <w:rPr>
          <w:rFonts w:ascii="Lato" w:hAnsi="Lato"/>
        </w:rPr>
        <w:t xml:space="preserve"> do ud</w:t>
      </w:r>
      <w:r w:rsidR="00367273" w:rsidRPr="004D241E">
        <w:rPr>
          <w:rFonts w:ascii="Lato" w:hAnsi="Lato"/>
        </w:rPr>
        <w:t>ziału wykonawców z państw trzecich, z którymi Unia Europejska nie jest związana żadną umową międzynarodową gwarantującą na zasadzie wzajemności i równości dostęp do rynku zamówień publicznych</w:t>
      </w:r>
      <w:r w:rsidR="00D107D8" w:rsidRPr="004D241E">
        <w:rPr>
          <w:rFonts w:ascii="Lato" w:hAnsi="Lato"/>
        </w:rPr>
        <w:t xml:space="preserve"> i wskaże to w dokumentach zamówienia</w:t>
      </w:r>
      <w:r w:rsidRPr="004D241E">
        <w:rPr>
          <w:rFonts w:ascii="Lato" w:hAnsi="Lato"/>
        </w:rPr>
        <w:t xml:space="preserve">, </w:t>
      </w:r>
      <w:r w:rsidR="00367273" w:rsidRPr="004D241E">
        <w:rPr>
          <w:rFonts w:ascii="Lato" w:hAnsi="Lato"/>
        </w:rPr>
        <w:t xml:space="preserve">to </w:t>
      </w:r>
      <w:r w:rsidR="00D107D8" w:rsidRPr="004D241E">
        <w:rPr>
          <w:rFonts w:ascii="Lato" w:hAnsi="Lato"/>
        </w:rPr>
        <w:t>wniosek</w:t>
      </w:r>
      <w:r w:rsidR="00A359ED" w:rsidRPr="004D241E">
        <w:rPr>
          <w:rFonts w:ascii="Lato" w:hAnsi="Lato"/>
        </w:rPr>
        <w:t xml:space="preserve"> (</w:t>
      </w:r>
      <w:r w:rsidR="00D107D8" w:rsidRPr="004D241E">
        <w:rPr>
          <w:rFonts w:ascii="Lato" w:hAnsi="Lato"/>
        </w:rPr>
        <w:t>oferta</w:t>
      </w:r>
      <w:r w:rsidR="00A359ED" w:rsidRPr="004D241E">
        <w:rPr>
          <w:rFonts w:ascii="Lato" w:hAnsi="Lato"/>
        </w:rPr>
        <w:t>)</w:t>
      </w:r>
      <w:r w:rsidR="00D107D8" w:rsidRPr="004D241E">
        <w:rPr>
          <w:rFonts w:ascii="Lato" w:hAnsi="Lato"/>
        </w:rPr>
        <w:t xml:space="preserve"> </w:t>
      </w:r>
      <w:r w:rsidR="00354E25" w:rsidRPr="004D241E">
        <w:rPr>
          <w:rFonts w:ascii="Lato" w:hAnsi="Lato"/>
        </w:rPr>
        <w:t xml:space="preserve">pochodzący od </w:t>
      </w:r>
      <w:r w:rsidR="00D107D8" w:rsidRPr="004D241E">
        <w:rPr>
          <w:rFonts w:ascii="Lato" w:hAnsi="Lato"/>
        </w:rPr>
        <w:t xml:space="preserve">takiego </w:t>
      </w:r>
      <w:r w:rsidR="00354E25" w:rsidRPr="004D241E">
        <w:rPr>
          <w:rFonts w:ascii="Lato" w:hAnsi="Lato"/>
        </w:rPr>
        <w:t xml:space="preserve">wykonawcy podlegać będzie odrzuceniu na podstawie art. </w:t>
      </w:r>
      <w:r w:rsidR="00F45F89" w:rsidRPr="004D241E">
        <w:rPr>
          <w:rFonts w:ascii="Lato" w:hAnsi="Lato"/>
        </w:rPr>
        <w:t>226</w:t>
      </w:r>
      <w:r w:rsidR="00A830C4" w:rsidRPr="004D241E">
        <w:rPr>
          <w:rFonts w:ascii="Lato" w:hAnsi="Lato"/>
        </w:rPr>
        <w:t xml:space="preserve"> ust. 1 pkt </w:t>
      </w:r>
      <w:r w:rsidR="00C648D6" w:rsidRPr="004D241E">
        <w:rPr>
          <w:rFonts w:ascii="Lato" w:hAnsi="Lato"/>
        </w:rPr>
        <w:t xml:space="preserve">5 ustawy </w:t>
      </w:r>
      <w:proofErr w:type="spellStart"/>
      <w:r w:rsidR="00C648D6" w:rsidRPr="004D241E">
        <w:rPr>
          <w:rFonts w:ascii="Lato" w:hAnsi="Lato"/>
        </w:rPr>
        <w:t>Pzp</w:t>
      </w:r>
      <w:proofErr w:type="spellEnd"/>
      <w:r w:rsidR="00BA2A4F" w:rsidRPr="004D241E">
        <w:rPr>
          <w:rFonts w:ascii="Lato" w:hAnsi="Lato"/>
        </w:rPr>
        <w:t xml:space="preserve"> (tj. </w:t>
      </w:r>
      <w:r w:rsidR="005A729F" w:rsidRPr="004D241E">
        <w:rPr>
          <w:rFonts w:ascii="Lato" w:hAnsi="Lato"/>
        </w:rPr>
        <w:t xml:space="preserve">z powodu </w:t>
      </w:r>
      <w:r w:rsidR="00BA2A4F" w:rsidRPr="004D241E">
        <w:rPr>
          <w:rFonts w:ascii="Lato" w:hAnsi="Lato"/>
        </w:rPr>
        <w:t xml:space="preserve">niezgodności z warunkami zamówienia). </w:t>
      </w:r>
    </w:p>
    <w:p w14:paraId="16F8C6D8" w14:textId="3FF345B1" w:rsidR="003849FE" w:rsidRPr="003849FE" w:rsidRDefault="00832702" w:rsidP="003849FE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jc w:val="both"/>
        <w:rPr>
          <w:rFonts w:ascii="Lato" w:hAnsi="Lato"/>
        </w:rPr>
      </w:pPr>
      <w:bookmarkStart w:id="2" w:name="_Hlk181955536"/>
      <w:r w:rsidRPr="003849FE">
        <w:rPr>
          <w:rFonts w:ascii="Lato" w:hAnsi="Lato"/>
        </w:rPr>
        <w:t xml:space="preserve">Środki ochrony prawnej </w:t>
      </w:r>
      <w:r w:rsidR="00E81C09" w:rsidRPr="003849FE">
        <w:rPr>
          <w:rFonts w:ascii="Lato" w:hAnsi="Lato"/>
        </w:rPr>
        <w:t>wniesione</w:t>
      </w:r>
      <w:r w:rsidRPr="003849FE">
        <w:rPr>
          <w:rFonts w:ascii="Lato" w:hAnsi="Lato"/>
        </w:rPr>
        <w:t xml:space="preserve"> przez </w:t>
      </w:r>
      <w:r w:rsidR="00A66E8A" w:rsidRPr="003849FE">
        <w:rPr>
          <w:rFonts w:ascii="Lato" w:hAnsi="Lato"/>
        </w:rPr>
        <w:t>wykona</w:t>
      </w:r>
      <w:r w:rsidR="00E81C09" w:rsidRPr="003849FE">
        <w:rPr>
          <w:rFonts w:ascii="Lato" w:hAnsi="Lato"/>
        </w:rPr>
        <w:t>wców</w:t>
      </w:r>
      <w:r w:rsidR="00A66E8A" w:rsidRPr="003849FE">
        <w:rPr>
          <w:rFonts w:ascii="Lato" w:hAnsi="Lato"/>
        </w:rPr>
        <w:t xml:space="preserve"> z państw trzecich</w:t>
      </w:r>
      <w:r w:rsidR="00A57D31" w:rsidRPr="003849FE">
        <w:rPr>
          <w:rFonts w:ascii="Lato" w:hAnsi="Lato"/>
        </w:rPr>
        <w:t xml:space="preserve"> </w:t>
      </w:r>
      <w:r w:rsidR="00D42131" w:rsidRPr="003849FE">
        <w:rPr>
          <w:rFonts w:ascii="Lato" w:hAnsi="Lato"/>
        </w:rPr>
        <w:t xml:space="preserve">mogą być </w:t>
      </w:r>
      <w:r w:rsidR="002D6944" w:rsidRPr="003849FE">
        <w:rPr>
          <w:rFonts w:ascii="Lato" w:hAnsi="Lato"/>
        </w:rPr>
        <w:t>rozpatrywane</w:t>
      </w:r>
      <w:r w:rsidR="00D42131" w:rsidRPr="003849FE">
        <w:rPr>
          <w:rFonts w:ascii="Lato" w:hAnsi="Lato"/>
        </w:rPr>
        <w:t xml:space="preserve"> </w:t>
      </w:r>
      <w:r w:rsidR="002D6944" w:rsidRPr="003849FE">
        <w:rPr>
          <w:rFonts w:ascii="Lato" w:hAnsi="Lato"/>
        </w:rPr>
        <w:t xml:space="preserve">wyłącznie </w:t>
      </w:r>
      <w:r w:rsidR="00D42131" w:rsidRPr="003849FE">
        <w:rPr>
          <w:rFonts w:ascii="Lato" w:hAnsi="Lato"/>
        </w:rPr>
        <w:t xml:space="preserve">w świetle </w:t>
      </w:r>
      <w:r w:rsidR="002D6944" w:rsidRPr="003849FE">
        <w:rPr>
          <w:rFonts w:ascii="Lato" w:hAnsi="Lato"/>
        </w:rPr>
        <w:t>przepisów prawa krajowego,</w:t>
      </w:r>
      <w:r w:rsidR="004E0AD0" w:rsidRPr="003849FE">
        <w:rPr>
          <w:rFonts w:ascii="Lato" w:hAnsi="Lato"/>
        </w:rPr>
        <w:t xml:space="preserve"> a </w:t>
      </w:r>
      <w:r w:rsidR="002D6944" w:rsidRPr="003849FE">
        <w:rPr>
          <w:rFonts w:ascii="Lato" w:hAnsi="Lato"/>
        </w:rPr>
        <w:t xml:space="preserve"> nie prawa unijnego</w:t>
      </w:r>
      <w:r w:rsidR="003849FE">
        <w:rPr>
          <w:rFonts w:ascii="Lato" w:hAnsi="Lato"/>
        </w:rPr>
        <w:t>.</w:t>
      </w:r>
      <w:r w:rsidR="007D2179" w:rsidRPr="003849FE">
        <w:rPr>
          <w:rFonts w:ascii="Lato" w:hAnsi="Lato"/>
        </w:rPr>
        <w:t xml:space="preserve"> </w:t>
      </w:r>
      <w:bookmarkEnd w:id="2"/>
      <w:r w:rsidR="003849FE" w:rsidRPr="008C23D9">
        <w:rPr>
          <w:rFonts w:ascii="Lato" w:hAnsi="Lato"/>
        </w:rPr>
        <w:t>Tym samym wykonawca z takiego pa</w:t>
      </w:r>
      <w:r w:rsidR="008C23D9" w:rsidRPr="008C23D9">
        <w:rPr>
          <w:rFonts w:ascii="Lato" w:hAnsi="Lato"/>
        </w:rPr>
        <w:t>ń</w:t>
      </w:r>
      <w:r w:rsidR="003849FE" w:rsidRPr="008C23D9">
        <w:rPr>
          <w:rFonts w:ascii="Lato" w:hAnsi="Lato"/>
        </w:rPr>
        <w:t>stwa trzeciego nie może powoływać się na regulacje prawa unijnego, a organowi odwoławczemu nie przysługuje wniosek o wydanie, na podstawie art. 267 TFUE, orzeczenia w trybie prejudycjalnym w zakresie wykładni przepisów dyrektyw.</w:t>
      </w:r>
      <w:r w:rsidR="003849FE" w:rsidRPr="003849FE">
        <w:rPr>
          <w:rFonts w:ascii="Lato" w:hAnsi="Lato"/>
        </w:rPr>
        <w:t xml:space="preserve"> </w:t>
      </w:r>
    </w:p>
    <w:p w14:paraId="2A5AF62D" w14:textId="77777777" w:rsidR="003849FE" w:rsidRPr="003849FE" w:rsidRDefault="003849FE" w:rsidP="003849FE">
      <w:pPr>
        <w:pStyle w:val="Akapitzlist"/>
        <w:spacing w:before="120" w:after="0" w:line="276" w:lineRule="auto"/>
        <w:ind w:left="714"/>
        <w:contextualSpacing w:val="0"/>
        <w:jc w:val="both"/>
        <w:rPr>
          <w:rFonts w:ascii="Lato" w:hAnsi="Lato"/>
        </w:rPr>
      </w:pPr>
    </w:p>
    <w:p w14:paraId="01322E5B" w14:textId="77777777" w:rsidR="004D241E" w:rsidRPr="008C23D9" w:rsidRDefault="004D241E" w:rsidP="00195D4B">
      <w:pPr>
        <w:spacing w:line="276" w:lineRule="auto"/>
        <w:jc w:val="both"/>
        <w:rPr>
          <w:rFonts w:ascii="Lato" w:hAnsi="Lato"/>
        </w:rPr>
      </w:pPr>
      <w:r w:rsidRPr="004D241E">
        <w:rPr>
          <w:rFonts w:ascii="Lato" w:hAnsi="Lato"/>
        </w:rPr>
        <w:lastRenderedPageBreak/>
        <w:t>Aktualny wykaz umów międzynarodowych gwarantujących na zasadzie wzajemności i równości dostęp do rynku zamówień publicznych znaleźć można pod adresem</w:t>
      </w:r>
      <w:r>
        <w:t xml:space="preserve"> </w:t>
      </w:r>
      <w:hyperlink r:id="rId6" w:history="1">
        <w:r w:rsidRPr="008C23D9">
          <w:rPr>
            <w:rStyle w:val="Hipercze"/>
            <w:rFonts w:ascii="Lato" w:hAnsi="Lato"/>
          </w:rPr>
          <w:t>https://single-market-economy.ec.europa.eu/single-market/public-procurement/international-public-procurement/bilateral-relations-non-eu-countries_en</w:t>
        </w:r>
      </w:hyperlink>
      <w:r w:rsidRPr="008C23D9">
        <w:rPr>
          <w:rFonts w:ascii="Lato" w:hAnsi="Lato"/>
        </w:rPr>
        <w:t>.</w:t>
      </w:r>
    </w:p>
    <w:p w14:paraId="154F4022" w14:textId="3EA99370" w:rsidR="003849FE" w:rsidRPr="008C23D9" w:rsidRDefault="003849FE" w:rsidP="003849FE">
      <w:pPr>
        <w:spacing w:after="120" w:line="276" w:lineRule="auto"/>
        <w:jc w:val="both"/>
        <w:rPr>
          <w:rFonts w:ascii="Lato" w:hAnsi="Lato"/>
        </w:rPr>
      </w:pPr>
      <w:r w:rsidRPr="008C23D9">
        <w:rPr>
          <w:rFonts w:ascii="Lato" w:hAnsi="Lato"/>
        </w:rPr>
        <w:t xml:space="preserve">Dodatkowo Komisja Europejska uruchomiła narzędzie internetowe dla zamawiających, pozwalające zamawiającym w UE na ustalenie, czy wykonawca z państwa trzeciego ma zagwarantowany dostęp do zamówień w państwach UE na podstawie zawartych umów międzynarodowych. </w:t>
      </w:r>
    </w:p>
    <w:p w14:paraId="1C5C2262" w14:textId="4D7B3147" w:rsidR="003849FE" w:rsidRPr="008C23D9" w:rsidRDefault="003849FE" w:rsidP="003849FE">
      <w:pPr>
        <w:pStyle w:val="xmsonormal"/>
        <w:spacing w:after="120" w:line="276" w:lineRule="auto"/>
        <w:jc w:val="both"/>
        <w:rPr>
          <w:rFonts w:ascii="Lato" w:hAnsi="Lato" w:cstheme="minorBidi"/>
          <w:kern w:val="2"/>
          <w:lang w:eastAsia="en-US"/>
          <w14:ligatures w14:val="standardContextual"/>
        </w:rPr>
      </w:pPr>
      <w:r w:rsidRPr="008C23D9">
        <w:rPr>
          <w:rFonts w:ascii="Lato" w:hAnsi="Lato" w:cstheme="minorBidi"/>
          <w:kern w:val="2"/>
          <w:lang w:eastAsia="en-US"/>
          <w14:ligatures w14:val="standardContextual"/>
        </w:rPr>
        <w:t>Narzędzie zapewnia dostęp do rzetelnych informacji na temat międzynarodowych przepisów dotyczących zamówień publicznych</w:t>
      </w:r>
      <w:r w:rsidR="008C23D9" w:rsidRPr="008C23D9">
        <w:rPr>
          <w:rFonts w:ascii="Lato" w:hAnsi="Lato" w:cstheme="minorBidi"/>
          <w:kern w:val="2"/>
          <w:lang w:eastAsia="en-US"/>
          <w14:ligatures w14:val="standardContextual"/>
        </w:rPr>
        <w:t xml:space="preserve">. </w:t>
      </w:r>
    </w:p>
    <w:p w14:paraId="2ECBDB6B" w14:textId="3CB6DA73" w:rsidR="003849FE" w:rsidRPr="008C23D9" w:rsidRDefault="003849FE" w:rsidP="003849FE">
      <w:pPr>
        <w:pStyle w:val="xmsonormal"/>
        <w:spacing w:after="120" w:line="276" w:lineRule="auto"/>
        <w:jc w:val="both"/>
        <w:rPr>
          <w:rFonts w:ascii="Lato" w:hAnsi="Lato" w:cstheme="minorBidi"/>
          <w:kern w:val="2"/>
          <w:lang w:eastAsia="en-US"/>
          <w14:ligatures w14:val="standardContextual"/>
        </w:rPr>
      </w:pPr>
      <w:r w:rsidRPr="008C23D9">
        <w:rPr>
          <w:rFonts w:ascii="Lato" w:hAnsi="Lato" w:cstheme="minorBidi"/>
          <w:kern w:val="2"/>
          <w:lang w:eastAsia="en-US"/>
          <w14:ligatures w14:val="standardContextual"/>
        </w:rPr>
        <w:t xml:space="preserve">Po wprowadzeniu informacji o podmiocie zamawiającym, przedmiocie i szacunkowej wartości zamówienia, wyświetlana jest lista krajów kwalifikujących się na podstawie zawartych umów handlowych i wykluczonych na podstawie sankcji handlowych. </w:t>
      </w:r>
    </w:p>
    <w:p w14:paraId="5FD97CD8" w14:textId="77777777" w:rsidR="003849FE" w:rsidRPr="008C23D9" w:rsidRDefault="003849FE" w:rsidP="003849FE">
      <w:pPr>
        <w:pStyle w:val="xmsonormal"/>
        <w:rPr>
          <w:rFonts w:ascii="Lato" w:hAnsi="Lato"/>
        </w:rPr>
      </w:pPr>
      <w:r w:rsidRPr="008C23D9">
        <w:rPr>
          <w:rFonts w:ascii="Lato" w:hAnsi="Lato"/>
        </w:rPr>
        <w:t>Narzędzie jest dostępne pod linkiem, na razie tylko w języku angielskim:</w:t>
      </w:r>
    </w:p>
    <w:p w14:paraId="3597431C" w14:textId="77777777" w:rsidR="003849FE" w:rsidRPr="008C23D9" w:rsidRDefault="00132D52" w:rsidP="003849FE">
      <w:pPr>
        <w:pStyle w:val="xmsonormal"/>
        <w:rPr>
          <w:rFonts w:ascii="Lato" w:hAnsi="Lato"/>
        </w:rPr>
      </w:pPr>
      <w:hyperlink r:id="rId7" w:anchor="/procumementlocation" w:history="1">
        <w:r w:rsidR="003849FE" w:rsidRPr="008C23D9">
          <w:rPr>
            <w:rStyle w:val="Hipercze"/>
            <w:rFonts w:ascii="Lato" w:hAnsi="Lato"/>
          </w:rPr>
          <w:t>https://webgate.ec.europa.eu/procurementbuyers/#/procumementlocation</w:t>
        </w:r>
      </w:hyperlink>
      <w:r w:rsidR="003849FE" w:rsidRPr="008C23D9">
        <w:rPr>
          <w:rFonts w:ascii="Lato" w:hAnsi="Lato"/>
        </w:rPr>
        <w:t xml:space="preserve"> </w:t>
      </w:r>
    </w:p>
    <w:p w14:paraId="5C0B6549" w14:textId="77777777" w:rsidR="003849FE" w:rsidRPr="003849FE" w:rsidRDefault="003849FE" w:rsidP="00195D4B">
      <w:pPr>
        <w:spacing w:line="276" w:lineRule="auto"/>
        <w:jc w:val="both"/>
        <w:rPr>
          <w:rFonts w:ascii="Lato" w:hAnsi="Lato"/>
        </w:rPr>
      </w:pPr>
    </w:p>
    <w:p w14:paraId="25B8771E" w14:textId="77777777" w:rsidR="004D241E" w:rsidRPr="004D241E" w:rsidRDefault="004D241E" w:rsidP="00195D4B">
      <w:pPr>
        <w:spacing w:line="276" w:lineRule="auto"/>
        <w:rPr>
          <w:rFonts w:ascii="Lato" w:hAnsi="Lato"/>
        </w:rPr>
      </w:pPr>
    </w:p>
    <w:sectPr w:rsidR="004D241E" w:rsidRPr="004D2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973860"/>
    <w:multiLevelType w:val="hybridMultilevel"/>
    <w:tmpl w:val="A79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8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6F"/>
    <w:rsid w:val="0003468E"/>
    <w:rsid w:val="00055D9F"/>
    <w:rsid w:val="0006079B"/>
    <w:rsid w:val="0008650C"/>
    <w:rsid w:val="000A1653"/>
    <w:rsid w:val="000A7005"/>
    <w:rsid w:val="000C556F"/>
    <w:rsid w:val="000D5023"/>
    <w:rsid w:val="00106196"/>
    <w:rsid w:val="00116B30"/>
    <w:rsid w:val="00117CAC"/>
    <w:rsid w:val="00127E1F"/>
    <w:rsid w:val="00132D52"/>
    <w:rsid w:val="0013373C"/>
    <w:rsid w:val="0017618A"/>
    <w:rsid w:val="00195D4B"/>
    <w:rsid w:val="001A1782"/>
    <w:rsid w:val="001A1E0C"/>
    <w:rsid w:val="001A27B0"/>
    <w:rsid w:val="001E390F"/>
    <w:rsid w:val="001E4279"/>
    <w:rsid w:val="001F2260"/>
    <w:rsid w:val="00217DE5"/>
    <w:rsid w:val="0024055E"/>
    <w:rsid w:val="002463A3"/>
    <w:rsid w:val="002546CC"/>
    <w:rsid w:val="00271EFE"/>
    <w:rsid w:val="002B0122"/>
    <w:rsid w:val="002C5F2B"/>
    <w:rsid w:val="002D63B6"/>
    <w:rsid w:val="002D6944"/>
    <w:rsid w:val="002F46B3"/>
    <w:rsid w:val="003178C8"/>
    <w:rsid w:val="00354E25"/>
    <w:rsid w:val="003629C6"/>
    <w:rsid w:val="00367273"/>
    <w:rsid w:val="003719AE"/>
    <w:rsid w:val="00384073"/>
    <w:rsid w:val="003849FE"/>
    <w:rsid w:val="00387D35"/>
    <w:rsid w:val="00387DEF"/>
    <w:rsid w:val="0039278B"/>
    <w:rsid w:val="0039284F"/>
    <w:rsid w:val="00393AA0"/>
    <w:rsid w:val="003D2572"/>
    <w:rsid w:val="003E03D7"/>
    <w:rsid w:val="003F5815"/>
    <w:rsid w:val="003F5D84"/>
    <w:rsid w:val="0044175A"/>
    <w:rsid w:val="00442367"/>
    <w:rsid w:val="00480CCD"/>
    <w:rsid w:val="004A79BD"/>
    <w:rsid w:val="004B43D2"/>
    <w:rsid w:val="004C755C"/>
    <w:rsid w:val="004D241E"/>
    <w:rsid w:val="004D6C40"/>
    <w:rsid w:val="004E0AD0"/>
    <w:rsid w:val="004F475D"/>
    <w:rsid w:val="00525085"/>
    <w:rsid w:val="0054573F"/>
    <w:rsid w:val="0055459F"/>
    <w:rsid w:val="00562AD7"/>
    <w:rsid w:val="005771C3"/>
    <w:rsid w:val="0059039D"/>
    <w:rsid w:val="005A0095"/>
    <w:rsid w:val="005A729F"/>
    <w:rsid w:val="005B0860"/>
    <w:rsid w:val="005C6B8A"/>
    <w:rsid w:val="005D3F60"/>
    <w:rsid w:val="005F41E8"/>
    <w:rsid w:val="005F4E83"/>
    <w:rsid w:val="005F5543"/>
    <w:rsid w:val="0061470D"/>
    <w:rsid w:val="0062155E"/>
    <w:rsid w:val="00623A6C"/>
    <w:rsid w:val="00633C9B"/>
    <w:rsid w:val="00644B1E"/>
    <w:rsid w:val="00675C0E"/>
    <w:rsid w:val="006950AD"/>
    <w:rsid w:val="00696D5A"/>
    <w:rsid w:val="006A58C0"/>
    <w:rsid w:val="006D61FB"/>
    <w:rsid w:val="006F246B"/>
    <w:rsid w:val="00701192"/>
    <w:rsid w:val="007432F6"/>
    <w:rsid w:val="007538E1"/>
    <w:rsid w:val="00783F89"/>
    <w:rsid w:val="00795186"/>
    <w:rsid w:val="007C314D"/>
    <w:rsid w:val="007D2179"/>
    <w:rsid w:val="007E7E43"/>
    <w:rsid w:val="00815D12"/>
    <w:rsid w:val="00832702"/>
    <w:rsid w:val="00834047"/>
    <w:rsid w:val="008352BE"/>
    <w:rsid w:val="0084752B"/>
    <w:rsid w:val="008505EE"/>
    <w:rsid w:val="008A5457"/>
    <w:rsid w:val="008B7F36"/>
    <w:rsid w:val="008C23D9"/>
    <w:rsid w:val="008C4FC2"/>
    <w:rsid w:val="00904BE7"/>
    <w:rsid w:val="00911A69"/>
    <w:rsid w:val="009475E4"/>
    <w:rsid w:val="00955731"/>
    <w:rsid w:val="00980B50"/>
    <w:rsid w:val="009E0F2E"/>
    <w:rsid w:val="00A0208C"/>
    <w:rsid w:val="00A359ED"/>
    <w:rsid w:val="00A55F97"/>
    <w:rsid w:val="00A57D31"/>
    <w:rsid w:val="00A65473"/>
    <w:rsid w:val="00A66E8A"/>
    <w:rsid w:val="00A71051"/>
    <w:rsid w:val="00A830C4"/>
    <w:rsid w:val="00AB7237"/>
    <w:rsid w:val="00AC1A56"/>
    <w:rsid w:val="00AC4F1F"/>
    <w:rsid w:val="00AC77D7"/>
    <w:rsid w:val="00AF2586"/>
    <w:rsid w:val="00AF5151"/>
    <w:rsid w:val="00B010FA"/>
    <w:rsid w:val="00B1116B"/>
    <w:rsid w:val="00B12608"/>
    <w:rsid w:val="00B22CEE"/>
    <w:rsid w:val="00B31129"/>
    <w:rsid w:val="00B4139D"/>
    <w:rsid w:val="00B730DA"/>
    <w:rsid w:val="00B7590F"/>
    <w:rsid w:val="00B84B05"/>
    <w:rsid w:val="00BA2A4F"/>
    <w:rsid w:val="00BA31F1"/>
    <w:rsid w:val="00BC344B"/>
    <w:rsid w:val="00BC5D4E"/>
    <w:rsid w:val="00BE7049"/>
    <w:rsid w:val="00C17CDE"/>
    <w:rsid w:val="00C4479F"/>
    <w:rsid w:val="00C46352"/>
    <w:rsid w:val="00C51A54"/>
    <w:rsid w:val="00C648D6"/>
    <w:rsid w:val="00C6764A"/>
    <w:rsid w:val="00C67995"/>
    <w:rsid w:val="00C91699"/>
    <w:rsid w:val="00CB79AB"/>
    <w:rsid w:val="00CC7457"/>
    <w:rsid w:val="00CD1678"/>
    <w:rsid w:val="00CD3704"/>
    <w:rsid w:val="00CD788C"/>
    <w:rsid w:val="00CF10BE"/>
    <w:rsid w:val="00CF7B09"/>
    <w:rsid w:val="00D107D8"/>
    <w:rsid w:val="00D10F35"/>
    <w:rsid w:val="00D12138"/>
    <w:rsid w:val="00D13F4F"/>
    <w:rsid w:val="00D308AF"/>
    <w:rsid w:val="00D42131"/>
    <w:rsid w:val="00D73445"/>
    <w:rsid w:val="00D9077A"/>
    <w:rsid w:val="00DD6575"/>
    <w:rsid w:val="00DF7C3F"/>
    <w:rsid w:val="00E46A11"/>
    <w:rsid w:val="00E5745C"/>
    <w:rsid w:val="00E65DE1"/>
    <w:rsid w:val="00E767E1"/>
    <w:rsid w:val="00E77545"/>
    <w:rsid w:val="00E81C09"/>
    <w:rsid w:val="00E86E14"/>
    <w:rsid w:val="00E96C9B"/>
    <w:rsid w:val="00E97466"/>
    <w:rsid w:val="00EA2316"/>
    <w:rsid w:val="00ED5F8E"/>
    <w:rsid w:val="00EE433E"/>
    <w:rsid w:val="00EE7A39"/>
    <w:rsid w:val="00F02C89"/>
    <w:rsid w:val="00F043ED"/>
    <w:rsid w:val="00F13538"/>
    <w:rsid w:val="00F17697"/>
    <w:rsid w:val="00F23BD3"/>
    <w:rsid w:val="00F45F89"/>
    <w:rsid w:val="00F526A2"/>
    <w:rsid w:val="00F55340"/>
    <w:rsid w:val="00F9419F"/>
    <w:rsid w:val="00FA3439"/>
    <w:rsid w:val="00FC442A"/>
    <w:rsid w:val="00F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A5F8"/>
  <w15:chartTrackingRefBased/>
  <w15:docId w15:val="{11B358A2-38AE-4601-B2F5-9DCE1A59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55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55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5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5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5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5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5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5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55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55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556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C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CD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4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4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54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457"/>
    <w:rPr>
      <w:b/>
      <w:bCs/>
      <w:sz w:val="20"/>
      <w:szCs w:val="20"/>
    </w:rPr>
  </w:style>
  <w:style w:type="paragraph" w:customStyle="1" w:styleId="xmsolistparagraph">
    <w:name w:val="x_msolistparagraph"/>
    <w:basedOn w:val="Normalny"/>
    <w:rsid w:val="003849FE"/>
    <w:pPr>
      <w:spacing w:line="252" w:lineRule="auto"/>
      <w:ind w:left="720"/>
    </w:pPr>
    <w:rPr>
      <w:rFonts w:ascii="Aptos" w:hAnsi="Aptos" w:cs="Aptos"/>
      <w:kern w:val="0"/>
      <w:lang w:eastAsia="pl-PL"/>
      <w14:ligatures w14:val="none"/>
    </w:rPr>
  </w:style>
  <w:style w:type="paragraph" w:customStyle="1" w:styleId="xmsonormal">
    <w:name w:val="x_msonormal"/>
    <w:basedOn w:val="Normalny"/>
    <w:rsid w:val="003849FE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gate.ec.europa.eu/procurementbuy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ngle-market-economy.ec.europa.eu/single-market/public-procurement/international-public-procurement/bilateral-relations-non-eu-countries_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5E916-663E-41E0-AC7E-26103A792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6602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Udział wykonawców z państw trzecich w świetle wyroku TSUE w sprawie C-652/22</dc:title>
  <dc:subject/>
  <dc:creator>Michal.Trybusz@uzp.gov.pl</dc:creator>
  <cp:keywords/>
  <dc:description/>
  <cp:lastModifiedBy>Trybusz Michał</cp:lastModifiedBy>
  <cp:revision>2</cp:revision>
  <cp:lastPrinted>2024-11-06T15:22:00Z</cp:lastPrinted>
  <dcterms:created xsi:type="dcterms:W3CDTF">2024-11-08T14:09:00Z</dcterms:created>
  <dcterms:modified xsi:type="dcterms:W3CDTF">2024-11-08T14:09:00Z</dcterms:modified>
</cp:coreProperties>
</file>